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C79B" w14:textId="2D62BF00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Application</w:t>
      </w:r>
    </w:p>
    <w:p w14:paraId="07C9ECB3" w14:textId="37FBB45E" w:rsidR="007B30E3" w:rsidRPr="00C6292C" w:rsidRDefault="00C6292C">
      <w:pPr>
        <w:rPr>
          <w:lang w:val="en-US"/>
        </w:rPr>
      </w:pPr>
      <w:r w:rsidRPr="00C6292C">
        <w:rPr>
          <w:lang w:val="en-US"/>
        </w:rPr>
        <w:t>A circulating microRNA, miR-127, was associated with dairy cow performance and affected bovine stem cell function in vitro</w:t>
      </w:r>
      <w:r w:rsidR="003C0CC4">
        <w:rPr>
          <w:lang w:val="en-US"/>
        </w:rPr>
        <w:t xml:space="preserve">. </w:t>
      </w:r>
      <w:r w:rsidRPr="00C6292C">
        <w:rPr>
          <w:lang w:val="en-US"/>
        </w:rPr>
        <w:t>miR-127 may be a potential biomarker for performance, providing information to support selection, thus improve herd health, fertility, and profitability.</w:t>
      </w:r>
    </w:p>
    <w:p w14:paraId="70B1A31E" w14:textId="467E9531" w:rsidR="00912F5D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Introduction</w:t>
      </w:r>
    </w:p>
    <w:p w14:paraId="167B5498" w14:textId="09A7F055" w:rsidR="007B30E3" w:rsidRPr="00C6292C" w:rsidRDefault="00C6292C">
      <w:pPr>
        <w:rPr>
          <w:lang w:val="en-US"/>
        </w:rPr>
      </w:pPr>
      <w:r w:rsidRPr="00C6292C">
        <w:rPr>
          <w:lang w:val="en-US"/>
        </w:rPr>
        <w:t xml:space="preserve">Dairy cattle performance mainly comprises early growth, fertility, disease resistance, milk production, and lifespan. These traits are intercorrelated and cow performance could be improved by </w:t>
      </w:r>
      <w:r w:rsidRPr="00227D95">
        <w:t>util</w:t>
      </w:r>
      <w:proofErr w:type="spellStart"/>
      <w:r w:rsidRPr="00C6292C">
        <w:rPr>
          <w:lang w:val="en-US"/>
        </w:rPr>
        <w:t>i</w:t>
      </w:r>
      <w:r w:rsidR="00227D95">
        <w:rPr>
          <w:lang w:val="en-US"/>
        </w:rPr>
        <w:t>s</w:t>
      </w:r>
      <w:r w:rsidRPr="00C6292C">
        <w:rPr>
          <w:lang w:val="en-US"/>
        </w:rPr>
        <w:t>ing</w:t>
      </w:r>
      <w:proofErr w:type="spellEnd"/>
      <w:r w:rsidRPr="00C6292C">
        <w:rPr>
          <w:lang w:val="en-US"/>
        </w:rPr>
        <w:t xml:space="preserve"> biomarkers for these traits</w:t>
      </w:r>
      <w:r w:rsidR="00350268">
        <w:rPr>
          <w:lang w:val="en-US"/>
        </w:rPr>
        <w:t xml:space="preserve"> (Guinan et al</w:t>
      </w:r>
      <w:r w:rsidR="003C0CC4">
        <w:rPr>
          <w:lang w:val="en-US"/>
        </w:rPr>
        <w:t>.</w:t>
      </w:r>
      <w:r w:rsidR="00350268">
        <w:rPr>
          <w:lang w:val="en-US"/>
        </w:rPr>
        <w:t>, 2023)</w:t>
      </w:r>
      <w:r>
        <w:rPr>
          <w:lang w:val="en-US"/>
        </w:rPr>
        <w:t xml:space="preserve">. </w:t>
      </w:r>
      <w:r w:rsidRPr="00C6292C">
        <w:rPr>
          <w:lang w:val="en-US"/>
        </w:rPr>
        <w:t xml:space="preserve">Circulating microRNAs are ideal biomarkers because they </w:t>
      </w:r>
      <w:r w:rsidR="003C0CC4">
        <w:rPr>
          <w:lang w:val="en-US"/>
        </w:rPr>
        <w:t xml:space="preserve">affect many cellular processes, where they repress mRNA translation (Friedman et al., 2009), </w:t>
      </w:r>
      <w:r w:rsidRPr="00C6292C">
        <w:rPr>
          <w:lang w:val="en-US"/>
        </w:rPr>
        <w:t>are relatively stable</w:t>
      </w:r>
      <w:r w:rsidR="003C0CC4">
        <w:rPr>
          <w:lang w:val="en-US"/>
        </w:rPr>
        <w:t>, and</w:t>
      </w:r>
      <w:r w:rsidRPr="00C6292C">
        <w:rPr>
          <w:lang w:val="en-US"/>
        </w:rPr>
        <w:t xml:space="preserve"> easily measured in biofluid samples</w:t>
      </w:r>
      <w:r w:rsidR="003C0CC4">
        <w:rPr>
          <w:lang w:val="en-US"/>
        </w:rPr>
        <w:t xml:space="preserve"> </w:t>
      </w:r>
      <w:r w:rsidR="00350268">
        <w:rPr>
          <w:lang w:val="en-US"/>
        </w:rPr>
        <w:t>(Ioannidis et al</w:t>
      </w:r>
      <w:r w:rsidR="003C0CC4">
        <w:rPr>
          <w:lang w:val="en-US"/>
        </w:rPr>
        <w:t>.,</w:t>
      </w:r>
      <w:r w:rsidR="00350268">
        <w:rPr>
          <w:lang w:val="en-US"/>
        </w:rPr>
        <w:t xml:space="preserve"> 2018)</w:t>
      </w:r>
      <w:r w:rsidRPr="00C6292C">
        <w:rPr>
          <w:lang w:val="en-US"/>
        </w:rPr>
        <w:t>. The present work investigated associations between plasma microRNAs and cow age and performance traits, using longitudinal sampling, and potential microRNA function. The potential roles of one microRNA</w:t>
      </w:r>
      <w:r w:rsidR="009F6926">
        <w:rPr>
          <w:lang w:val="en-US"/>
        </w:rPr>
        <w:t xml:space="preserve"> identified</w:t>
      </w:r>
      <w:r w:rsidRPr="00C6292C">
        <w:rPr>
          <w:lang w:val="en-US"/>
        </w:rPr>
        <w:t>, miR-127, in bovine tissue development was investigated by determining the effects of manipulating miR-127 levels in bovine mesenchymal stem cells (MSCs) on proliferation, differentiation, and putative gene targets.</w:t>
      </w:r>
    </w:p>
    <w:p w14:paraId="1F63B1C6" w14:textId="70D2D108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Materials and Methods</w:t>
      </w:r>
    </w:p>
    <w:p w14:paraId="07B35148" w14:textId="5B83B314" w:rsidR="00C6292C" w:rsidRPr="00C6292C" w:rsidRDefault="00C6292C" w:rsidP="00C6292C">
      <w:pPr>
        <w:rPr>
          <w:lang w:val="en-US"/>
        </w:rPr>
      </w:pPr>
      <w:r w:rsidRPr="00C6292C">
        <w:rPr>
          <w:lang w:val="en-US"/>
        </w:rPr>
        <w:t xml:space="preserve">Levels of 378 miRNAs were quantified by PCR array in plasma </w:t>
      </w:r>
      <w:r w:rsidR="00BE7E11">
        <w:rPr>
          <w:lang w:val="en-US"/>
        </w:rPr>
        <w:t>from</w:t>
      </w:r>
      <w:r w:rsidRPr="00C6292C">
        <w:rPr>
          <w:lang w:val="en-US"/>
        </w:rPr>
        <w:t xml:space="preserve"> 12 calves that were previously identified as having extremely different early performance</w:t>
      </w:r>
      <w:r w:rsidR="00227D95">
        <w:rPr>
          <w:lang w:val="en-US"/>
        </w:rPr>
        <w:t>. Four calves had infections and died, four had poor growth and fertility, and four had good growth</w:t>
      </w:r>
      <w:r w:rsidR="005955C6">
        <w:rPr>
          <w:lang w:val="en-US"/>
        </w:rPr>
        <w:t>/</w:t>
      </w:r>
      <w:r w:rsidR="00227D95">
        <w:rPr>
          <w:lang w:val="en-US"/>
        </w:rPr>
        <w:t>fertility</w:t>
      </w:r>
      <w:r w:rsidR="005955C6">
        <w:rPr>
          <w:lang w:val="en-US"/>
        </w:rPr>
        <w:t xml:space="preserve"> with no health issues</w:t>
      </w:r>
      <w:r w:rsidR="00227D95">
        <w:rPr>
          <w:lang w:val="en-US"/>
        </w:rPr>
        <w:t xml:space="preserve">. Growth and fertility in the latter two groups differed </w:t>
      </w:r>
      <w:r w:rsidR="009C63FE">
        <w:rPr>
          <w:lang w:val="en-US"/>
        </w:rPr>
        <w:t xml:space="preserve">in </w:t>
      </w:r>
      <w:r w:rsidR="00227D95">
        <w:rPr>
          <w:lang w:val="en-US"/>
        </w:rPr>
        <w:t xml:space="preserve">mean average daily gain </w:t>
      </w:r>
      <w:r w:rsidR="00055280">
        <w:rPr>
          <w:lang w:val="en-US"/>
        </w:rPr>
        <w:t xml:space="preserve">before </w:t>
      </w:r>
      <w:r w:rsidR="00227D95">
        <w:rPr>
          <w:lang w:val="en-US"/>
        </w:rPr>
        <w:t xml:space="preserve">weaning (0.5 vs 0.9), one year bodyweight (332kg vs 385kg), age at first service (505d vs 429d), and number of services to conception (2.25 vs 1.25). </w:t>
      </w:r>
      <w:r w:rsidRPr="00C6292C">
        <w:rPr>
          <w:lang w:val="en-US"/>
        </w:rPr>
        <w:t>Eighty-five microRNAs were differentially expressed between groups or were associated with a performance trait. Nine of these were validated by RT-qPCR using longitudinal samples at calf (&lt;1 month old), heifer (14-23 months), and cow (29-35 months) stages from 91 animals. Spearman pairwise correlations were applied to microRNA levels. General(</w:t>
      </w:r>
      <w:proofErr w:type="spellStart"/>
      <w:r w:rsidRPr="00C6292C">
        <w:rPr>
          <w:lang w:val="en-US"/>
        </w:rPr>
        <w:t>ised</w:t>
      </w:r>
      <w:proofErr w:type="spellEnd"/>
      <w:r w:rsidRPr="00C6292C">
        <w:rPr>
          <w:lang w:val="en-US"/>
        </w:rPr>
        <w:t xml:space="preserve">) linear mixed models (GLMM) </w:t>
      </w:r>
      <w:r w:rsidR="003C0CC4">
        <w:rPr>
          <w:lang w:val="en-US"/>
        </w:rPr>
        <w:t>tested</w:t>
      </w:r>
      <w:r w:rsidRPr="00C6292C">
        <w:rPr>
          <w:lang w:val="en-US"/>
        </w:rPr>
        <w:t xml:space="preserve"> associations between individual microRNA</w:t>
      </w:r>
      <w:r w:rsidR="003C0CC4">
        <w:rPr>
          <w:lang w:val="en-US"/>
        </w:rPr>
        <w:t xml:space="preserve"> level</w:t>
      </w:r>
      <w:r w:rsidRPr="00C6292C">
        <w:rPr>
          <w:lang w:val="en-US"/>
        </w:rPr>
        <w:t xml:space="preserve">s or microRNA ratios and age or performance, including growth, health, survival, fertility, and milk production in the first two lactations. </w:t>
      </w:r>
      <w:r w:rsidR="000272EE">
        <w:rPr>
          <w:lang w:val="en-US"/>
        </w:rPr>
        <w:t xml:space="preserve">Fixed factors included </w:t>
      </w:r>
      <w:r w:rsidR="009C63FE">
        <w:rPr>
          <w:lang w:val="en-US"/>
        </w:rPr>
        <w:t xml:space="preserve">miRNA </w:t>
      </w:r>
      <w:r w:rsidR="003C0CC4">
        <w:rPr>
          <w:lang w:val="en-US"/>
        </w:rPr>
        <w:t xml:space="preserve">expression </w:t>
      </w:r>
      <w:r w:rsidR="009C63FE">
        <w:rPr>
          <w:lang w:val="en-US"/>
        </w:rPr>
        <w:t xml:space="preserve">and </w:t>
      </w:r>
      <w:r w:rsidR="003C0CC4">
        <w:rPr>
          <w:lang w:val="en-US"/>
        </w:rPr>
        <w:t>factors that</w:t>
      </w:r>
      <w:r w:rsidR="000272EE">
        <w:rPr>
          <w:lang w:val="en-US"/>
        </w:rPr>
        <w:t xml:space="preserve"> influence the trait</w:t>
      </w:r>
      <w:r w:rsidR="003C0CC4">
        <w:rPr>
          <w:lang w:val="en-US"/>
        </w:rPr>
        <w:t xml:space="preserve">, </w:t>
      </w:r>
      <w:r w:rsidR="000272EE">
        <w:rPr>
          <w:lang w:val="en-US"/>
        </w:rPr>
        <w:t>as chosen by backwards selection, including breed, year of birth or</w:t>
      </w:r>
      <w:r w:rsidR="00120E11">
        <w:rPr>
          <w:lang w:val="en-US"/>
        </w:rPr>
        <w:t xml:space="preserve"> </w:t>
      </w:r>
      <w:r w:rsidR="000272EE">
        <w:rPr>
          <w:lang w:val="en-US"/>
        </w:rPr>
        <w:t xml:space="preserve">calving, month of birth or calving, and length of lactation as applicable. The </w:t>
      </w:r>
      <w:r w:rsidR="00350268">
        <w:rPr>
          <w:lang w:val="en-US"/>
        </w:rPr>
        <w:t>r</w:t>
      </w:r>
      <w:r w:rsidR="000272EE">
        <w:rPr>
          <w:lang w:val="en-US"/>
        </w:rPr>
        <w:t xml:space="preserve">andom term was animal ID </w:t>
      </w:r>
      <w:r w:rsidR="00120E11">
        <w:rPr>
          <w:lang w:val="en-US"/>
        </w:rPr>
        <w:t>with associated</w:t>
      </w:r>
      <w:r w:rsidR="000272EE">
        <w:rPr>
          <w:lang w:val="en-US"/>
        </w:rPr>
        <w:t xml:space="preserve"> pedigree. </w:t>
      </w:r>
      <w:r w:rsidRPr="00C6292C">
        <w:rPr>
          <w:lang w:val="en-US"/>
        </w:rPr>
        <w:t xml:space="preserve">microRNA levels were also quantified in 19 body tissues from three 5-month-old male calves. </w:t>
      </w:r>
      <w:r w:rsidR="003C0CC4">
        <w:rPr>
          <w:lang w:val="en-US"/>
        </w:rPr>
        <w:t xml:space="preserve">Then, </w:t>
      </w:r>
      <w:r w:rsidRPr="00C6292C">
        <w:rPr>
          <w:lang w:val="en-US"/>
        </w:rPr>
        <w:t xml:space="preserve">microRNA level was </w:t>
      </w:r>
      <w:proofErr w:type="spellStart"/>
      <w:r w:rsidRPr="00C6292C">
        <w:rPr>
          <w:lang w:val="en-US"/>
        </w:rPr>
        <w:t>analysed</w:t>
      </w:r>
      <w:proofErr w:type="spellEnd"/>
      <w:r w:rsidRPr="00C6292C">
        <w:rPr>
          <w:lang w:val="en-US"/>
        </w:rPr>
        <w:t xml:space="preserve"> by GLMM</w:t>
      </w:r>
      <w:r>
        <w:rPr>
          <w:lang w:val="en-US"/>
        </w:rPr>
        <w:t xml:space="preserve"> in R</w:t>
      </w:r>
      <w:r w:rsidR="000529C3">
        <w:rPr>
          <w:lang w:val="en-US"/>
        </w:rPr>
        <w:t xml:space="preserve"> (</w:t>
      </w:r>
      <w:r w:rsidR="003C0CC4">
        <w:rPr>
          <w:lang w:val="en-US"/>
        </w:rPr>
        <w:t xml:space="preserve">fixed term: tissue type; random: </w:t>
      </w:r>
      <w:r w:rsidR="000529C3">
        <w:rPr>
          <w:lang w:val="en-US"/>
        </w:rPr>
        <w:t>ID)</w:t>
      </w:r>
      <w:r w:rsidRPr="00C6292C">
        <w:rPr>
          <w:lang w:val="en-US"/>
        </w:rPr>
        <w:t xml:space="preserve">. </w:t>
      </w:r>
      <w:proofErr w:type="spellStart"/>
      <w:r w:rsidRPr="00C6292C">
        <w:rPr>
          <w:lang w:val="en-US"/>
        </w:rPr>
        <w:t>miRPath</w:t>
      </w:r>
      <w:proofErr w:type="spellEnd"/>
      <w:r w:rsidRPr="00C6292C">
        <w:rPr>
          <w:lang w:val="en-US"/>
        </w:rPr>
        <w:t xml:space="preserve">, </w:t>
      </w:r>
      <w:proofErr w:type="spellStart"/>
      <w:r w:rsidRPr="00C6292C">
        <w:rPr>
          <w:lang w:val="en-US"/>
        </w:rPr>
        <w:t>TargetScan</w:t>
      </w:r>
      <w:proofErr w:type="spellEnd"/>
      <w:r w:rsidRPr="00C6292C">
        <w:rPr>
          <w:lang w:val="en-US"/>
        </w:rPr>
        <w:t xml:space="preserve">, and </w:t>
      </w:r>
      <w:proofErr w:type="spellStart"/>
      <w:r w:rsidRPr="00C6292C">
        <w:rPr>
          <w:lang w:val="en-US"/>
        </w:rPr>
        <w:t>miRTarBase</w:t>
      </w:r>
      <w:proofErr w:type="spellEnd"/>
      <w:r w:rsidRPr="00C6292C">
        <w:rPr>
          <w:lang w:val="en-US"/>
        </w:rPr>
        <w:t xml:space="preserve"> were used to identify putative genes and pathways targeted by miR-127.</w:t>
      </w:r>
    </w:p>
    <w:p w14:paraId="31DE43A2" w14:textId="65B1CB1D" w:rsidR="007B30E3" w:rsidRPr="00C6292C" w:rsidRDefault="00C6292C" w:rsidP="00C6292C">
      <w:pPr>
        <w:rPr>
          <w:lang w:val="en-US"/>
        </w:rPr>
      </w:pPr>
      <w:r w:rsidRPr="00C6292C">
        <w:rPr>
          <w:lang w:val="en-US"/>
        </w:rPr>
        <w:t xml:space="preserve">Bovine MSCs were extracted from subcutaneous adipose tissue or skeletal muscle from four 5-month-old male Holstein-Friesian calves. Cells were transfected with miR-127 mimic, miR-127 inhibitor, or scramble nucleotide sequence control using </w:t>
      </w:r>
      <w:proofErr w:type="spellStart"/>
      <w:r w:rsidRPr="00C6292C">
        <w:rPr>
          <w:lang w:val="en-US"/>
        </w:rPr>
        <w:t>HiPerFect</w:t>
      </w:r>
      <w:proofErr w:type="spellEnd"/>
      <w:r w:rsidRPr="00C6292C">
        <w:rPr>
          <w:lang w:val="en-US"/>
        </w:rPr>
        <w:t xml:space="preserve"> transfection reagent (Qiagen), using the manufacturer’s fast-forward protocol. To quantify cell proliferation, MTT assay was performed and absorbance read at 550nm. For adipogenesis, induction media was applied for 14 days containing DMEM, 10% </w:t>
      </w:r>
      <w:proofErr w:type="spellStart"/>
      <w:r w:rsidRPr="00C6292C">
        <w:rPr>
          <w:lang w:val="en-US"/>
        </w:rPr>
        <w:t>foetal</w:t>
      </w:r>
      <w:proofErr w:type="spellEnd"/>
      <w:r w:rsidRPr="00C6292C">
        <w:rPr>
          <w:lang w:val="en-US"/>
        </w:rPr>
        <w:t xml:space="preserve"> bovine serum (FBS), 100 IU/ml penicillin, 100</w:t>
      </w:r>
      <w:r>
        <w:rPr>
          <w:lang w:val="en-US"/>
        </w:rPr>
        <w:sym w:font="Symbol" w:char="F06D"/>
      </w:r>
      <w:r w:rsidRPr="00C6292C">
        <w:rPr>
          <w:lang w:val="en-US"/>
        </w:rPr>
        <w:t>g/ml streptomycin, 1</w:t>
      </w:r>
      <w:r>
        <w:rPr>
          <w:lang w:val="en-US"/>
        </w:rPr>
        <w:sym w:font="Symbol" w:char="F06D"/>
      </w:r>
      <w:r w:rsidRPr="00C6292C">
        <w:rPr>
          <w:lang w:val="en-US"/>
        </w:rPr>
        <w:t>M dexamethasone, 10</w:t>
      </w:r>
      <w:r>
        <w:rPr>
          <w:lang w:val="en-US"/>
        </w:rPr>
        <w:sym w:font="Symbol" w:char="F06D"/>
      </w:r>
      <w:r w:rsidRPr="00C6292C">
        <w:rPr>
          <w:lang w:val="en-US"/>
        </w:rPr>
        <w:t>g/ml insulin, 0.5mM 3-isobutyl-1-methylxanthine, and 100</w:t>
      </w:r>
      <w:r>
        <w:rPr>
          <w:lang w:val="en-US"/>
        </w:rPr>
        <w:sym w:font="Symbol" w:char="F06D"/>
      </w:r>
      <w:r w:rsidRPr="00C6292C">
        <w:rPr>
          <w:lang w:val="en-US"/>
        </w:rPr>
        <w:t>M indomethacin. Lipids were stained using oil red O and quantified as the proportion of the image stained. For myogenesis, induction media containing DMEM, 2% FBS, 100 IU/ml penicillin, and 100</w:t>
      </w:r>
      <w:r>
        <w:rPr>
          <w:lang w:val="en-US"/>
        </w:rPr>
        <w:sym w:font="Symbol" w:char="F06D"/>
      </w:r>
      <w:r w:rsidRPr="00C6292C">
        <w:rPr>
          <w:lang w:val="en-US"/>
        </w:rPr>
        <w:t xml:space="preserve">g/ml streptomycin was applied for four days. Cells were stained for nuclei (DAPI) and myosin heavy chain. Fusion index was calculated as the proportion </w:t>
      </w:r>
      <w:r w:rsidRPr="00C6292C">
        <w:rPr>
          <w:lang w:val="en-US"/>
        </w:rPr>
        <w:lastRenderedPageBreak/>
        <w:t xml:space="preserve">of nuclei located within myotubes. Levels of miR-127, its predicted targets, and lineage-specific markers were quantified by RT-qPCR. MTT absorbance, immunostaining, and qPCR data were </w:t>
      </w:r>
      <w:proofErr w:type="spellStart"/>
      <w:r w:rsidRPr="00C6292C">
        <w:rPr>
          <w:lang w:val="en-US"/>
        </w:rPr>
        <w:t>analysed</w:t>
      </w:r>
      <w:proofErr w:type="spellEnd"/>
      <w:r w:rsidRPr="00C6292C">
        <w:rPr>
          <w:lang w:val="en-US"/>
        </w:rPr>
        <w:t xml:space="preserve"> using GLMM</w:t>
      </w:r>
      <w:r w:rsidR="000529C3">
        <w:rPr>
          <w:lang w:val="en-US"/>
        </w:rPr>
        <w:t xml:space="preserve"> (fixed</w:t>
      </w:r>
      <w:r w:rsidR="003C0CC4">
        <w:rPr>
          <w:lang w:val="en-US"/>
        </w:rPr>
        <w:t xml:space="preserve"> terms: </w:t>
      </w:r>
      <w:r w:rsidR="000529C3">
        <w:rPr>
          <w:lang w:val="en-US"/>
        </w:rPr>
        <w:t>treatment and time</w:t>
      </w:r>
      <w:r w:rsidR="003C0CC4">
        <w:rPr>
          <w:lang w:val="en-US"/>
        </w:rPr>
        <w:t>; random term:</w:t>
      </w:r>
      <w:r w:rsidR="000529C3">
        <w:rPr>
          <w:lang w:val="en-US"/>
        </w:rPr>
        <w:t xml:space="preserve"> ID)</w:t>
      </w:r>
      <w:r w:rsidRPr="00C6292C">
        <w:rPr>
          <w:lang w:val="en-US"/>
        </w:rPr>
        <w:t>.</w:t>
      </w:r>
    </w:p>
    <w:p w14:paraId="35CAF992" w14:textId="43ABAA1F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Results</w:t>
      </w:r>
    </w:p>
    <w:p w14:paraId="61F08DD6" w14:textId="6C960197" w:rsidR="00E67A1A" w:rsidRPr="00C6292C" w:rsidRDefault="003C0CC4" w:rsidP="00C6292C">
      <w:pPr>
        <w:rPr>
          <w:rFonts w:cs="Times New Roman"/>
        </w:rPr>
      </w:pPr>
      <w:r>
        <w:rPr>
          <w:rFonts w:cs="Times New Roman"/>
        </w:rPr>
        <w:t>Figure 1 shows a graphical</w:t>
      </w:r>
      <w:r w:rsidR="00C6292C" w:rsidRPr="00C6292C">
        <w:rPr>
          <w:rFonts w:cs="Times New Roman"/>
        </w:rPr>
        <w:t xml:space="preserve"> representation of </w:t>
      </w:r>
      <w:r w:rsidR="00C6292C" w:rsidRPr="00C6292C">
        <w:t>results for</w:t>
      </w:r>
      <w:r w:rsidR="00C6292C" w:rsidRPr="00C6292C">
        <w:rPr>
          <w:rFonts w:cs="Times New Roman"/>
        </w:rPr>
        <w:t xml:space="preserve"> miR-127. Additionally, among nine studied miRNAs, eight were associated with age, longitudinal miR-126-3p levels were associated with first lactation somatic cell count (mastitis indicator) and second lactation milk yield, and cow miR-142-5p</w:t>
      </w:r>
      <w:r>
        <w:rPr>
          <w:rFonts w:cs="Times New Roman"/>
        </w:rPr>
        <w:t xml:space="preserve"> levels</w:t>
      </w:r>
      <w:r w:rsidR="00C6292C" w:rsidRPr="00C6292C">
        <w:rPr>
          <w:rFonts w:cs="Times New Roman"/>
        </w:rPr>
        <w:t xml:space="preserve"> w</w:t>
      </w:r>
      <w:r>
        <w:rPr>
          <w:rFonts w:cs="Times New Roman"/>
        </w:rPr>
        <w:t>ere</w:t>
      </w:r>
      <w:r w:rsidR="00C6292C" w:rsidRPr="00C6292C">
        <w:rPr>
          <w:rFonts w:cs="Times New Roman"/>
        </w:rPr>
        <w:t xml:space="preserve"> associated with calving interval. </w:t>
      </w:r>
      <w:r>
        <w:t>S</w:t>
      </w:r>
      <w:r w:rsidR="00C6292C" w:rsidRPr="00C6292C">
        <w:rPr>
          <w:rFonts w:cs="Times New Roman"/>
        </w:rPr>
        <w:t xml:space="preserve">even ratios </w:t>
      </w:r>
      <w:r>
        <w:rPr>
          <w:rFonts w:cs="Times New Roman"/>
        </w:rPr>
        <w:t>in total w</w:t>
      </w:r>
      <w:r w:rsidR="00C6292C" w:rsidRPr="00C6292C">
        <w:rPr>
          <w:rFonts w:cs="Times New Roman"/>
        </w:rPr>
        <w:t>ere associated with a performance trait</w:t>
      </w:r>
      <w:r>
        <w:rPr>
          <w:rFonts w:cs="Times New Roman"/>
        </w:rPr>
        <w:t>.</w:t>
      </w:r>
      <w:r w:rsidR="00C6292C" w:rsidRPr="00C6292C">
        <w:rPr>
          <w:rFonts w:cs="Times New Roman"/>
        </w:rPr>
        <w:t xml:space="preserve"> miR-127 was widely expressed across calf tissues, with no significant associations between tissue type and miR-127 expression.</w:t>
      </w:r>
      <w:r>
        <w:rPr>
          <w:rFonts w:cs="Times New Roman"/>
        </w:rPr>
        <w:t xml:space="preserve"> </w:t>
      </w:r>
      <w:r w:rsidR="00C6292C" w:rsidRPr="00C6292C">
        <w:rPr>
          <w:rFonts w:cs="Times New Roman"/>
        </w:rPr>
        <w:t xml:space="preserve">In addition to the microRNAs shown in Figure 1, miR-127 was significantly (P&lt;0.05) negatively correlated with miR-126-3p and miR-34a. In </w:t>
      </w:r>
      <w:r w:rsidR="00C6292C" w:rsidRPr="00C6292C">
        <w:t>MSC</w:t>
      </w:r>
      <w:r w:rsidR="00C6292C" w:rsidRPr="00C6292C">
        <w:rPr>
          <w:rFonts w:cs="Times New Roman"/>
        </w:rPr>
        <w:t>s, adipogenesis and MAPK4 expression were not affected by miR-127 mimic or inhibitor.</w:t>
      </w:r>
    </w:p>
    <w:p w14:paraId="6545596D" w14:textId="6968F67D" w:rsidR="00C6292C" w:rsidRPr="00C6292C" w:rsidRDefault="00233696" w:rsidP="00C6292C">
      <w:pPr>
        <w:rPr>
          <w:rFonts w:cs="Times New Roman"/>
        </w:rPr>
      </w:pPr>
      <w:r w:rsidRPr="00582E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C4FD23" wp14:editId="72301ED9">
            <wp:extent cx="5724086" cy="3406140"/>
            <wp:effectExtent l="0" t="0" r="3810" b="0"/>
            <wp:docPr id="1" name="Picture 1" descr="A diagram of a cell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cell lin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2" r="2481"/>
                    <a:stretch/>
                  </pic:blipFill>
                  <pic:spPr bwMode="auto">
                    <a:xfrm>
                      <a:off x="0" y="0"/>
                      <a:ext cx="5730372" cy="3409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5C9672" w14:textId="3A019D72" w:rsidR="007B30E3" w:rsidRPr="00C6292C" w:rsidRDefault="00C6292C">
      <w:pPr>
        <w:rPr>
          <w:rFonts w:cs="Times New Roman"/>
        </w:rPr>
      </w:pPr>
      <w:r w:rsidRPr="00C6292C">
        <w:rPr>
          <w:rFonts w:cs="Times New Roman"/>
          <w:b/>
          <w:bCs/>
        </w:rPr>
        <w:t>Figure 1</w:t>
      </w:r>
      <w:r w:rsidRPr="00C6292C">
        <w:rPr>
          <w:rFonts w:cs="Times New Roman"/>
        </w:rPr>
        <w:t xml:space="preserve">: Graphical summary of </w:t>
      </w:r>
      <w:r w:rsidR="003C0CC4">
        <w:rPr>
          <w:rFonts w:cs="Times New Roman"/>
        </w:rPr>
        <w:t xml:space="preserve">miR-127 </w:t>
      </w:r>
      <w:r w:rsidRPr="00C6292C">
        <w:rPr>
          <w:rFonts w:cs="Times New Roman"/>
        </w:rPr>
        <w:t xml:space="preserve">results. Lines with arrows indicate positive associations and lines with clubs indicate negative associations. Left: plasma miRNA quantity plotted against age. Loess curves show that on average, miR-127 decreased with age (red) and miR-30c-5p increased (blue). Correlations with some miRNAs are denoted by dotted lines with Spearman’s rho. Loess curves of miR-154b and miR-363 closely resemble miR-127 (not shown). Solid lines indicate associations between the ratio of those two miRNAs, quantified in first lactation, with a trait. Right: potential targets and functions of miR-127 in bovine </w:t>
      </w:r>
      <w:r w:rsidRPr="00C6292C">
        <w:t>MSCs</w:t>
      </w:r>
      <w:r w:rsidRPr="00C6292C">
        <w:rPr>
          <w:rFonts w:cs="Times New Roman"/>
        </w:rPr>
        <w:t>. Altering miR-127 levels during myogenesis significantly reduced fusion index and SEPTIN7 expression.</w:t>
      </w:r>
    </w:p>
    <w:p w14:paraId="68E461EC" w14:textId="317E8356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Conclusions</w:t>
      </w:r>
    </w:p>
    <w:p w14:paraId="41A3C7EB" w14:textId="769ECE3E" w:rsidR="007B30E3" w:rsidRPr="00C6292C" w:rsidRDefault="00C6292C" w:rsidP="00C6292C">
      <w:r w:rsidRPr="00582E9F">
        <w:t xml:space="preserve">miR-127 was expressed widely in calves, decreased with age, and ratios involving miR-127 were associated with milk production or somatic cell count, suggesting potential as a biomarker. Together with results </w:t>
      </w:r>
      <w:r w:rsidR="003C0CC4">
        <w:t>from</w:t>
      </w:r>
      <w:r w:rsidRPr="00582E9F">
        <w:t xml:space="preserve"> bovine </w:t>
      </w:r>
      <w:r>
        <w:t>MSCs</w:t>
      </w:r>
      <w:r w:rsidRPr="00582E9F">
        <w:t>, this supports a role for miR-127 in stem cell function and warrants further investigation.</w:t>
      </w:r>
    </w:p>
    <w:p w14:paraId="51517B99" w14:textId="56BB2084" w:rsidR="00C6292C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References</w:t>
      </w:r>
    </w:p>
    <w:p w14:paraId="51960DF7" w14:textId="50F19B1E" w:rsidR="00350268" w:rsidRPr="00350268" w:rsidRDefault="00350268" w:rsidP="00350268">
      <w:r>
        <w:lastRenderedPageBreak/>
        <w:t xml:space="preserve">Friedman, R. C., </w:t>
      </w:r>
      <w:proofErr w:type="spellStart"/>
      <w:r w:rsidRPr="00350268">
        <w:t>Farh</w:t>
      </w:r>
      <w:proofErr w:type="spellEnd"/>
      <w:r w:rsidRPr="00350268">
        <w:t xml:space="preserve">, K. K. H., Burge, C. B. &amp; </w:t>
      </w:r>
      <w:proofErr w:type="spellStart"/>
      <w:r w:rsidRPr="00350268">
        <w:t>Bartel</w:t>
      </w:r>
      <w:proofErr w:type="spellEnd"/>
      <w:r w:rsidRPr="00350268">
        <w:t>, D. P. (2009). Most mammalian mRNAs are conserved targets of microRNAs. Genome Research</w:t>
      </w:r>
      <w:r>
        <w:t>,</w:t>
      </w:r>
      <w:r w:rsidRPr="00350268">
        <w:t xml:space="preserve"> 19, 92–105.</w:t>
      </w:r>
    </w:p>
    <w:p w14:paraId="5D6620A2" w14:textId="5F037F3E" w:rsidR="00350268" w:rsidRPr="00350268" w:rsidRDefault="00350268" w:rsidP="00350268">
      <w:r>
        <w:t xml:space="preserve">Guinan FL, </w:t>
      </w:r>
      <w:proofErr w:type="spellStart"/>
      <w:r>
        <w:t>Wiggans</w:t>
      </w:r>
      <w:proofErr w:type="spellEnd"/>
      <w:r>
        <w:t xml:space="preserve"> GR, Norman HD, </w:t>
      </w:r>
      <w:proofErr w:type="spellStart"/>
      <w:r>
        <w:t>Dürr</w:t>
      </w:r>
      <w:proofErr w:type="spellEnd"/>
      <w:r>
        <w:t xml:space="preserve"> JW, Cole JB, Van </w:t>
      </w:r>
      <w:proofErr w:type="spellStart"/>
      <w:r>
        <w:t>Tassell</w:t>
      </w:r>
      <w:proofErr w:type="spellEnd"/>
      <w:r>
        <w:t xml:space="preserve"> CP, et al. </w:t>
      </w:r>
      <w:r w:rsidRPr="00350268">
        <w:t>(2023). Changes in genetic trends in US dairy cattle since the implementation of genomic selection. Journal of Dairy Science</w:t>
      </w:r>
      <w:r>
        <w:t>,</w:t>
      </w:r>
      <w:r w:rsidRPr="00350268">
        <w:t xml:space="preserve"> 106, 1110–1129.</w:t>
      </w:r>
    </w:p>
    <w:p w14:paraId="4264B5FB" w14:textId="024555AA" w:rsidR="00350268" w:rsidRPr="00350268" w:rsidRDefault="00350268">
      <w:r w:rsidRPr="00350268">
        <w:t>Ioannidis, J., Sánchez-</w:t>
      </w:r>
      <w:proofErr w:type="spellStart"/>
      <w:r w:rsidRPr="00350268">
        <w:t>Molano</w:t>
      </w:r>
      <w:proofErr w:type="spellEnd"/>
      <w:r w:rsidRPr="00350268">
        <w:t xml:space="preserve">, E., </w:t>
      </w:r>
      <w:proofErr w:type="spellStart"/>
      <w:r w:rsidRPr="00350268">
        <w:t>Psifidi</w:t>
      </w:r>
      <w:proofErr w:type="spellEnd"/>
      <w:r w:rsidRPr="00350268">
        <w:t xml:space="preserve">, A., </w:t>
      </w:r>
      <w:proofErr w:type="spellStart"/>
      <w:r w:rsidRPr="00350268">
        <w:t>Donadeu</w:t>
      </w:r>
      <w:proofErr w:type="spellEnd"/>
      <w:r w:rsidRPr="00350268">
        <w:t xml:space="preserve">, F. X. &amp; </w:t>
      </w:r>
      <w:proofErr w:type="spellStart"/>
      <w:r w:rsidRPr="00350268">
        <w:t>Banos</w:t>
      </w:r>
      <w:proofErr w:type="spellEnd"/>
      <w:r w:rsidRPr="00350268">
        <w:t xml:space="preserve">, G. (2018). Association of plasma microRNA expression with age, genetic </w:t>
      </w:r>
      <w:proofErr w:type="gramStart"/>
      <w:r w:rsidRPr="00350268">
        <w:t>background</w:t>
      </w:r>
      <w:proofErr w:type="gramEnd"/>
      <w:r w:rsidRPr="00350268">
        <w:t xml:space="preserve"> and functional traits in dairy cattle. Scientific Reports</w:t>
      </w:r>
      <w:r>
        <w:t>,</w:t>
      </w:r>
      <w:r w:rsidRPr="00350268">
        <w:t xml:space="preserve"> 8, 12955.</w:t>
      </w:r>
    </w:p>
    <w:sectPr w:rsidR="00350268" w:rsidRPr="00350268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9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3"/>
    <w:rsid w:val="000272EE"/>
    <w:rsid w:val="000529C3"/>
    <w:rsid w:val="00055280"/>
    <w:rsid w:val="000F2BA7"/>
    <w:rsid w:val="00120E11"/>
    <w:rsid w:val="00140C6E"/>
    <w:rsid w:val="00227D95"/>
    <w:rsid w:val="00233696"/>
    <w:rsid w:val="00350268"/>
    <w:rsid w:val="00383DCD"/>
    <w:rsid w:val="00397193"/>
    <w:rsid w:val="003C0CC4"/>
    <w:rsid w:val="005955C6"/>
    <w:rsid w:val="00625B14"/>
    <w:rsid w:val="007B30E3"/>
    <w:rsid w:val="00912F5D"/>
    <w:rsid w:val="00933E8C"/>
    <w:rsid w:val="009C63FE"/>
    <w:rsid w:val="009F6926"/>
    <w:rsid w:val="00B52E4E"/>
    <w:rsid w:val="00BE7E11"/>
    <w:rsid w:val="00C53AE2"/>
    <w:rsid w:val="00C6292C"/>
    <w:rsid w:val="00C95030"/>
    <w:rsid w:val="00DD21B5"/>
    <w:rsid w:val="00E27EE6"/>
    <w:rsid w:val="00E67A1A"/>
    <w:rsid w:val="00F8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Props1.xml><?xml version="1.0" encoding="utf-8"?>
<ds:datastoreItem xmlns:ds="http://schemas.openxmlformats.org/officeDocument/2006/customXml" ds:itemID="{8CC27604-FE8B-4FDB-9D44-B06F4B2D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E998D-96EF-4A0A-B53A-07C2AB504375}">
  <ds:schemaRefs>
    <ds:schemaRef ds:uri="http://schemas.microsoft.com/office/2006/metadata/properties"/>
    <ds:schemaRef ds:uri="http://schemas.microsoft.com/office/infopath/2007/PartnerControls"/>
    <ds:schemaRef ds:uri="563d7928-de39-40eb-aaef-3504eb7eef23"/>
    <ds:schemaRef ds:uri="a6522d93-ccde-437d-a793-b289ee708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Madison MacLeay</cp:lastModifiedBy>
  <cp:revision>2</cp:revision>
  <dcterms:created xsi:type="dcterms:W3CDTF">2025-01-09T21:36:00Z</dcterms:created>
  <dcterms:modified xsi:type="dcterms:W3CDTF">2025-01-09T21:36:00Z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</Properties>
</file>