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88" w:type="pct"/>
        <w:tblLayout w:type="fixed"/>
        <w:tblLook w:val="0000" w:firstRow="0" w:lastRow="0" w:firstColumn="0" w:lastColumn="0" w:noHBand="0" w:noVBand="0"/>
      </w:tblPr>
      <w:tblGrid>
        <w:gridCol w:w="9944"/>
      </w:tblGrid>
      <w:tr w:rsidR="00E14333" w:rsidRPr="00B157B9" w14:paraId="558FB2D5" w14:textId="77777777" w:rsidTr="00D41726">
        <w:trPr>
          <w:trHeight w:val="520"/>
        </w:trPr>
        <w:tc>
          <w:tcPr>
            <w:tcW w:w="5000" w:type="pct"/>
            <w:tcBorders>
              <w:bottom w:val="single" w:sz="4" w:space="0" w:color="auto"/>
            </w:tcBorders>
          </w:tcPr>
          <w:p w14:paraId="501876BB" w14:textId="06EDA4F3" w:rsidR="00E14333" w:rsidRPr="00F21046" w:rsidRDefault="00E14333" w:rsidP="003415AB">
            <w:pPr>
              <w:rPr>
                <w:b/>
                <w:bCs/>
              </w:rPr>
            </w:pPr>
            <w:r w:rsidRPr="00F21046">
              <w:rPr>
                <w:b/>
                <w:bCs/>
              </w:rPr>
              <w:t xml:space="preserve">Title: </w:t>
            </w:r>
            <w:r>
              <w:rPr>
                <w:bCs/>
                <w:i/>
                <w:sz w:val="20"/>
              </w:rPr>
              <w:t>(Use Normal style (Times New Roman 12)</w:t>
            </w:r>
            <w:r w:rsidRPr="00063C20">
              <w:rPr>
                <w:bCs/>
                <w:i/>
                <w:sz w:val="20"/>
              </w:rPr>
              <w:t xml:space="preserve">. </w:t>
            </w:r>
            <w:r w:rsidRPr="00063C20">
              <w:rPr>
                <w:i/>
                <w:sz w:val="20"/>
              </w:rPr>
              <w:t>Only capitalise the f</w:t>
            </w:r>
            <w:r w:rsidR="002E6F5F">
              <w:rPr>
                <w:i/>
                <w:sz w:val="20"/>
              </w:rPr>
              <w:t xml:space="preserve">irst letter of the first word. </w:t>
            </w:r>
            <w:r w:rsidRPr="00063C20">
              <w:rPr>
                <w:i/>
                <w:sz w:val="20"/>
              </w:rPr>
              <w:t>No full stop at the end of the title</w:t>
            </w:r>
            <w:r w:rsidRPr="00063C20">
              <w:rPr>
                <w:bCs/>
                <w:i/>
                <w:sz w:val="20"/>
              </w:rPr>
              <w:t>)</w:t>
            </w:r>
          </w:p>
        </w:tc>
      </w:tr>
      <w:tr w:rsidR="00E14333" w:rsidRPr="00F76957" w14:paraId="335D574D" w14:textId="77777777" w:rsidTr="00D41726">
        <w:trPr>
          <w:trHeight w:val="590"/>
        </w:trPr>
        <w:tc>
          <w:tcPr>
            <w:tcW w:w="5000" w:type="pct"/>
            <w:tcBorders>
              <w:top w:val="single" w:sz="4" w:space="0" w:color="auto"/>
              <w:left w:val="single" w:sz="4" w:space="0" w:color="auto"/>
              <w:bottom w:val="single" w:sz="4" w:space="0" w:color="auto"/>
              <w:right w:val="single" w:sz="4" w:space="0" w:color="auto"/>
            </w:tcBorders>
            <w:shd w:val="clear" w:color="auto" w:fill="F3F3F3"/>
          </w:tcPr>
          <w:p w14:paraId="04CC797D" w14:textId="3C0B6AAB" w:rsidR="00833425" w:rsidRPr="007E1111" w:rsidRDefault="00700E87" w:rsidP="00700E87">
            <w:pPr>
              <w:jc w:val="both"/>
            </w:pPr>
            <w:r w:rsidRPr="00700E87">
              <w:t>Construction of the mRNA-miRNA regulatory network identifies candidate genes and pathways associated with Johne's disease in dairy cattle</w:t>
            </w:r>
            <w:r>
              <w:t>.</w:t>
            </w:r>
          </w:p>
        </w:tc>
      </w:tr>
      <w:tr w:rsidR="00E14333" w:rsidRPr="00B157B9" w14:paraId="340E1379" w14:textId="77777777" w:rsidTr="00D41726">
        <w:trPr>
          <w:trHeight w:val="286"/>
        </w:trPr>
        <w:tc>
          <w:tcPr>
            <w:tcW w:w="5000" w:type="pct"/>
            <w:tcBorders>
              <w:top w:val="single" w:sz="4" w:space="0" w:color="auto"/>
              <w:bottom w:val="single" w:sz="4" w:space="0" w:color="auto"/>
            </w:tcBorders>
          </w:tcPr>
          <w:p w14:paraId="1EEAE2DE" w14:textId="77777777" w:rsidR="00E14333" w:rsidRPr="00F21046" w:rsidRDefault="00E14333" w:rsidP="003415AB">
            <w:pPr>
              <w:rPr>
                <w:szCs w:val="20"/>
              </w:rPr>
            </w:pPr>
            <w:r w:rsidRPr="00F21046">
              <w:rPr>
                <w:b/>
                <w:bCs/>
                <w:szCs w:val="20"/>
              </w:rPr>
              <w:t xml:space="preserve">Summary:  </w:t>
            </w:r>
            <w:r w:rsidRPr="00063C20">
              <w:rPr>
                <w:bCs/>
                <w:i/>
                <w:sz w:val="20"/>
              </w:rPr>
              <w:t>(Your summa</w:t>
            </w:r>
            <w:r>
              <w:rPr>
                <w:bCs/>
                <w:i/>
                <w:sz w:val="20"/>
              </w:rPr>
              <w:t>ry (Times New Roman 10)</w:t>
            </w:r>
            <w:r w:rsidRPr="00063C20">
              <w:rPr>
                <w:bCs/>
                <w:i/>
                <w:sz w:val="20"/>
              </w:rPr>
              <w:t xml:space="preserve"> must use </w:t>
            </w:r>
            <w:r>
              <w:rPr>
                <w:bCs/>
                <w:i/>
                <w:sz w:val="20"/>
              </w:rPr>
              <w:t xml:space="preserve">Body text </w:t>
            </w:r>
            <w:r w:rsidRPr="00063C20">
              <w:rPr>
                <w:bCs/>
                <w:i/>
                <w:sz w:val="20"/>
              </w:rPr>
              <w:t xml:space="preserve"> style and must not be longer than this box)</w:t>
            </w:r>
          </w:p>
        </w:tc>
      </w:tr>
      <w:tr w:rsidR="00E14333" w:rsidRPr="00AE32E3" w14:paraId="7F1BE3A7" w14:textId="77777777" w:rsidTr="00D41726">
        <w:trPr>
          <w:trHeight w:hRule="exact" w:val="12674"/>
        </w:trPr>
        <w:tc>
          <w:tcPr>
            <w:tcW w:w="5000" w:type="pct"/>
            <w:tcBorders>
              <w:top w:val="single" w:sz="4" w:space="0" w:color="auto"/>
              <w:left w:val="single" w:sz="4" w:space="0" w:color="auto"/>
              <w:right w:val="single" w:sz="4" w:space="0" w:color="auto"/>
            </w:tcBorders>
            <w:shd w:val="clear" w:color="auto" w:fill="F3F3F3"/>
          </w:tcPr>
          <w:p w14:paraId="37932AEE" w14:textId="1EC95970" w:rsidR="00833425" w:rsidRDefault="00AA3040" w:rsidP="00833425">
            <w:pPr>
              <w:jc w:val="both"/>
            </w:pPr>
            <w:r w:rsidRPr="00AA3040">
              <w:rPr>
                <w:b/>
                <w:noProof/>
                <w:sz w:val="20"/>
                <w:szCs w:val="20"/>
                <w:lang w:val="en-US"/>
              </w:rPr>
              <w:t>Application</w:t>
            </w:r>
            <w:r w:rsidR="000F1CBA">
              <w:rPr>
                <w:noProof/>
                <w:sz w:val="20"/>
                <w:szCs w:val="20"/>
                <w:lang w:val="en-US"/>
              </w:rPr>
              <w:t xml:space="preserve"> </w:t>
            </w:r>
            <w:r w:rsidR="00700E87">
              <w:rPr>
                <w:noProof/>
                <w:sz w:val="20"/>
                <w:szCs w:val="20"/>
                <w:lang w:val="en-US"/>
              </w:rPr>
              <w:t>This c</w:t>
            </w:r>
            <w:r w:rsidR="00700E87" w:rsidRPr="00700E87">
              <w:rPr>
                <w:noProof/>
                <w:sz w:val="20"/>
                <w:szCs w:val="20"/>
                <w:lang w:val="en-US"/>
              </w:rPr>
              <w:t>omparative transcriptome profiling analysis</w:t>
            </w:r>
            <w:r w:rsidR="00F5408E">
              <w:rPr>
                <w:noProof/>
                <w:sz w:val="20"/>
                <w:szCs w:val="20"/>
                <w:lang w:val="en-US"/>
              </w:rPr>
              <w:t xml:space="preserve"> </w:t>
            </w:r>
            <w:r w:rsidR="00700E87" w:rsidRPr="00700E87">
              <w:rPr>
                <w:noProof/>
                <w:sz w:val="20"/>
                <w:szCs w:val="20"/>
                <w:lang w:val="en-US"/>
              </w:rPr>
              <w:t>allows for the identification of associated mRNAs/genes and miRNAs, their functions, and important pathways in Johne's disease and healthy samples.</w:t>
            </w:r>
          </w:p>
          <w:p w14:paraId="757173DA" w14:textId="23E2AAE0" w:rsidR="00EE0940" w:rsidRPr="00D41726" w:rsidRDefault="00EE0940" w:rsidP="00D425FD">
            <w:pPr>
              <w:ind w:left="37"/>
              <w:jc w:val="both"/>
              <w:rPr>
                <w:noProof/>
                <w:sz w:val="8"/>
                <w:szCs w:val="8"/>
                <w:lang w:val="en-US"/>
              </w:rPr>
            </w:pPr>
          </w:p>
          <w:p w14:paraId="61CE7D22" w14:textId="6C9F8E88" w:rsidR="00700E87" w:rsidRPr="00700E87" w:rsidRDefault="00AA3040" w:rsidP="00700E87">
            <w:pPr>
              <w:rPr>
                <w:noProof/>
                <w:sz w:val="20"/>
                <w:szCs w:val="20"/>
                <w:lang w:val="en-US"/>
              </w:rPr>
            </w:pPr>
            <w:r w:rsidRPr="00AA3040">
              <w:rPr>
                <w:b/>
                <w:noProof/>
                <w:sz w:val="20"/>
                <w:szCs w:val="20"/>
                <w:lang w:val="en-US"/>
              </w:rPr>
              <w:t>Introduction</w:t>
            </w:r>
            <w:r w:rsidR="00591816">
              <w:rPr>
                <w:noProof/>
                <w:sz w:val="20"/>
                <w:szCs w:val="20"/>
                <w:lang w:val="en-US"/>
              </w:rPr>
              <w:t xml:space="preserve"> </w:t>
            </w:r>
            <w:r w:rsidR="00BA5FD2" w:rsidRPr="00BA5FD2">
              <w:rPr>
                <w:noProof/>
                <w:sz w:val="20"/>
                <w:szCs w:val="20"/>
                <w:lang w:val="en-US"/>
              </w:rPr>
              <w:t xml:space="preserve">Johne's disease (JD) is a chronic and incurable disease in ruminants that severely affects animal welfare and causes great economic losses for worldwide livestock production, especially in dairy cattle (Ariel et al., 2020). The causative agent, </w:t>
            </w:r>
            <w:r w:rsidR="00BA5FD2" w:rsidRPr="0008247A">
              <w:rPr>
                <w:i/>
                <w:iCs/>
                <w:noProof/>
                <w:sz w:val="20"/>
                <w:szCs w:val="20"/>
                <w:lang w:val="en-US"/>
              </w:rPr>
              <w:t>Mycobacterium avium ssp. paratuberculosis</w:t>
            </w:r>
            <w:r w:rsidR="00BA5FD2" w:rsidRPr="00BA5FD2">
              <w:rPr>
                <w:noProof/>
                <w:sz w:val="20"/>
                <w:szCs w:val="20"/>
                <w:lang w:val="en-US"/>
              </w:rPr>
              <w:t xml:space="preserve"> (MAP), causes chronic enteritis in ruminants, eventually leading to weight loss, diarrhea, gradual decrease in milk production, and death of infected animals. As the usual diagnostic methods to control this disease are ineffective, alternative diagnostics are urgently needed for disease control. During infection, MAP bacilli undergo phagocytosis by host macrophages, causing subclinical infections that can lead to immunopathology and disease dissemination (Casey et al., 2015). Therefore, analysis of the host macrophage transcriptome during infection is expected to elucidate molecular mechanisms and host-pathogen interactions associated with Johne's disease. In addition, although non-coding RNAs (ncRNAs; e.g., miRNAs) have an important role in regulating immune system function and may provide valuable information about the disease, their role in paratuberculosis infection in cattle has not yet been fully investigated (Marete et al., 2021).</w:t>
            </w:r>
          </w:p>
          <w:p w14:paraId="71C2D0AD" w14:textId="5D6E03D0" w:rsidR="004775A7" w:rsidRPr="00D41726" w:rsidRDefault="004775A7" w:rsidP="0062478E">
            <w:pPr>
              <w:ind w:left="37"/>
              <w:jc w:val="both"/>
              <w:rPr>
                <w:noProof/>
                <w:sz w:val="8"/>
                <w:szCs w:val="8"/>
                <w:lang w:val="en-US"/>
              </w:rPr>
            </w:pPr>
          </w:p>
          <w:p w14:paraId="551999EC" w14:textId="014BBAF8" w:rsidR="00700E87" w:rsidRDefault="004775A7" w:rsidP="00700E87">
            <w:r>
              <w:rPr>
                <w:b/>
                <w:sz w:val="20"/>
                <w:szCs w:val="20"/>
              </w:rPr>
              <w:t>M</w:t>
            </w:r>
            <w:r w:rsidR="002C3463">
              <w:rPr>
                <w:b/>
                <w:sz w:val="20"/>
                <w:szCs w:val="20"/>
              </w:rPr>
              <w:t>aterials and Methods</w:t>
            </w:r>
            <w:r w:rsidR="001A3F3B">
              <w:rPr>
                <w:b/>
                <w:sz w:val="20"/>
                <w:szCs w:val="20"/>
              </w:rPr>
              <w:t xml:space="preserve"> </w:t>
            </w:r>
            <w:r w:rsidR="00700E87" w:rsidRPr="00700E87">
              <w:rPr>
                <w:noProof/>
                <w:sz w:val="20"/>
                <w:szCs w:val="20"/>
                <w:lang w:val="en-US"/>
              </w:rPr>
              <w:t xml:space="preserve">Microarray and RNA-Seq datasets from </w:t>
            </w:r>
            <w:r w:rsidR="00F5408E" w:rsidRPr="00F5408E">
              <w:rPr>
                <w:noProof/>
                <w:sz w:val="20"/>
                <w:szCs w:val="20"/>
                <w:lang w:val="en-US"/>
              </w:rPr>
              <w:t xml:space="preserve">peripheral </w:t>
            </w:r>
            <w:r w:rsidR="00F5408E">
              <w:rPr>
                <w:noProof/>
                <w:sz w:val="20"/>
                <w:szCs w:val="20"/>
                <w:lang w:val="en-US"/>
              </w:rPr>
              <w:t>blood mononuclear cells (PBMCs)</w:t>
            </w:r>
            <w:r w:rsidR="00700E87" w:rsidRPr="00700E87">
              <w:rPr>
                <w:noProof/>
                <w:sz w:val="20"/>
                <w:szCs w:val="20"/>
                <w:lang w:val="en-US"/>
              </w:rPr>
              <w:t xml:space="preserve"> of Johne's disease and healthy Holstein dairy cattle were retrieved from the National Center for Biotechnology Information (NCBI) Gene Expression Omnibus (GEO) public database. Gene set annotation and functional enrichment analysis were applied to explore hub mRNAs/genes and miRNAs related to Johne's disease using DAVID, g:Profiler, GeneCards, and STRING database to determine potential functions, metabolic, and signaling pathways. Interactions between types of RNAs (i.e. mRNAs/genes and miRNAs) identified were predicted, and a mRNA-miRNA regulatory network was constructed by integrating the protein-protein interaction (PPI) network and gene regulatory network (GRN). Genes were assigned to functional categories using the Gene Ontology (GO) database under biological process (BP), molecular function (MF), and cellular component (CC).</w:t>
            </w:r>
          </w:p>
          <w:p w14:paraId="47F0A2FC" w14:textId="5232E321" w:rsidR="008D0B89" w:rsidRPr="00D41726" w:rsidRDefault="008D0B89" w:rsidP="0062478E">
            <w:pPr>
              <w:ind w:left="37"/>
              <w:jc w:val="both"/>
              <w:rPr>
                <w:sz w:val="8"/>
                <w:szCs w:val="8"/>
              </w:rPr>
            </w:pPr>
          </w:p>
          <w:p w14:paraId="4037CD76" w14:textId="55CD9640" w:rsidR="00BD6E39" w:rsidRDefault="002C3463" w:rsidP="00BD6E39">
            <w:pPr>
              <w:ind w:left="37"/>
              <w:jc w:val="both"/>
              <w:rPr>
                <w:noProof/>
                <w:sz w:val="20"/>
                <w:szCs w:val="20"/>
                <w:lang w:val="en-US"/>
              </w:rPr>
            </w:pPr>
            <w:r>
              <w:rPr>
                <w:b/>
                <w:sz w:val="20"/>
                <w:szCs w:val="20"/>
              </w:rPr>
              <w:t>Results</w:t>
            </w:r>
            <w:r w:rsidR="00A444DC">
              <w:rPr>
                <w:b/>
                <w:sz w:val="20"/>
                <w:szCs w:val="20"/>
              </w:rPr>
              <w:t xml:space="preserve"> </w:t>
            </w:r>
            <w:r w:rsidR="00700E87" w:rsidRPr="00700E87">
              <w:rPr>
                <w:noProof/>
                <w:sz w:val="20"/>
                <w:szCs w:val="20"/>
                <w:lang w:val="en-US"/>
              </w:rPr>
              <w:t>Comparative transcriptomics-related analyses identified 4536 and 783 differentially expressed genes (DEGs) between Johne's disease and healthy groups for RNA-Seq and microarray datasets respectively, based on the fold change (≥1 and ≤−1) and false discovery rate (FDR &lt;0.05). Among these, 23 genes were common between RNA-Seq and microarray datasets. In addition to DEGs, 19 miRNAs were also simultaneously identified in the RNA-Seq datasets. Furthermore, we identified 10 hub genes (</w:t>
            </w:r>
            <w:r w:rsidR="00700E87" w:rsidRPr="0084158B">
              <w:rPr>
                <w:i/>
                <w:iCs/>
                <w:noProof/>
                <w:sz w:val="20"/>
                <w:szCs w:val="20"/>
                <w:lang w:val="en-US"/>
              </w:rPr>
              <w:t>CCL20</w:t>
            </w:r>
            <w:r w:rsidR="00700E87" w:rsidRPr="00700E87">
              <w:rPr>
                <w:noProof/>
                <w:sz w:val="20"/>
                <w:szCs w:val="20"/>
                <w:lang w:val="en-US"/>
              </w:rPr>
              <w:t>, </w:t>
            </w:r>
            <w:r w:rsidR="00700E87" w:rsidRPr="0084158B">
              <w:rPr>
                <w:i/>
                <w:iCs/>
                <w:noProof/>
                <w:sz w:val="20"/>
                <w:szCs w:val="20"/>
                <w:lang w:val="en-US"/>
              </w:rPr>
              <w:t>CCL4</w:t>
            </w:r>
            <w:r w:rsidR="00700E87" w:rsidRPr="00700E87">
              <w:rPr>
                <w:noProof/>
                <w:sz w:val="20"/>
                <w:szCs w:val="20"/>
                <w:lang w:val="en-US"/>
              </w:rPr>
              <w:t>, </w:t>
            </w:r>
            <w:r w:rsidR="00700E87" w:rsidRPr="0084158B">
              <w:rPr>
                <w:i/>
                <w:iCs/>
                <w:noProof/>
                <w:sz w:val="20"/>
                <w:szCs w:val="20"/>
                <w:lang w:val="en-US"/>
              </w:rPr>
              <w:t>IL10</w:t>
            </w:r>
            <w:r w:rsidR="00700E87" w:rsidRPr="00700E87">
              <w:rPr>
                <w:noProof/>
                <w:sz w:val="20"/>
                <w:szCs w:val="20"/>
                <w:lang w:val="en-US"/>
              </w:rPr>
              <w:t xml:space="preserve">, </w:t>
            </w:r>
            <w:r w:rsidR="00700E87" w:rsidRPr="0084158B">
              <w:rPr>
                <w:i/>
                <w:iCs/>
                <w:noProof/>
                <w:sz w:val="20"/>
                <w:szCs w:val="20"/>
                <w:lang w:val="en-US"/>
              </w:rPr>
              <w:t>NOS2</w:t>
            </w:r>
            <w:r w:rsidR="00700E87" w:rsidRPr="00700E87">
              <w:rPr>
                <w:noProof/>
                <w:sz w:val="20"/>
                <w:szCs w:val="20"/>
                <w:lang w:val="en-US"/>
              </w:rPr>
              <w:t>, </w:t>
            </w:r>
            <w:r w:rsidR="00700E87" w:rsidRPr="0084158B">
              <w:rPr>
                <w:i/>
                <w:iCs/>
                <w:noProof/>
                <w:sz w:val="20"/>
                <w:szCs w:val="20"/>
                <w:lang w:val="en-US"/>
              </w:rPr>
              <w:t>NR4A1</w:t>
            </w:r>
            <w:r w:rsidR="00700E87" w:rsidRPr="00700E87">
              <w:rPr>
                <w:noProof/>
                <w:sz w:val="20"/>
                <w:szCs w:val="20"/>
                <w:lang w:val="en-US"/>
              </w:rPr>
              <w:t xml:space="preserve">, </w:t>
            </w:r>
            <w:r w:rsidR="00700E87" w:rsidRPr="0084158B">
              <w:rPr>
                <w:i/>
                <w:iCs/>
                <w:noProof/>
                <w:sz w:val="20"/>
                <w:szCs w:val="20"/>
                <w:lang w:val="en-US"/>
              </w:rPr>
              <w:t>PTGS2</w:t>
            </w:r>
            <w:r w:rsidR="00700E87" w:rsidRPr="00700E87">
              <w:rPr>
                <w:noProof/>
                <w:sz w:val="20"/>
                <w:szCs w:val="20"/>
                <w:lang w:val="en-US"/>
              </w:rPr>
              <w:t xml:space="preserve">, </w:t>
            </w:r>
            <w:r w:rsidR="00700E87" w:rsidRPr="0084158B">
              <w:rPr>
                <w:i/>
                <w:iCs/>
                <w:noProof/>
                <w:sz w:val="20"/>
                <w:szCs w:val="20"/>
                <w:lang w:val="en-US"/>
              </w:rPr>
              <w:t>SERPINE1</w:t>
            </w:r>
            <w:r w:rsidR="00700E87" w:rsidRPr="00700E87">
              <w:rPr>
                <w:noProof/>
                <w:sz w:val="20"/>
                <w:szCs w:val="20"/>
                <w:lang w:val="en-US"/>
              </w:rPr>
              <w:t xml:space="preserve">, </w:t>
            </w:r>
            <w:r w:rsidR="00700E87" w:rsidRPr="0084158B">
              <w:rPr>
                <w:i/>
                <w:iCs/>
                <w:noProof/>
                <w:sz w:val="20"/>
                <w:szCs w:val="20"/>
                <w:lang w:val="en-US"/>
              </w:rPr>
              <w:t>TFPI2</w:t>
            </w:r>
            <w:r w:rsidR="00700E87" w:rsidRPr="00700E87">
              <w:rPr>
                <w:noProof/>
                <w:sz w:val="20"/>
                <w:szCs w:val="20"/>
                <w:lang w:val="en-US"/>
              </w:rPr>
              <w:t xml:space="preserve">, </w:t>
            </w:r>
            <w:r w:rsidR="00700E87" w:rsidRPr="0084158B">
              <w:rPr>
                <w:i/>
                <w:iCs/>
                <w:noProof/>
                <w:sz w:val="20"/>
                <w:szCs w:val="20"/>
                <w:lang w:val="en-US"/>
              </w:rPr>
              <w:t>TNFAIP6</w:t>
            </w:r>
            <w:r w:rsidR="00700E87" w:rsidRPr="00700E87">
              <w:rPr>
                <w:noProof/>
                <w:sz w:val="20"/>
                <w:szCs w:val="20"/>
                <w:lang w:val="en-US"/>
              </w:rPr>
              <w:t xml:space="preserve">, and </w:t>
            </w:r>
            <w:r w:rsidR="00700E87" w:rsidRPr="0084158B">
              <w:rPr>
                <w:i/>
                <w:iCs/>
                <w:noProof/>
                <w:sz w:val="20"/>
                <w:szCs w:val="20"/>
                <w:lang w:val="en-US"/>
              </w:rPr>
              <w:t>TNF</w:t>
            </w:r>
            <w:bookmarkStart w:id="0" w:name="_GoBack"/>
            <w:bookmarkEnd w:id="0"/>
            <w:r w:rsidR="00700E87" w:rsidRPr="0084158B">
              <w:rPr>
                <w:i/>
                <w:iCs/>
                <w:noProof/>
                <w:sz w:val="20"/>
                <w:szCs w:val="20"/>
                <w:lang w:val="en-US"/>
              </w:rPr>
              <w:t>SF13B</w:t>
            </w:r>
            <w:r w:rsidR="00700E87" w:rsidRPr="00700E87">
              <w:rPr>
                <w:noProof/>
                <w:sz w:val="20"/>
                <w:szCs w:val="20"/>
                <w:lang w:val="en-US"/>
              </w:rPr>
              <w:t>) involved in dairy cattle Johne's disease. Identified biological and regulatory networks were mainly associated with immune system signature pathways. Gene ontology annotation and enrichment analysis, based on the mRNA-miRNA regulatory network</w:t>
            </w:r>
            <w:r w:rsidR="00700E87">
              <w:rPr>
                <w:noProof/>
                <w:sz w:val="20"/>
                <w:szCs w:val="20"/>
                <w:lang w:val="en-US"/>
              </w:rPr>
              <w:t xml:space="preserve"> </w:t>
            </w:r>
            <w:r w:rsidR="00BA5FD2">
              <w:rPr>
                <w:noProof/>
                <w:sz w:val="20"/>
                <w:szCs w:val="20"/>
                <w:lang w:val="en-US"/>
              </w:rPr>
              <w:t xml:space="preserve">(Figure 1) </w:t>
            </w:r>
            <w:r w:rsidR="00700E87" w:rsidRPr="00700E87">
              <w:rPr>
                <w:noProof/>
                <w:sz w:val="20"/>
                <w:szCs w:val="20"/>
                <w:lang w:val="en-US"/>
              </w:rPr>
              <w:t>revealed 20, 1, and 1 GO terms related to Johne's disease in the biological process, molecular function, and cellular component categories, respectively. In addition, KEGG enrichment analysis identified cytokine-cytokine receptor interaction, intestinal immune network for IgA production, and signaling pathways for IL-17, TNF, HIF-1, and NF-kappa B. Gene set annotation and functional enrichment of identified DEGs implicated important biological pathways</w:t>
            </w:r>
            <w:r w:rsidR="00BA5FD2">
              <w:rPr>
                <w:noProof/>
                <w:sz w:val="20"/>
                <w:szCs w:val="20"/>
                <w:lang w:val="en-US"/>
              </w:rPr>
              <w:t>.</w:t>
            </w:r>
          </w:p>
          <w:p w14:paraId="5365397E" w14:textId="3B090430" w:rsidR="00BA5FD2" w:rsidRPr="00BD6E39" w:rsidRDefault="00BA5FD2" w:rsidP="00BD6E39">
            <w:pPr>
              <w:ind w:left="37"/>
              <w:jc w:val="both"/>
              <w:rPr>
                <w:noProof/>
                <w:sz w:val="20"/>
                <w:szCs w:val="20"/>
                <w:lang w:val="en-US"/>
              </w:rPr>
            </w:pPr>
          </w:p>
          <w:p w14:paraId="2B343FB4" w14:textId="63F28605" w:rsidR="00BA5FD2" w:rsidRDefault="00BD6E39" w:rsidP="00BA5FD2">
            <w:pPr>
              <w:ind w:left="37"/>
              <w:jc w:val="both"/>
            </w:pPr>
            <w:r>
              <w:rPr>
                <w:noProof/>
                <w:lang w:val="en-US"/>
              </w:rPr>
              <w:drawing>
                <wp:anchor distT="0" distB="0" distL="114300" distR="114300" simplePos="0" relativeHeight="251658240" behindDoc="0" locked="0" layoutInCell="1" allowOverlap="1" wp14:anchorId="0E7CA899" wp14:editId="17EA75FF">
                  <wp:simplePos x="0" y="0"/>
                  <wp:positionH relativeFrom="page">
                    <wp:posOffset>2797175</wp:posOffset>
                  </wp:positionH>
                  <wp:positionV relativeFrom="page">
                    <wp:posOffset>5314950</wp:posOffset>
                  </wp:positionV>
                  <wp:extent cx="3454400" cy="172466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eet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54400" cy="1724660"/>
                          </a:xfrm>
                          <a:prstGeom prst="rect">
                            <a:avLst/>
                          </a:prstGeom>
                        </pic:spPr>
                      </pic:pic>
                    </a:graphicData>
                  </a:graphic>
                  <wp14:sizeRelH relativeFrom="margin">
                    <wp14:pctWidth>0</wp14:pctWidth>
                  </wp14:sizeRelH>
                  <wp14:sizeRelV relativeFrom="margin">
                    <wp14:pctHeight>0</wp14:pctHeight>
                  </wp14:sizeRelV>
                </wp:anchor>
              </w:drawing>
            </w:r>
            <w:r w:rsidR="00BA5FD2" w:rsidRPr="00BA5FD2">
              <w:rPr>
                <w:b/>
                <w:sz w:val="20"/>
                <w:szCs w:val="20"/>
              </w:rPr>
              <w:t>Figure 1.</w:t>
            </w:r>
            <w:r w:rsidR="00BA5FD2" w:rsidRPr="00BA3E35">
              <w:t xml:space="preserve"> </w:t>
            </w:r>
            <w:r w:rsidR="00BA5FD2" w:rsidRPr="00BA5FD2">
              <w:rPr>
                <w:noProof/>
                <w:sz w:val="20"/>
                <w:szCs w:val="20"/>
                <w:lang w:val="en-US"/>
              </w:rPr>
              <w:t>mRNA-miRNA regulatory network on Johne's disease in dairy cattle</w:t>
            </w:r>
            <w:r w:rsidR="00BA5FD2">
              <w:rPr>
                <w:noProof/>
                <w:sz w:val="20"/>
                <w:szCs w:val="20"/>
                <w:lang w:val="en-US"/>
              </w:rPr>
              <w:t>.</w:t>
            </w:r>
          </w:p>
          <w:p w14:paraId="0658984B" w14:textId="77777777" w:rsidR="006171B4" w:rsidRPr="00D41726" w:rsidRDefault="006171B4" w:rsidP="00B0764E">
            <w:pPr>
              <w:rPr>
                <w:i/>
                <w:sz w:val="10"/>
                <w:szCs w:val="12"/>
              </w:rPr>
            </w:pPr>
          </w:p>
          <w:p w14:paraId="58FC1E5D" w14:textId="77777777" w:rsidR="00700E87" w:rsidRPr="00700E87" w:rsidRDefault="001A3F3B" w:rsidP="00700E87">
            <w:pPr>
              <w:rPr>
                <w:noProof/>
                <w:sz w:val="20"/>
                <w:szCs w:val="20"/>
                <w:lang w:val="en-US"/>
              </w:rPr>
            </w:pPr>
            <w:r>
              <w:rPr>
                <w:b/>
                <w:sz w:val="20"/>
                <w:szCs w:val="20"/>
              </w:rPr>
              <w:t>Conclusions</w:t>
            </w:r>
            <w:r w:rsidR="00FA2783">
              <w:rPr>
                <w:sz w:val="20"/>
                <w:szCs w:val="20"/>
              </w:rPr>
              <w:t xml:space="preserve"> </w:t>
            </w:r>
            <w:r w:rsidR="00700E87" w:rsidRPr="00700E87">
              <w:rPr>
                <w:noProof/>
                <w:sz w:val="20"/>
                <w:szCs w:val="20"/>
                <w:lang w:val="en-US"/>
              </w:rPr>
              <w:t>These findings provided valuable insights into the molecular evidence for the biological mechanisms of transcriptome profiling of Johne's disease versus healthy Holstein dairy cattle. In addition, they are an impetus to elucidate molecular networks and functions of DEGs associated with peripheral blood mononuclear cells regarding immune system function and a starting point for future studies on bovine Johne's disease.</w:t>
            </w:r>
          </w:p>
          <w:p w14:paraId="32E7406E" w14:textId="77777777" w:rsidR="00700E1B" w:rsidRDefault="00700E1B" w:rsidP="00BA5FD2">
            <w:pPr>
              <w:rPr>
                <w:b/>
                <w:sz w:val="20"/>
                <w:szCs w:val="20"/>
              </w:rPr>
            </w:pPr>
          </w:p>
          <w:p w14:paraId="09454B7E" w14:textId="2442D4B7" w:rsidR="00BA5FD2" w:rsidRPr="00BA5FD2" w:rsidRDefault="00BA5FD2" w:rsidP="00BA5FD2">
            <w:pPr>
              <w:rPr>
                <w:b/>
                <w:sz w:val="20"/>
                <w:szCs w:val="20"/>
              </w:rPr>
            </w:pPr>
            <w:r w:rsidRPr="00BA5FD2">
              <w:rPr>
                <w:b/>
                <w:sz w:val="20"/>
                <w:szCs w:val="20"/>
              </w:rPr>
              <w:t>References</w:t>
            </w:r>
          </w:p>
          <w:p w14:paraId="426DD00E" w14:textId="77777777" w:rsidR="00BA5FD2" w:rsidRPr="00BA5FD2" w:rsidRDefault="00BA5FD2" w:rsidP="00BA5FD2">
            <w:pPr>
              <w:rPr>
                <w:noProof/>
                <w:sz w:val="20"/>
                <w:szCs w:val="20"/>
                <w:lang w:val="en-US"/>
              </w:rPr>
            </w:pPr>
            <w:r w:rsidRPr="00BA5FD2">
              <w:rPr>
                <w:noProof/>
                <w:sz w:val="20"/>
                <w:szCs w:val="20"/>
                <w:lang w:val="en-US"/>
              </w:rPr>
              <w:t>Ariel, O., Gendron, D., Dudemaine, P.L., Gévry, N., Ibeagha-Awemu, E.M. &amp; Bissonnette, N. (2020). Frontiers in Immunology 10, 2874.</w:t>
            </w:r>
          </w:p>
          <w:p w14:paraId="09D3742B" w14:textId="77777777" w:rsidR="00BA5FD2" w:rsidRPr="00BA5FD2" w:rsidRDefault="00BA5FD2" w:rsidP="00BA5FD2">
            <w:pPr>
              <w:rPr>
                <w:noProof/>
                <w:sz w:val="20"/>
                <w:szCs w:val="20"/>
                <w:lang w:val="en-US"/>
              </w:rPr>
            </w:pPr>
            <w:r w:rsidRPr="00BA5FD2">
              <w:rPr>
                <w:noProof/>
                <w:sz w:val="20"/>
                <w:szCs w:val="20"/>
                <w:lang w:val="en-US"/>
              </w:rPr>
              <w:t>Casey, M.E., Meade, K.G., Nalpas, N.C., Taraktsoglou, M., Browne, J.A., Killick, K.E., Park, S.D., Gormley, E., Hokamp, K., Magee, D.A. &amp; MacHugh, D.E. (2015). Frontiers in Immunology 6, 23.</w:t>
            </w:r>
          </w:p>
          <w:p w14:paraId="2832D57F" w14:textId="77777777" w:rsidR="00BA5FD2" w:rsidRPr="00700E1B" w:rsidRDefault="00BA5FD2" w:rsidP="00BA5FD2">
            <w:pPr>
              <w:rPr>
                <w:noProof/>
                <w:sz w:val="20"/>
                <w:szCs w:val="20"/>
                <w:lang w:val="en-US"/>
              </w:rPr>
            </w:pPr>
            <w:r w:rsidRPr="00700E1B">
              <w:rPr>
                <w:noProof/>
                <w:sz w:val="20"/>
                <w:szCs w:val="20"/>
                <w:lang w:val="en-US"/>
              </w:rPr>
              <w:t>Marete, A., Ariel, O., Ibeagha-Awemu, E. &amp; Bissonnette, N. (2021). Frontiers in Veterinary Science 8, 639053.</w:t>
            </w:r>
          </w:p>
          <w:p w14:paraId="2B80968A" w14:textId="41353A49" w:rsidR="003C014D" w:rsidRPr="002C3463" w:rsidRDefault="003C014D" w:rsidP="00833425">
            <w:pPr>
              <w:autoSpaceDE w:val="0"/>
              <w:autoSpaceDN w:val="0"/>
              <w:adjustRightInd w:val="0"/>
              <w:rPr>
                <w:sz w:val="20"/>
                <w:szCs w:val="20"/>
              </w:rPr>
            </w:pPr>
          </w:p>
        </w:tc>
      </w:tr>
    </w:tbl>
    <w:p w14:paraId="6BF96E5C" w14:textId="2C9240B1" w:rsidR="00631EB0" w:rsidRDefault="00631EB0" w:rsidP="002435B0"/>
    <w:sectPr w:rsidR="00631EB0" w:rsidSect="00E14333">
      <w:headerReference w:type="default" r:id="rId9"/>
      <w:pgSz w:w="11906" w:h="16838" w:code="9"/>
      <w:pgMar w:top="284" w:right="964" w:bottom="567" w:left="96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0B4F6" w14:textId="77777777" w:rsidR="00010C49" w:rsidRDefault="00010C49" w:rsidP="00E14333">
      <w:r>
        <w:separator/>
      </w:r>
    </w:p>
  </w:endnote>
  <w:endnote w:type="continuationSeparator" w:id="0">
    <w:p w14:paraId="31313293" w14:textId="77777777" w:rsidR="00010C49" w:rsidRDefault="00010C49" w:rsidP="00E14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0CF7D" w14:textId="77777777" w:rsidR="00010C49" w:rsidRDefault="00010C49" w:rsidP="00E14333">
      <w:r>
        <w:separator/>
      </w:r>
    </w:p>
  </w:footnote>
  <w:footnote w:type="continuationSeparator" w:id="0">
    <w:p w14:paraId="71BA2CBE" w14:textId="77777777" w:rsidR="00010C49" w:rsidRDefault="00010C49" w:rsidP="00E143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BBFCC" w14:textId="77777777" w:rsidR="00E14333" w:rsidRPr="000F31AE" w:rsidRDefault="00E14333" w:rsidP="00E14333">
    <w:pPr>
      <w:pStyle w:val="Header"/>
      <w:rPr>
        <w:color w:val="FF0000"/>
        <w:sz w:val="20"/>
        <w:szCs w:val="20"/>
      </w:rPr>
    </w:pPr>
    <w:r w:rsidRPr="00DB49E8">
      <w:rPr>
        <w:color w:val="FF0000"/>
        <w:u w:val="single"/>
      </w:rPr>
      <w:t>I</w:t>
    </w:r>
    <w:r w:rsidRPr="000F31AE">
      <w:rPr>
        <w:color w:val="FF0000"/>
        <w:sz w:val="20"/>
        <w:szCs w:val="20"/>
        <w:u w:val="single"/>
      </w:rPr>
      <w:t>mportant notes</w:t>
    </w:r>
    <w:r w:rsidRPr="000F31AE">
      <w:rPr>
        <w:color w:val="FF0000"/>
        <w:sz w:val="20"/>
        <w:szCs w:val="20"/>
      </w:rPr>
      <w:t>:</w:t>
    </w:r>
  </w:p>
  <w:p w14:paraId="4079EF18" w14:textId="77777777" w:rsidR="00E14333" w:rsidRPr="000F31AE" w:rsidRDefault="00E14333" w:rsidP="00E14333">
    <w:pPr>
      <w:pStyle w:val="Header"/>
      <w:rPr>
        <w:color w:val="FF0000"/>
        <w:sz w:val="20"/>
        <w:szCs w:val="20"/>
      </w:rPr>
    </w:pPr>
    <w:r w:rsidRPr="000F31AE">
      <w:rPr>
        <w:color w:val="FF0000"/>
        <w:sz w:val="20"/>
        <w:szCs w:val="20"/>
      </w:rPr>
      <w:t>Do NOT enter author and affiliation information on this document. You will be able to enter this information online when you submit the abstract.</w:t>
    </w:r>
  </w:p>
  <w:p w14:paraId="20D63A78" w14:textId="77777777" w:rsidR="00E14333" w:rsidRPr="000F31AE" w:rsidRDefault="00E14333" w:rsidP="00E14333">
    <w:pPr>
      <w:pStyle w:val="Header"/>
      <w:rPr>
        <w:color w:val="FF0000"/>
        <w:sz w:val="20"/>
        <w:szCs w:val="20"/>
      </w:rPr>
    </w:pPr>
    <w:r w:rsidRPr="000F31AE">
      <w:rPr>
        <w:color w:val="FF0000"/>
        <w:sz w:val="20"/>
        <w:szCs w:val="20"/>
      </w:rPr>
      <w:t xml:space="preserve">Do NOT write outside the boxes. Any text or images outside the boxes </w:t>
    </w:r>
    <w:r w:rsidRPr="000F31AE">
      <w:rPr>
        <w:b/>
        <w:color w:val="FF0000"/>
        <w:sz w:val="20"/>
        <w:szCs w:val="20"/>
        <w:u w:val="single"/>
      </w:rPr>
      <w:t>will be deleted</w:t>
    </w:r>
    <w:r w:rsidRPr="000F31AE">
      <w:rPr>
        <w:color w:val="FF0000"/>
        <w:sz w:val="20"/>
        <w:szCs w:val="20"/>
      </w:rPr>
      <w:t>.</w:t>
    </w:r>
  </w:p>
  <w:p w14:paraId="558DE3C3" w14:textId="77777777" w:rsidR="00E14333" w:rsidRPr="000F31AE" w:rsidRDefault="00E14333" w:rsidP="00E14333">
    <w:pPr>
      <w:pStyle w:val="Header"/>
      <w:rPr>
        <w:color w:val="FF0000"/>
        <w:sz w:val="20"/>
        <w:szCs w:val="20"/>
      </w:rPr>
    </w:pPr>
    <w:r w:rsidRPr="000F31AE">
      <w:rPr>
        <w:color w:val="FF0000"/>
        <w:sz w:val="20"/>
        <w:szCs w:val="20"/>
      </w:rPr>
      <w:t xml:space="preserve">Do NOT alter the structure of this document. Simply enter your title and abstract in the </w:t>
    </w:r>
    <w:proofErr w:type="spellStart"/>
    <w:r w:rsidRPr="000F31AE">
      <w:rPr>
        <w:color w:val="FF0000"/>
        <w:sz w:val="20"/>
        <w:szCs w:val="20"/>
      </w:rPr>
      <w:t>gray</w:t>
    </w:r>
    <w:proofErr w:type="spellEnd"/>
    <w:r w:rsidRPr="000F31AE">
      <w:rPr>
        <w:color w:val="FF0000"/>
        <w:sz w:val="20"/>
        <w:szCs w:val="20"/>
      </w:rPr>
      <w:t xml:space="preserve"> boxes. The document will be automatically processed – if you alter its structure your submission will not be processed correctly.</w:t>
    </w:r>
  </w:p>
  <w:p w14:paraId="3F678555" w14:textId="77777777" w:rsidR="00E14333" w:rsidRDefault="00E143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71F68"/>
    <w:multiLevelType w:val="hybridMultilevel"/>
    <w:tmpl w:val="FBDE12AE"/>
    <w:lvl w:ilvl="0" w:tplc="167626D8">
      <w:start w:val="1"/>
      <w:numFmt w:val="decimal"/>
      <w:lvlText w:val="%1)"/>
      <w:lvlJc w:val="left"/>
      <w:pPr>
        <w:tabs>
          <w:tab w:val="num" w:pos="720"/>
        </w:tabs>
        <w:ind w:left="720" w:hanging="360"/>
      </w:pPr>
    </w:lvl>
    <w:lvl w:ilvl="1" w:tplc="94E8173C" w:tentative="1">
      <w:start w:val="1"/>
      <w:numFmt w:val="decimal"/>
      <w:lvlText w:val="%2)"/>
      <w:lvlJc w:val="left"/>
      <w:pPr>
        <w:tabs>
          <w:tab w:val="num" w:pos="1440"/>
        </w:tabs>
        <w:ind w:left="1440" w:hanging="360"/>
      </w:pPr>
    </w:lvl>
    <w:lvl w:ilvl="2" w:tplc="A4167740" w:tentative="1">
      <w:start w:val="1"/>
      <w:numFmt w:val="decimal"/>
      <w:lvlText w:val="%3)"/>
      <w:lvlJc w:val="left"/>
      <w:pPr>
        <w:tabs>
          <w:tab w:val="num" w:pos="2160"/>
        </w:tabs>
        <w:ind w:left="2160" w:hanging="360"/>
      </w:pPr>
    </w:lvl>
    <w:lvl w:ilvl="3" w:tplc="30DA926C" w:tentative="1">
      <w:start w:val="1"/>
      <w:numFmt w:val="decimal"/>
      <w:lvlText w:val="%4)"/>
      <w:lvlJc w:val="left"/>
      <w:pPr>
        <w:tabs>
          <w:tab w:val="num" w:pos="2880"/>
        </w:tabs>
        <w:ind w:left="2880" w:hanging="360"/>
      </w:pPr>
    </w:lvl>
    <w:lvl w:ilvl="4" w:tplc="D5FA969E" w:tentative="1">
      <w:start w:val="1"/>
      <w:numFmt w:val="decimal"/>
      <w:lvlText w:val="%5)"/>
      <w:lvlJc w:val="left"/>
      <w:pPr>
        <w:tabs>
          <w:tab w:val="num" w:pos="3600"/>
        </w:tabs>
        <w:ind w:left="3600" w:hanging="360"/>
      </w:pPr>
    </w:lvl>
    <w:lvl w:ilvl="5" w:tplc="A768E442" w:tentative="1">
      <w:start w:val="1"/>
      <w:numFmt w:val="decimal"/>
      <w:lvlText w:val="%6)"/>
      <w:lvlJc w:val="left"/>
      <w:pPr>
        <w:tabs>
          <w:tab w:val="num" w:pos="4320"/>
        </w:tabs>
        <w:ind w:left="4320" w:hanging="360"/>
      </w:pPr>
    </w:lvl>
    <w:lvl w:ilvl="6" w:tplc="36ACCE02" w:tentative="1">
      <w:start w:val="1"/>
      <w:numFmt w:val="decimal"/>
      <w:lvlText w:val="%7)"/>
      <w:lvlJc w:val="left"/>
      <w:pPr>
        <w:tabs>
          <w:tab w:val="num" w:pos="5040"/>
        </w:tabs>
        <w:ind w:left="5040" w:hanging="360"/>
      </w:pPr>
    </w:lvl>
    <w:lvl w:ilvl="7" w:tplc="B9521042" w:tentative="1">
      <w:start w:val="1"/>
      <w:numFmt w:val="decimal"/>
      <w:lvlText w:val="%8)"/>
      <w:lvlJc w:val="left"/>
      <w:pPr>
        <w:tabs>
          <w:tab w:val="num" w:pos="5760"/>
        </w:tabs>
        <w:ind w:left="5760" w:hanging="360"/>
      </w:pPr>
    </w:lvl>
    <w:lvl w:ilvl="8" w:tplc="1D0A87B4" w:tentative="1">
      <w:start w:val="1"/>
      <w:numFmt w:val="decimal"/>
      <w:lvlText w:val="%9)"/>
      <w:lvlJc w:val="left"/>
      <w:pPr>
        <w:tabs>
          <w:tab w:val="num" w:pos="6480"/>
        </w:tabs>
        <w:ind w:left="6480" w:hanging="360"/>
      </w:pPr>
    </w:lvl>
  </w:abstractNum>
  <w:abstractNum w:abstractNumId="1">
    <w:nsid w:val="0CC22A01"/>
    <w:multiLevelType w:val="hybridMultilevel"/>
    <w:tmpl w:val="01E6286C"/>
    <w:lvl w:ilvl="0" w:tplc="74287C40">
      <w:start w:val="3"/>
      <w:numFmt w:val="bullet"/>
      <w:lvlText w:val=""/>
      <w:lvlJc w:val="left"/>
      <w:pPr>
        <w:ind w:left="397" w:hanging="360"/>
      </w:pPr>
      <w:rPr>
        <w:rFonts w:ascii="Symbol" w:eastAsia="Times New Roman" w:hAnsi="Symbol" w:cs="Times New Roman" w:hint="default"/>
      </w:rPr>
    </w:lvl>
    <w:lvl w:ilvl="1" w:tplc="08090003" w:tentative="1">
      <w:start w:val="1"/>
      <w:numFmt w:val="bullet"/>
      <w:lvlText w:val="o"/>
      <w:lvlJc w:val="left"/>
      <w:pPr>
        <w:ind w:left="1117" w:hanging="360"/>
      </w:pPr>
      <w:rPr>
        <w:rFonts w:ascii="Courier New" w:hAnsi="Courier New" w:cs="Courier New" w:hint="default"/>
      </w:rPr>
    </w:lvl>
    <w:lvl w:ilvl="2" w:tplc="08090005" w:tentative="1">
      <w:start w:val="1"/>
      <w:numFmt w:val="bullet"/>
      <w:lvlText w:val=""/>
      <w:lvlJc w:val="left"/>
      <w:pPr>
        <w:ind w:left="1837" w:hanging="360"/>
      </w:pPr>
      <w:rPr>
        <w:rFonts w:ascii="Wingdings" w:hAnsi="Wingdings" w:hint="default"/>
      </w:rPr>
    </w:lvl>
    <w:lvl w:ilvl="3" w:tplc="08090001" w:tentative="1">
      <w:start w:val="1"/>
      <w:numFmt w:val="bullet"/>
      <w:lvlText w:val=""/>
      <w:lvlJc w:val="left"/>
      <w:pPr>
        <w:ind w:left="2557" w:hanging="360"/>
      </w:pPr>
      <w:rPr>
        <w:rFonts w:ascii="Symbol" w:hAnsi="Symbol" w:hint="default"/>
      </w:rPr>
    </w:lvl>
    <w:lvl w:ilvl="4" w:tplc="08090003" w:tentative="1">
      <w:start w:val="1"/>
      <w:numFmt w:val="bullet"/>
      <w:lvlText w:val="o"/>
      <w:lvlJc w:val="left"/>
      <w:pPr>
        <w:ind w:left="3277" w:hanging="360"/>
      </w:pPr>
      <w:rPr>
        <w:rFonts w:ascii="Courier New" w:hAnsi="Courier New" w:cs="Courier New" w:hint="default"/>
      </w:rPr>
    </w:lvl>
    <w:lvl w:ilvl="5" w:tplc="08090005" w:tentative="1">
      <w:start w:val="1"/>
      <w:numFmt w:val="bullet"/>
      <w:lvlText w:val=""/>
      <w:lvlJc w:val="left"/>
      <w:pPr>
        <w:ind w:left="3997" w:hanging="360"/>
      </w:pPr>
      <w:rPr>
        <w:rFonts w:ascii="Wingdings" w:hAnsi="Wingdings" w:hint="default"/>
      </w:rPr>
    </w:lvl>
    <w:lvl w:ilvl="6" w:tplc="08090001" w:tentative="1">
      <w:start w:val="1"/>
      <w:numFmt w:val="bullet"/>
      <w:lvlText w:val=""/>
      <w:lvlJc w:val="left"/>
      <w:pPr>
        <w:ind w:left="4717" w:hanging="360"/>
      </w:pPr>
      <w:rPr>
        <w:rFonts w:ascii="Symbol" w:hAnsi="Symbol" w:hint="default"/>
      </w:rPr>
    </w:lvl>
    <w:lvl w:ilvl="7" w:tplc="08090003" w:tentative="1">
      <w:start w:val="1"/>
      <w:numFmt w:val="bullet"/>
      <w:lvlText w:val="o"/>
      <w:lvlJc w:val="left"/>
      <w:pPr>
        <w:ind w:left="5437" w:hanging="360"/>
      </w:pPr>
      <w:rPr>
        <w:rFonts w:ascii="Courier New" w:hAnsi="Courier New" w:cs="Courier New" w:hint="default"/>
      </w:rPr>
    </w:lvl>
    <w:lvl w:ilvl="8" w:tplc="08090005" w:tentative="1">
      <w:start w:val="1"/>
      <w:numFmt w:val="bullet"/>
      <w:lvlText w:val=""/>
      <w:lvlJc w:val="left"/>
      <w:pPr>
        <w:ind w:left="6157" w:hanging="360"/>
      </w:pPr>
      <w:rPr>
        <w:rFonts w:ascii="Wingdings" w:hAnsi="Wingdings" w:hint="default"/>
      </w:rPr>
    </w:lvl>
  </w:abstractNum>
  <w:abstractNum w:abstractNumId="2">
    <w:nsid w:val="76CE1068"/>
    <w:multiLevelType w:val="hybridMultilevel"/>
    <w:tmpl w:val="5088ED86"/>
    <w:lvl w:ilvl="0" w:tplc="B952FD44">
      <w:start w:val="1"/>
      <w:numFmt w:val="bullet"/>
      <w:lvlText w:val=""/>
      <w:lvlJc w:val="left"/>
      <w:pPr>
        <w:tabs>
          <w:tab w:val="num" w:pos="720"/>
        </w:tabs>
        <w:ind w:left="720" w:hanging="360"/>
      </w:pPr>
      <w:rPr>
        <w:rFonts w:ascii="Wingdings" w:hAnsi="Wingdings" w:hint="default"/>
      </w:rPr>
    </w:lvl>
    <w:lvl w:ilvl="1" w:tplc="DAD482A2" w:tentative="1">
      <w:start w:val="1"/>
      <w:numFmt w:val="bullet"/>
      <w:lvlText w:val=""/>
      <w:lvlJc w:val="left"/>
      <w:pPr>
        <w:tabs>
          <w:tab w:val="num" w:pos="1440"/>
        </w:tabs>
        <w:ind w:left="1440" w:hanging="360"/>
      </w:pPr>
      <w:rPr>
        <w:rFonts w:ascii="Wingdings" w:hAnsi="Wingdings" w:hint="default"/>
      </w:rPr>
    </w:lvl>
    <w:lvl w:ilvl="2" w:tplc="284C3A28" w:tentative="1">
      <w:start w:val="1"/>
      <w:numFmt w:val="bullet"/>
      <w:lvlText w:val=""/>
      <w:lvlJc w:val="left"/>
      <w:pPr>
        <w:tabs>
          <w:tab w:val="num" w:pos="2160"/>
        </w:tabs>
        <w:ind w:left="2160" w:hanging="360"/>
      </w:pPr>
      <w:rPr>
        <w:rFonts w:ascii="Wingdings" w:hAnsi="Wingdings" w:hint="default"/>
      </w:rPr>
    </w:lvl>
    <w:lvl w:ilvl="3" w:tplc="85C2CD9E" w:tentative="1">
      <w:start w:val="1"/>
      <w:numFmt w:val="bullet"/>
      <w:lvlText w:val=""/>
      <w:lvlJc w:val="left"/>
      <w:pPr>
        <w:tabs>
          <w:tab w:val="num" w:pos="2880"/>
        </w:tabs>
        <w:ind w:left="2880" w:hanging="360"/>
      </w:pPr>
      <w:rPr>
        <w:rFonts w:ascii="Wingdings" w:hAnsi="Wingdings" w:hint="default"/>
      </w:rPr>
    </w:lvl>
    <w:lvl w:ilvl="4" w:tplc="DB1200A2" w:tentative="1">
      <w:start w:val="1"/>
      <w:numFmt w:val="bullet"/>
      <w:lvlText w:val=""/>
      <w:lvlJc w:val="left"/>
      <w:pPr>
        <w:tabs>
          <w:tab w:val="num" w:pos="3600"/>
        </w:tabs>
        <w:ind w:left="3600" w:hanging="360"/>
      </w:pPr>
      <w:rPr>
        <w:rFonts w:ascii="Wingdings" w:hAnsi="Wingdings" w:hint="default"/>
      </w:rPr>
    </w:lvl>
    <w:lvl w:ilvl="5" w:tplc="B13239AC" w:tentative="1">
      <w:start w:val="1"/>
      <w:numFmt w:val="bullet"/>
      <w:lvlText w:val=""/>
      <w:lvlJc w:val="left"/>
      <w:pPr>
        <w:tabs>
          <w:tab w:val="num" w:pos="4320"/>
        </w:tabs>
        <w:ind w:left="4320" w:hanging="360"/>
      </w:pPr>
      <w:rPr>
        <w:rFonts w:ascii="Wingdings" w:hAnsi="Wingdings" w:hint="default"/>
      </w:rPr>
    </w:lvl>
    <w:lvl w:ilvl="6" w:tplc="06FE82B0" w:tentative="1">
      <w:start w:val="1"/>
      <w:numFmt w:val="bullet"/>
      <w:lvlText w:val=""/>
      <w:lvlJc w:val="left"/>
      <w:pPr>
        <w:tabs>
          <w:tab w:val="num" w:pos="5040"/>
        </w:tabs>
        <w:ind w:left="5040" w:hanging="360"/>
      </w:pPr>
      <w:rPr>
        <w:rFonts w:ascii="Wingdings" w:hAnsi="Wingdings" w:hint="default"/>
      </w:rPr>
    </w:lvl>
    <w:lvl w:ilvl="7" w:tplc="19B0E8FE" w:tentative="1">
      <w:start w:val="1"/>
      <w:numFmt w:val="bullet"/>
      <w:lvlText w:val=""/>
      <w:lvlJc w:val="left"/>
      <w:pPr>
        <w:tabs>
          <w:tab w:val="num" w:pos="5760"/>
        </w:tabs>
        <w:ind w:left="5760" w:hanging="360"/>
      </w:pPr>
      <w:rPr>
        <w:rFonts w:ascii="Wingdings" w:hAnsi="Wingdings" w:hint="default"/>
      </w:rPr>
    </w:lvl>
    <w:lvl w:ilvl="8" w:tplc="EF2067E6"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333"/>
    <w:rsid w:val="0000373E"/>
    <w:rsid w:val="00010C49"/>
    <w:rsid w:val="000141BF"/>
    <w:rsid w:val="00017C7C"/>
    <w:rsid w:val="0002096C"/>
    <w:rsid w:val="00023E99"/>
    <w:rsid w:val="00025C53"/>
    <w:rsid w:val="00027412"/>
    <w:rsid w:val="000306DE"/>
    <w:rsid w:val="00030CE2"/>
    <w:rsid w:val="00044BDB"/>
    <w:rsid w:val="0005535F"/>
    <w:rsid w:val="0005642A"/>
    <w:rsid w:val="00057287"/>
    <w:rsid w:val="00060112"/>
    <w:rsid w:val="00067D82"/>
    <w:rsid w:val="00070E58"/>
    <w:rsid w:val="00071B7B"/>
    <w:rsid w:val="0008247A"/>
    <w:rsid w:val="000A6FB9"/>
    <w:rsid w:val="000B09D2"/>
    <w:rsid w:val="000B1E88"/>
    <w:rsid w:val="000B39DE"/>
    <w:rsid w:val="000B69D7"/>
    <w:rsid w:val="000C3920"/>
    <w:rsid w:val="000C5A54"/>
    <w:rsid w:val="000E36EC"/>
    <w:rsid w:val="000E4FB3"/>
    <w:rsid w:val="000E73E4"/>
    <w:rsid w:val="000F1CBA"/>
    <w:rsid w:val="000F58D4"/>
    <w:rsid w:val="00101F3B"/>
    <w:rsid w:val="00110B17"/>
    <w:rsid w:val="001147C1"/>
    <w:rsid w:val="001416D4"/>
    <w:rsid w:val="00145941"/>
    <w:rsid w:val="00156EF6"/>
    <w:rsid w:val="0017176C"/>
    <w:rsid w:val="00177F4C"/>
    <w:rsid w:val="001804F3"/>
    <w:rsid w:val="00180698"/>
    <w:rsid w:val="001807C4"/>
    <w:rsid w:val="00183C81"/>
    <w:rsid w:val="0018687D"/>
    <w:rsid w:val="00195178"/>
    <w:rsid w:val="00195279"/>
    <w:rsid w:val="001A3E59"/>
    <w:rsid w:val="001A3F3B"/>
    <w:rsid w:val="001A497F"/>
    <w:rsid w:val="001D0AE5"/>
    <w:rsid w:val="001D6CFF"/>
    <w:rsid w:val="001E0EA8"/>
    <w:rsid w:val="001E4B33"/>
    <w:rsid w:val="00213FBA"/>
    <w:rsid w:val="002435B0"/>
    <w:rsid w:val="002468E6"/>
    <w:rsid w:val="00260801"/>
    <w:rsid w:val="00270ABA"/>
    <w:rsid w:val="00270B9B"/>
    <w:rsid w:val="0027428D"/>
    <w:rsid w:val="00282159"/>
    <w:rsid w:val="002832FB"/>
    <w:rsid w:val="0028447F"/>
    <w:rsid w:val="002844A0"/>
    <w:rsid w:val="002A6ED8"/>
    <w:rsid w:val="002B0331"/>
    <w:rsid w:val="002B2556"/>
    <w:rsid w:val="002B3660"/>
    <w:rsid w:val="002B584C"/>
    <w:rsid w:val="002C1940"/>
    <w:rsid w:val="002C340D"/>
    <w:rsid w:val="002C3463"/>
    <w:rsid w:val="002C73D2"/>
    <w:rsid w:val="002D6391"/>
    <w:rsid w:val="002E268D"/>
    <w:rsid w:val="002E5D0B"/>
    <w:rsid w:val="002E6F5F"/>
    <w:rsid w:val="002F54EE"/>
    <w:rsid w:val="002F68A3"/>
    <w:rsid w:val="002F6ECE"/>
    <w:rsid w:val="002F7164"/>
    <w:rsid w:val="00310EA8"/>
    <w:rsid w:val="003166DF"/>
    <w:rsid w:val="00323A1D"/>
    <w:rsid w:val="003300A8"/>
    <w:rsid w:val="00341FE4"/>
    <w:rsid w:val="00374BE5"/>
    <w:rsid w:val="003758EF"/>
    <w:rsid w:val="0037628A"/>
    <w:rsid w:val="00390A36"/>
    <w:rsid w:val="003A556F"/>
    <w:rsid w:val="003C014D"/>
    <w:rsid w:val="003C3A2D"/>
    <w:rsid w:val="003F59CC"/>
    <w:rsid w:val="003F75F3"/>
    <w:rsid w:val="004013D9"/>
    <w:rsid w:val="00401E95"/>
    <w:rsid w:val="00403BC6"/>
    <w:rsid w:val="00405B53"/>
    <w:rsid w:val="00406B58"/>
    <w:rsid w:val="004170BC"/>
    <w:rsid w:val="00420A44"/>
    <w:rsid w:val="00434111"/>
    <w:rsid w:val="00436001"/>
    <w:rsid w:val="00445707"/>
    <w:rsid w:val="00447905"/>
    <w:rsid w:val="0046271C"/>
    <w:rsid w:val="00465AF8"/>
    <w:rsid w:val="00465E99"/>
    <w:rsid w:val="00466865"/>
    <w:rsid w:val="004775A7"/>
    <w:rsid w:val="004A1B53"/>
    <w:rsid w:val="004B20E6"/>
    <w:rsid w:val="004B3381"/>
    <w:rsid w:val="004C5FF1"/>
    <w:rsid w:val="004F0B1F"/>
    <w:rsid w:val="004F4C03"/>
    <w:rsid w:val="00501853"/>
    <w:rsid w:val="00513176"/>
    <w:rsid w:val="00516695"/>
    <w:rsid w:val="005211E6"/>
    <w:rsid w:val="005262B6"/>
    <w:rsid w:val="005316FF"/>
    <w:rsid w:val="00534310"/>
    <w:rsid w:val="0053613A"/>
    <w:rsid w:val="00562240"/>
    <w:rsid w:val="00571FDB"/>
    <w:rsid w:val="00581556"/>
    <w:rsid w:val="005879FE"/>
    <w:rsid w:val="00591816"/>
    <w:rsid w:val="00597F60"/>
    <w:rsid w:val="005A13D2"/>
    <w:rsid w:val="005A3C33"/>
    <w:rsid w:val="005A4E43"/>
    <w:rsid w:val="005B3011"/>
    <w:rsid w:val="005C039B"/>
    <w:rsid w:val="005C515F"/>
    <w:rsid w:val="005D15CB"/>
    <w:rsid w:val="005D2C1F"/>
    <w:rsid w:val="005D35CF"/>
    <w:rsid w:val="005E21B3"/>
    <w:rsid w:val="005E33F6"/>
    <w:rsid w:val="005E5060"/>
    <w:rsid w:val="005E70AF"/>
    <w:rsid w:val="005F363D"/>
    <w:rsid w:val="00601008"/>
    <w:rsid w:val="00602FC4"/>
    <w:rsid w:val="0060631C"/>
    <w:rsid w:val="0061518B"/>
    <w:rsid w:val="006171B4"/>
    <w:rsid w:val="00620324"/>
    <w:rsid w:val="0062478E"/>
    <w:rsid w:val="006255B5"/>
    <w:rsid w:val="00631EB0"/>
    <w:rsid w:val="00635AEF"/>
    <w:rsid w:val="00641E88"/>
    <w:rsid w:val="00661720"/>
    <w:rsid w:val="00661E6D"/>
    <w:rsid w:val="00674730"/>
    <w:rsid w:val="00675805"/>
    <w:rsid w:val="0068382E"/>
    <w:rsid w:val="006912D2"/>
    <w:rsid w:val="0069563E"/>
    <w:rsid w:val="006A0721"/>
    <w:rsid w:val="006A278D"/>
    <w:rsid w:val="006A396D"/>
    <w:rsid w:val="006A4FDD"/>
    <w:rsid w:val="006B4EE6"/>
    <w:rsid w:val="006B7E6C"/>
    <w:rsid w:val="006C32D4"/>
    <w:rsid w:val="006C33D4"/>
    <w:rsid w:val="006C7344"/>
    <w:rsid w:val="006D51FD"/>
    <w:rsid w:val="006D5F88"/>
    <w:rsid w:val="006E0555"/>
    <w:rsid w:val="006E58EE"/>
    <w:rsid w:val="006F0B92"/>
    <w:rsid w:val="006F4F49"/>
    <w:rsid w:val="00700E1B"/>
    <w:rsid w:val="00700E87"/>
    <w:rsid w:val="00713856"/>
    <w:rsid w:val="007351E8"/>
    <w:rsid w:val="007408F9"/>
    <w:rsid w:val="00747C6C"/>
    <w:rsid w:val="00753E74"/>
    <w:rsid w:val="0075734E"/>
    <w:rsid w:val="0075766D"/>
    <w:rsid w:val="00770130"/>
    <w:rsid w:val="00771C2E"/>
    <w:rsid w:val="0077624A"/>
    <w:rsid w:val="00793607"/>
    <w:rsid w:val="00795D4B"/>
    <w:rsid w:val="007A08B8"/>
    <w:rsid w:val="007A7CD3"/>
    <w:rsid w:val="007B2614"/>
    <w:rsid w:val="007B7616"/>
    <w:rsid w:val="007B7948"/>
    <w:rsid w:val="007C0F25"/>
    <w:rsid w:val="007C2503"/>
    <w:rsid w:val="007C26D7"/>
    <w:rsid w:val="007D251F"/>
    <w:rsid w:val="007D76E8"/>
    <w:rsid w:val="007E1111"/>
    <w:rsid w:val="008107F1"/>
    <w:rsid w:val="008122B2"/>
    <w:rsid w:val="00812DE2"/>
    <w:rsid w:val="008157B7"/>
    <w:rsid w:val="00821A60"/>
    <w:rsid w:val="00831085"/>
    <w:rsid w:val="00833425"/>
    <w:rsid w:val="0084158B"/>
    <w:rsid w:val="00851BCD"/>
    <w:rsid w:val="00863C8A"/>
    <w:rsid w:val="00872CD0"/>
    <w:rsid w:val="008738E7"/>
    <w:rsid w:val="00880D60"/>
    <w:rsid w:val="008921B8"/>
    <w:rsid w:val="00892EC8"/>
    <w:rsid w:val="00893E63"/>
    <w:rsid w:val="008A7245"/>
    <w:rsid w:val="008D0B89"/>
    <w:rsid w:val="008E3F6B"/>
    <w:rsid w:val="009001C2"/>
    <w:rsid w:val="009004F9"/>
    <w:rsid w:val="009017F8"/>
    <w:rsid w:val="0090191D"/>
    <w:rsid w:val="00902A9E"/>
    <w:rsid w:val="009064E0"/>
    <w:rsid w:val="00911C32"/>
    <w:rsid w:val="00912098"/>
    <w:rsid w:val="00912ABD"/>
    <w:rsid w:val="00920198"/>
    <w:rsid w:val="00921F95"/>
    <w:rsid w:val="009413BA"/>
    <w:rsid w:val="00953DA5"/>
    <w:rsid w:val="0095590F"/>
    <w:rsid w:val="00955CD7"/>
    <w:rsid w:val="0096165A"/>
    <w:rsid w:val="00962E37"/>
    <w:rsid w:val="00972819"/>
    <w:rsid w:val="00973066"/>
    <w:rsid w:val="0097597E"/>
    <w:rsid w:val="00977849"/>
    <w:rsid w:val="009847D7"/>
    <w:rsid w:val="00997420"/>
    <w:rsid w:val="009A060D"/>
    <w:rsid w:val="009A2D2E"/>
    <w:rsid w:val="009B3C81"/>
    <w:rsid w:val="009C567C"/>
    <w:rsid w:val="009C6060"/>
    <w:rsid w:val="009C6B91"/>
    <w:rsid w:val="009D6BE5"/>
    <w:rsid w:val="009F14D8"/>
    <w:rsid w:val="009F2002"/>
    <w:rsid w:val="009F3027"/>
    <w:rsid w:val="009F4D9D"/>
    <w:rsid w:val="009F525C"/>
    <w:rsid w:val="00A14E38"/>
    <w:rsid w:val="00A22129"/>
    <w:rsid w:val="00A330D6"/>
    <w:rsid w:val="00A4193C"/>
    <w:rsid w:val="00A444DC"/>
    <w:rsid w:val="00A47B6D"/>
    <w:rsid w:val="00A5364C"/>
    <w:rsid w:val="00A864E5"/>
    <w:rsid w:val="00A95C34"/>
    <w:rsid w:val="00AA07F6"/>
    <w:rsid w:val="00AA3040"/>
    <w:rsid w:val="00AA3745"/>
    <w:rsid w:val="00AA77BD"/>
    <w:rsid w:val="00AB1C68"/>
    <w:rsid w:val="00AB58BF"/>
    <w:rsid w:val="00AC194C"/>
    <w:rsid w:val="00AC2704"/>
    <w:rsid w:val="00AC44ED"/>
    <w:rsid w:val="00AD1246"/>
    <w:rsid w:val="00AD180D"/>
    <w:rsid w:val="00AD2D12"/>
    <w:rsid w:val="00AF4B79"/>
    <w:rsid w:val="00B0764E"/>
    <w:rsid w:val="00B14833"/>
    <w:rsid w:val="00B22ECD"/>
    <w:rsid w:val="00B23F80"/>
    <w:rsid w:val="00B25926"/>
    <w:rsid w:val="00B3693F"/>
    <w:rsid w:val="00B40369"/>
    <w:rsid w:val="00B52D92"/>
    <w:rsid w:val="00B569FD"/>
    <w:rsid w:val="00B669E4"/>
    <w:rsid w:val="00B70AC9"/>
    <w:rsid w:val="00B73201"/>
    <w:rsid w:val="00B83E13"/>
    <w:rsid w:val="00BA5FD2"/>
    <w:rsid w:val="00BA740B"/>
    <w:rsid w:val="00BB31F9"/>
    <w:rsid w:val="00BC489F"/>
    <w:rsid w:val="00BD3592"/>
    <w:rsid w:val="00BD3EFF"/>
    <w:rsid w:val="00BD6461"/>
    <w:rsid w:val="00BD6E39"/>
    <w:rsid w:val="00BE1335"/>
    <w:rsid w:val="00BF3F1B"/>
    <w:rsid w:val="00BF7EEE"/>
    <w:rsid w:val="00C04D70"/>
    <w:rsid w:val="00C13825"/>
    <w:rsid w:val="00C213D4"/>
    <w:rsid w:val="00C31336"/>
    <w:rsid w:val="00C315B7"/>
    <w:rsid w:val="00C348C7"/>
    <w:rsid w:val="00C415CD"/>
    <w:rsid w:val="00C46BE8"/>
    <w:rsid w:val="00C46DE9"/>
    <w:rsid w:val="00C4791D"/>
    <w:rsid w:val="00C53831"/>
    <w:rsid w:val="00C555B0"/>
    <w:rsid w:val="00C61204"/>
    <w:rsid w:val="00C612E5"/>
    <w:rsid w:val="00C70EDB"/>
    <w:rsid w:val="00C908A6"/>
    <w:rsid w:val="00C96618"/>
    <w:rsid w:val="00CA2199"/>
    <w:rsid w:val="00CA6645"/>
    <w:rsid w:val="00CB3D8B"/>
    <w:rsid w:val="00CB5E83"/>
    <w:rsid w:val="00CB77E9"/>
    <w:rsid w:val="00CD5AEA"/>
    <w:rsid w:val="00CE1A14"/>
    <w:rsid w:val="00CF1045"/>
    <w:rsid w:val="00CF17C4"/>
    <w:rsid w:val="00CF343D"/>
    <w:rsid w:val="00CF39CA"/>
    <w:rsid w:val="00D205C3"/>
    <w:rsid w:val="00D26470"/>
    <w:rsid w:val="00D27F9C"/>
    <w:rsid w:val="00D303B2"/>
    <w:rsid w:val="00D3204D"/>
    <w:rsid w:val="00D41726"/>
    <w:rsid w:val="00D425FD"/>
    <w:rsid w:val="00D450CB"/>
    <w:rsid w:val="00D468BF"/>
    <w:rsid w:val="00D574E7"/>
    <w:rsid w:val="00D609A0"/>
    <w:rsid w:val="00D62E06"/>
    <w:rsid w:val="00D676BC"/>
    <w:rsid w:val="00D70503"/>
    <w:rsid w:val="00D72212"/>
    <w:rsid w:val="00D85300"/>
    <w:rsid w:val="00D86DA7"/>
    <w:rsid w:val="00D9073B"/>
    <w:rsid w:val="00D92CD7"/>
    <w:rsid w:val="00D96957"/>
    <w:rsid w:val="00DA05B4"/>
    <w:rsid w:val="00DB3502"/>
    <w:rsid w:val="00DB7070"/>
    <w:rsid w:val="00DB71D5"/>
    <w:rsid w:val="00DD6A1F"/>
    <w:rsid w:val="00DE63C9"/>
    <w:rsid w:val="00E063CB"/>
    <w:rsid w:val="00E110AD"/>
    <w:rsid w:val="00E14333"/>
    <w:rsid w:val="00E22B1E"/>
    <w:rsid w:val="00E349E0"/>
    <w:rsid w:val="00E41BBC"/>
    <w:rsid w:val="00E43570"/>
    <w:rsid w:val="00E51341"/>
    <w:rsid w:val="00E540E3"/>
    <w:rsid w:val="00E5640E"/>
    <w:rsid w:val="00E64141"/>
    <w:rsid w:val="00E678D2"/>
    <w:rsid w:val="00E73E8A"/>
    <w:rsid w:val="00E86C82"/>
    <w:rsid w:val="00E87FD7"/>
    <w:rsid w:val="00E9275E"/>
    <w:rsid w:val="00E94D43"/>
    <w:rsid w:val="00E95D2C"/>
    <w:rsid w:val="00EA0F26"/>
    <w:rsid w:val="00EA62F6"/>
    <w:rsid w:val="00EA7C8E"/>
    <w:rsid w:val="00EB398A"/>
    <w:rsid w:val="00EB6568"/>
    <w:rsid w:val="00EC3579"/>
    <w:rsid w:val="00EC78A7"/>
    <w:rsid w:val="00EE0940"/>
    <w:rsid w:val="00F04945"/>
    <w:rsid w:val="00F055DF"/>
    <w:rsid w:val="00F16411"/>
    <w:rsid w:val="00F31D5C"/>
    <w:rsid w:val="00F36AB6"/>
    <w:rsid w:val="00F41B13"/>
    <w:rsid w:val="00F5408E"/>
    <w:rsid w:val="00F55969"/>
    <w:rsid w:val="00F648BD"/>
    <w:rsid w:val="00F67896"/>
    <w:rsid w:val="00F74774"/>
    <w:rsid w:val="00F7616B"/>
    <w:rsid w:val="00F8260E"/>
    <w:rsid w:val="00F845AD"/>
    <w:rsid w:val="00F900E3"/>
    <w:rsid w:val="00F970EA"/>
    <w:rsid w:val="00FA1EAD"/>
    <w:rsid w:val="00FA2783"/>
    <w:rsid w:val="00FA4A4D"/>
    <w:rsid w:val="00FA5C7A"/>
    <w:rsid w:val="00FA7B57"/>
    <w:rsid w:val="00FB6C8A"/>
    <w:rsid w:val="00FC3ADB"/>
    <w:rsid w:val="00FC7240"/>
    <w:rsid w:val="00FE1F1C"/>
    <w:rsid w:val="00FE7200"/>
    <w:rsid w:val="00FF60ED"/>
    <w:rsid w:val="00FF78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93E3D"/>
  <w15:docId w15:val="{B102C03F-5FE2-4991-9A68-ECB4C436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3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1433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14333"/>
  </w:style>
  <w:style w:type="paragraph" w:styleId="Footer">
    <w:name w:val="footer"/>
    <w:basedOn w:val="Normal"/>
    <w:link w:val="FooterChar"/>
    <w:uiPriority w:val="99"/>
    <w:unhideWhenUsed/>
    <w:rsid w:val="00E1433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14333"/>
  </w:style>
  <w:style w:type="paragraph" w:styleId="BalloonText">
    <w:name w:val="Balloon Text"/>
    <w:basedOn w:val="Normal"/>
    <w:link w:val="BalloonTextChar"/>
    <w:uiPriority w:val="99"/>
    <w:semiHidden/>
    <w:unhideWhenUsed/>
    <w:rsid w:val="00E1433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14333"/>
    <w:rPr>
      <w:rFonts w:ascii="Tahoma" w:hAnsi="Tahoma" w:cs="Tahoma"/>
      <w:sz w:val="16"/>
      <w:szCs w:val="16"/>
    </w:rPr>
  </w:style>
  <w:style w:type="paragraph" w:customStyle="1" w:styleId="Default">
    <w:name w:val="Default"/>
    <w:rsid w:val="00C213D4"/>
    <w:pPr>
      <w:autoSpaceDE w:val="0"/>
      <w:autoSpaceDN w:val="0"/>
      <w:adjustRightInd w:val="0"/>
      <w:spacing w:after="0" w:line="240" w:lineRule="auto"/>
    </w:pPr>
    <w:rPr>
      <w:rFonts w:ascii="Cambria" w:hAnsi="Cambria" w:cs="Cambria"/>
      <w:color w:val="000000"/>
      <w:sz w:val="24"/>
      <w:szCs w:val="24"/>
    </w:rPr>
  </w:style>
  <w:style w:type="character" w:customStyle="1" w:styleId="st">
    <w:name w:val="st"/>
    <w:basedOn w:val="DefaultParagraphFont"/>
    <w:rsid w:val="000F58D4"/>
  </w:style>
  <w:style w:type="character" w:styleId="Emphasis">
    <w:name w:val="Emphasis"/>
    <w:basedOn w:val="DefaultParagraphFont"/>
    <w:uiPriority w:val="20"/>
    <w:qFormat/>
    <w:rsid w:val="000F58D4"/>
    <w:rPr>
      <w:i/>
      <w:iCs/>
    </w:rPr>
  </w:style>
  <w:style w:type="character" w:styleId="Hyperlink">
    <w:name w:val="Hyperlink"/>
    <w:basedOn w:val="DefaultParagraphFont"/>
    <w:uiPriority w:val="99"/>
    <w:unhideWhenUsed/>
    <w:rsid w:val="00534310"/>
    <w:rPr>
      <w:color w:val="0000FF" w:themeColor="hyperlink"/>
      <w:u w:val="single"/>
    </w:rPr>
  </w:style>
  <w:style w:type="character" w:styleId="CommentReference">
    <w:name w:val="annotation reference"/>
    <w:basedOn w:val="DefaultParagraphFont"/>
    <w:uiPriority w:val="99"/>
    <w:semiHidden/>
    <w:unhideWhenUsed/>
    <w:rsid w:val="00057287"/>
    <w:rPr>
      <w:sz w:val="16"/>
      <w:szCs w:val="16"/>
    </w:rPr>
  </w:style>
  <w:style w:type="paragraph" w:styleId="CommentText">
    <w:name w:val="annotation text"/>
    <w:basedOn w:val="Normal"/>
    <w:link w:val="CommentTextChar"/>
    <w:uiPriority w:val="99"/>
    <w:unhideWhenUsed/>
    <w:rsid w:val="00057287"/>
    <w:rPr>
      <w:sz w:val="20"/>
      <w:szCs w:val="20"/>
    </w:rPr>
  </w:style>
  <w:style w:type="character" w:customStyle="1" w:styleId="CommentTextChar">
    <w:name w:val="Comment Text Char"/>
    <w:basedOn w:val="DefaultParagraphFont"/>
    <w:link w:val="CommentText"/>
    <w:uiPriority w:val="99"/>
    <w:rsid w:val="000572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7287"/>
    <w:rPr>
      <w:b/>
      <w:bCs/>
    </w:rPr>
  </w:style>
  <w:style w:type="character" w:customStyle="1" w:styleId="CommentSubjectChar">
    <w:name w:val="Comment Subject Char"/>
    <w:basedOn w:val="CommentTextChar"/>
    <w:link w:val="CommentSubject"/>
    <w:uiPriority w:val="99"/>
    <w:semiHidden/>
    <w:rsid w:val="00057287"/>
    <w:rPr>
      <w:rFonts w:ascii="Times New Roman" w:eastAsia="Times New Roman" w:hAnsi="Times New Roman" w:cs="Times New Roman"/>
      <w:b/>
      <w:bCs/>
      <w:sz w:val="20"/>
      <w:szCs w:val="20"/>
    </w:rPr>
  </w:style>
  <w:style w:type="paragraph" w:customStyle="1" w:styleId="EndNoteBibliography">
    <w:name w:val="EndNote Bibliography"/>
    <w:basedOn w:val="Normal"/>
    <w:link w:val="EndNoteBibliographyChar"/>
    <w:rsid w:val="00AC2704"/>
    <w:pPr>
      <w:spacing w:after="160"/>
    </w:pPr>
    <w:rPr>
      <w:rFonts w:ascii="Calibri" w:eastAsiaTheme="minorHAnsi" w:hAnsi="Calibri" w:cstheme="minorBidi"/>
      <w:noProof/>
      <w:sz w:val="22"/>
      <w:szCs w:val="22"/>
      <w:lang w:val="en-US"/>
    </w:rPr>
  </w:style>
  <w:style w:type="character" w:customStyle="1" w:styleId="EndNoteBibliographyChar">
    <w:name w:val="EndNote Bibliography Char"/>
    <w:basedOn w:val="DefaultParagraphFont"/>
    <w:link w:val="EndNoteBibliography"/>
    <w:rsid w:val="00AC2704"/>
    <w:rPr>
      <w:rFonts w:ascii="Calibri" w:hAnsi="Calibri"/>
      <w:noProof/>
      <w:lang w:val="en-US"/>
    </w:rPr>
  </w:style>
  <w:style w:type="paragraph" w:styleId="ListParagraph">
    <w:name w:val="List Paragraph"/>
    <w:basedOn w:val="Normal"/>
    <w:uiPriority w:val="34"/>
    <w:qFormat/>
    <w:rsid w:val="004B3381"/>
    <w:pPr>
      <w:ind w:left="720"/>
      <w:contextualSpacing/>
    </w:pPr>
  </w:style>
  <w:style w:type="paragraph" w:styleId="Revision">
    <w:name w:val="Revision"/>
    <w:hidden/>
    <w:uiPriority w:val="99"/>
    <w:semiHidden/>
    <w:rsid w:val="00023E9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49381">
      <w:bodyDiv w:val="1"/>
      <w:marLeft w:val="0"/>
      <w:marRight w:val="0"/>
      <w:marTop w:val="0"/>
      <w:marBottom w:val="0"/>
      <w:divBdr>
        <w:top w:val="none" w:sz="0" w:space="0" w:color="auto"/>
        <w:left w:val="none" w:sz="0" w:space="0" w:color="auto"/>
        <w:bottom w:val="none" w:sz="0" w:space="0" w:color="auto"/>
        <w:right w:val="none" w:sz="0" w:space="0" w:color="auto"/>
      </w:divBdr>
    </w:div>
    <w:div w:id="1499493990">
      <w:bodyDiv w:val="1"/>
      <w:marLeft w:val="0"/>
      <w:marRight w:val="0"/>
      <w:marTop w:val="0"/>
      <w:marBottom w:val="0"/>
      <w:divBdr>
        <w:top w:val="none" w:sz="0" w:space="0" w:color="auto"/>
        <w:left w:val="none" w:sz="0" w:space="0" w:color="auto"/>
        <w:bottom w:val="none" w:sz="0" w:space="0" w:color="auto"/>
        <w:right w:val="none" w:sz="0" w:space="0" w:color="auto"/>
      </w:divBdr>
    </w:div>
    <w:div w:id="1560359074">
      <w:bodyDiv w:val="1"/>
      <w:marLeft w:val="0"/>
      <w:marRight w:val="0"/>
      <w:marTop w:val="0"/>
      <w:marBottom w:val="0"/>
      <w:divBdr>
        <w:top w:val="none" w:sz="0" w:space="0" w:color="auto"/>
        <w:left w:val="none" w:sz="0" w:space="0" w:color="auto"/>
        <w:bottom w:val="none" w:sz="0" w:space="0" w:color="auto"/>
        <w:right w:val="none" w:sz="0" w:space="0" w:color="auto"/>
      </w:divBdr>
      <w:divsChild>
        <w:div w:id="1269041586">
          <w:marLeft w:val="720"/>
          <w:marRight w:val="0"/>
          <w:marTop w:val="0"/>
          <w:marBottom w:val="0"/>
          <w:divBdr>
            <w:top w:val="none" w:sz="0" w:space="0" w:color="auto"/>
            <w:left w:val="none" w:sz="0" w:space="0" w:color="auto"/>
            <w:bottom w:val="none" w:sz="0" w:space="0" w:color="auto"/>
            <w:right w:val="none" w:sz="0" w:space="0" w:color="auto"/>
          </w:divBdr>
        </w:div>
        <w:div w:id="1885948779">
          <w:marLeft w:val="720"/>
          <w:marRight w:val="0"/>
          <w:marTop w:val="0"/>
          <w:marBottom w:val="0"/>
          <w:divBdr>
            <w:top w:val="none" w:sz="0" w:space="0" w:color="auto"/>
            <w:left w:val="none" w:sz="0" w:space="0" w:color="auto"/>
            <w:bottom w:val="none" w:sz="0" w:space="0" w:color="auto"/>
            <w:right w:val="none" w:sz="0" w:space="0" w:color="auto"/>
          </w:divBdr>
        </w:div>
        <w:div w:id="1723866874">
          <w:marLeft w:val="720"/>
          <w:marRight w:val="0"/>
          <w:marTop w:val="0"/>
          <w:marBottom w:val="0"/>
          <w:divBdr>
            <w:top w:val="none" w:sz="0" w:space="0" w:color="auto"/>
            <w:left w:val="none" w:sz="0" w:space="0" w:color="auto"/>
            <w:bottom w:val="none" w:sz="0" w:space="0" w:color="auto"/>
            <w:right w:val="none" w:sz="0" w:space="0" w:color="auto"/>
          </w:divBdr>
        </w:div>
      </w:divsChild>
    </w:div>
    <w:div w:id="1983777036">
      <w:bodyDiv w:val="1"/>
      <w:marLeft w:val="0"/>
      <w:marRight w:val="0"/>
      <w:marTop w:val="0"/>
      <w:marBottom w:val="0"/>
      <w:divBdr>
        <w:top w:val="none" w:sz="0" w:space="0" w:color="auto"/>
        <w:left w:val="none" w:sz="0" w:space="0" w:color="auto"/>
        <w:bottom w:val="none" w:sz="0" w:space="0" w:color="auto"/>
        <w:right w:val="none" w:sz="0" w:space="0" w:color="auto"/>
      </w:divBdr>
      <w:divsChild>
        <w:div w:id="1667782105">
          <w:marLeft w:val="720"/>
          <w:marRight w:val="0"/>
          <w:marTop w:val="0"/>
          <w:marBottom w:val="0"/>
          <w:divBdr>
            <w:top w:val="none" w:sz="0" w:space="0" w:color="auto"/>
            <w:left w:val="none" w:sz="0" w:space="0" w:color="auto"/>
            <w:bottom w:val="none" w:sz="0" w:space="0" w:color="auto"/>
            <w:right w:val="none" w:sz="0" w:space="0" w:color="auto"/>
          </w:divBdr>
        </w:div>
        <w:div w:id="857162866">
          <w:marLeft w:val="720"/>
          <w:marRight w:val="0"/>
          <w:marTop w:val="0"/>
          <w:marBottom w:val="0"/>
          <w:divBdr>
            <w:top w:val="none" w:sz="0" w:space="0" w:color="auto"/>
            <w:left w:val="none" w:sz="0" w:space="0" w:color="auto"/>
            <w:bottom w:val="none" w:sz="0" w:space="0" w:color="auto"/>
            <w:right w:val="none" w:sz="0" w:space="0" w:color="auto"/>
          </w:divBdr>
        </w:div>
        <w:div w:id="1961718964">
          <w:marLeft w:val="720"/>
          <w:marRight w:val="0"/>
          <w:marTop w:val="0"/>
          <w:marBottom w:val="0"/>
          <w:divBdr>
            <w:top w:val="none" w:sz="0" w:space="0" w:color="auto"/>
            <w:left w:val="none" w:sz="0" w:space="0" w:color="auto"/>
            <w:bottom w:val="none" w:sz="0" w:space="0" w:color="auto"/>
            <w:right w:val="none" w:sz="0" w:space="0" w:color="auto"/>
          </w:divBdr>
        </w:div>
        <w:div w:id="1300038025">
          <w:marLeft w:val="720"/>
          <w:marRight w:val="0"/>
          <w:marTop w:val="0"/>
          <w:marBottom w:val="0"/>
          <w:divBdr>
            <w:top w:val="none" w:sz="0" w:space="0" w:color="auto"/>
            <w:left w:val="none" w:sz="0" w:space="0" w:color="auto"/>
            <w:bottom w:val="none" w:sz="0" w:space="0" w:color="auto"/>
            <w:right w:val="none" w:sz="0" w:space="0" w:color="auto"/>
          </w:divBdr>
        </w:div>
        <w:div w:id="1867283826">
          <w:marLeft w:val="720"/>
          <w:marRight w:val="0"/>
          <w:marTop w:val="0"/>
          <w:marBottom w:val="0"/>
          <w:divBdr>
            <w:top w:val="none" w:sz="0" w:space="0" w:color="auto"/>
            <w:left w:val="none" w:sz="0" w:space="0" w:color="auto"/>
            <w:bottom w:val="none" w:sz="0" w:space="0" w:color="auto"/>
            <w:right w:val="none" w:sz="0" w:space="0" w:color="auto"/>
          </w:divBdr>
        </w:div>
        <w:div w:id="745687829">
          <w:marLeft w:val="720"/>
          <w:marRight w:val="0"/>
          <w:marTop w:val="0"/>
          <w:marBottom w:val="0"/>
          <w:divBdr>
            <w:top w:val="none" w:sz="0" w:space="0" w:color="auto"/>
            <w:left w:val="none" w:sz="0" w:space="0" w:color="auto"/>
            <w:bottom w:val="none" w:sz="0" w:space="0" w:color="auto"/>
            <w:right w:val="none" w:sz="0" w:space="0" w:color="auto"/>
          </w:divBdr>
        </w:div>
      </w:divsChild>
    </w:div>
    <w:div w:id="209219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44768-CF3A-43D8-A174-F61E75EC1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SRUC</Company>
  <LinksUpToDate>false</LinksUpToDate>
  <CharactersWithSpaces>5032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BSAS</dc:creator>
  <cp:lastModifiedBy>mhebz</cp:lastModifiedBy>
  <cp:revision>7</cp:revision>
  <dcterms:created xsi:type="dcterms:W3CDTF">2023-11-14T03:52:00Z</dcterms:created>
  <dcterms:modified xsi:type="dcterms:W3CDTF">2023-11-14T14:53:00Z</dcterms:modified>
</cp:coreProperties>
</file>