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7C79B" w14:textId="080ACC45" w:rsidR="007B30E3" w:rsidRDefault="007B30E3">
      <w:pPr>
        <w:rPr>
          <w:b/>
          <w:bCs/>
          <w:lang w:val="en-US"/>
        </w:rPr>
      </w:pPr>
      <w:r>
        <w:rPr>
          <w:b/>
          <w:bCs/>
          <w:lang w:val="en-US"/>
        </w:rPr>
        <w:t>Application</w:t>
      </w:r>
    </w:p>
    <w:p w14:paraId="5E56EB1A" w14:textId="05F3B1C6" w:rsidR="00FD1A8A" w:rsidRPr="00AC3578" w:rsidRDefault="00FD1A8A" w:rsidP="00FD1A8A">
      <w:r>
        <w:t>The financial cost of post-weaning piglet diets could be reduced by feeding lower specification and lower quality diets, in healthy pigs. Lower FCR immediately post-weaning of pigs with high pre-weaning creep consumption demonstrates the importance of maximising creep intake.</w:t>
      </w:r>
    </w:p>
    <w:p w14:paraId="5E9F33D1" w14:textId="5CDACFAB" w:rsidR="007B30E3" w:rsidRDefault="007B30E3">
      <w:pPr>
        <w:rPr>
          <w:b/>
          <w:bCs/>
          <w:lang w:val="en-US"/>
        </w:rPr>
      </w:pPr>
      <w:r>
        <w:rPr>
          <w:b/>
          <w:bCs/>
          <w:lang w:val="en-US"/>
        </w:rPr>
        <w:t>Introduction</w:t>
      </w:r>
    </w:p>
    <w:p w14:paraId="5CB81A90" w14:textId="41BAFCDB" w:rsidR="00FD1A8A" w:rsidRPr="008768D6" w:rsidRDefault="00FD1A8A" w:rsidP="00FD1A8A">
      <w:r w:rsidRPr="008768D6">
        <w:t xml:space="preserve">High-quality diets are commonly fed to pigs during the initial period post-weaning to ease the transition from sows’ milk to solid feed, but they are </w:t>
      </w:r>
      <w:r w:rsidRPr="00AC3578">
        <w:t>expensive (Muns and Magowan, 2018). They</w:t>
      </w:r>
      <w:r w:rsidRPr="008768D6">
        <w:t xml:space="preserve"> contain a high proportion of highly digestible protein from animal sources, such as fishmeal and </w:t>
      </w:r>
      <w:r>
        <w:t>milk powder</w:t>
      </w:r>
      <w:r w:rsidRPr="008768D6">
        <w:t xml:space="preserve">, and lower proportion of soya, which may have inflammatory effects on the intestine. Due to the zinc oxide ban, reduction in crude protein level is utilised as a strategy to reduce the risk of post-weaning diarrhoea resulting from microbial fermentation of excess </w:t>
      </w:r>
      <w:r w:rsidRPr="007B4D13">
        <w:t>undigested protein in the small intestine</w:t>
      </w:r>
      <w:r w:rsidR="005212EF" w:rsidRPr="007B4D13">
        <w:t xml:space="preserve"> (</w:t>
      </w:r>
      <w:r w:rsidR="00EC57B5" w:rsidRPr="007B4D13">
        <w:t xml:space="preserve">Batson </w:t>
      </w:r>
      <w:r w:rsidR="00EC57B5" w:rsidRPr="007B4D13">
        <w:rPr>
          <w:i/>
          <w:iCs/>
        </w:rPr>
        <w:t>et al.,</w:t>
      </w:r>
      <w:r w:rsidR="00EC57B5" w:rsidRPr="007B4D13">
        <w:t xml:space="preserve"> 2021</w:t>
      </w:r>
      <w:r w:rsidR="005212EF" w:rsidRPr="007B4D13">
        <w:t>)</w:t>
      </w:r>
      <w:r w:rsidRPr="007B4D13">
        <w:t>, but risks under-supplying protein. The aim of this study was to determine whether level of pre-weaning creep consumption affected</w:t>
      </w:r>
      <w:r w:rsidR="005212EF" w:rsidRPr="007B4D13">
        <w:t xml:space="preserve"> post-weaning performance when pigs were fed</w:t>
      </w:r>
      <w:r w:rsidRPr="007B4D13">
        <w:t xml:space="preserve"> </w:t>
      </w:r>
      <w:r w:rsidR="005212EF" w:rsidRPr="007B4D13">
        <w:t>diets with differing</w:t>
      </w:r>
      <w:r w:rsidRPr="007B4D13">
        <w:t xml:space="preserve"> lysine level</w:t>
      </w:r>
      <w:r w:rsidR="005212EF" w:rsidRPr="007B4D13">
        <w:t>s</w:t>
      </w:r>
      <w:r w:rsidRPr="007B4D13">
        <w:t xml:space="preserve"> (specification) and </w:t>
      </w:r>
      <w:r w:rsidR="005212EF" w:rsidRPr="007B4D13">
        <w:t xml:space="preserve">diet </w:t>
      </w:r>
      <w:r w:rsidRPr="007B4D13">
        <w:t>quality.</w:t>
      </w:r>
    </w:p>
    <w:p w14:paraId="1F63B1C6" w14:textId="70D2D108" w:rsidR="007B30E3" w:rsidRDefault="007B30E3">
      <w:pPr>
        <w:rPr>
          <w:b/>
          <w:bCs/>
          <w:lang w:val="en-US"/>
        </w:rPr>
      </w:pPr>
      <w:r>
        <w:rPr>
          <w:b/>
          <w:bCs/>
          <w:lang w:val="en-US"/>
        </w:rPr>
        <w:t>Materials and Methods</w:t>
      </w:r>
    </w:p>
    <w:p w14:paraId="5DCB4E63" w14:textId="3CABBF9C" w:rsidR="00FD1A8A" w:rsidRPr="00FD1A8A" w:rsidRDefault="00FD1A8A">
      <w:r w:rsidRPr="008768D6">
        <w:t xml:space="preserve">Piglets from 56 litters equally spread between two batches farrowing six week apart were utilised. Piglets had </w:t>
      </w:r>
      <w:r w:rsidRPr="008768D6">
        <w:rPr>
          <w:i/>
          <w:iCs/>
        </w:rPr>
        <w:t>ad libitum</w:t>
      </w:r>
      <w:r w:rsidRPr="008768D6">
        <w:t xml:space="preserve"> access to standard commercial creep </w:t>
      </w:r>
      <w:r w:rsidRPr="007B4D13">
        <w:t xml:space="preserve">from </w:t>
      </w:r>
      <w:r w:rsidR="00A155AF" w:rsidRPr="007B4D13">
        <w:t>14 days prior to weaning (</w:t>
      </w:r>
      <w:r w:rsidRPr="007B4D13">
        <w:t>wn-14</w:t>
      </w:r>
      <w:r w:rsidR="00A155AF" w:rsidRPr="007B4D13">
        <w:t>),</w:t>
      </w:r>
      <w:r w:rsidRPr="007B4D13">
        <w:t xml:space="preserve"> </w:t>
      </w:r>
      <w:r w:rsidR="00A155AF" w:rsidRPr="007B4D13">
        <w:t>until</w:t>
      </w:r>
      <w:r w:rsidRPr="007B4D13">
        <w:t xml:space="preserve"> weaning. Creep was provided through a single-space hopper, and consumption was quantified using the </w:t>
      </w:r>
      <w:proofErr w:type="spellStart"/>
      <w:r w:rsidRPr="007B4D13">
        <w:t>PigTrack</w:t>
      </w:r>
      <w:proofErr w:type="spellEnd"/>
      <w:r w:rsidRPr="007B4D13">
        <w:t>® system (</w:t>
      </w:r>
      <w:proofErr w:type="spellStart"/>
      <w:r w:rsidRPr="007B4D13">
        <w:t>Asserva</w:t>
      </w:r>
      <w:proofErr w:type="spellEnd"/>
      <w:r w:rsidRPr="007B4D13">
        <w:t>, France</w:t>
      </w:r>
      <w:r w:rsidRPr="008768D6">
        <w:t xml:space="preserve">). The electronic ID (EID) tag of the piglet and duration of visit was recorded by an antenna each time it visited the creep feeder. Piglets were individually weighed on wn-7 and wn-1, and a creep score calculated as duration/ADG, designed to differentiate the contribution of creep to the individual piglet’s nutrient intake. Piglets were ranked by creep score into low (first quartile; CL) and high (third quartile; CH), then allocated a post-weaning </w:t>
      </w:r>
      <w:r>
        <w:t xml:space="preserve">two-stage </w:t>
      </w:r>
      <w:r w:rsidRPr="008768D6">
        <w:t xml:space="preserve">dietary regime of low or high specification (SL, SH) and low or high quality (QL, QH). </w:t>
      </w:r>
      <w:r>
        <w:t xml:space="preserve">Specification was differentiated by lysine level, with SL conforming to minimum </w:t>
      </w:r>
      <w:r w:rsidRPr="00AC3578">
        <w:t>requirements</w:t>
      </w:r>
      <w:r w:rsidR="00531C0C">
        <w:t xml:space="preserve"> as recommended by</w:t>
      </w:r>
      <w:r w:rsidRPr="00AC3578">
        <w:t xml:space="preserve"> Whittemore </w:t>
      </w:r>
      <w:r w:rsidRPr="00AC3578">
        <w:rPr>
          <w:i/>
          <w:iCs/>
        </w:rPr>
        <w:t>et al.</w:t>
      </w:r>
      <w:r w:rsidRPr="00AC3578">
        <w:t xml:space="preserve"> </w:t>
      </w:r>
      <w:r w:rsidR="00531C0C">
        <w:t>(</w:t>
      </w:r>
      <w:r w:rsidRPr="00AC3578">
        <w:t>2003</w:t>
      </w:r>
      <w:r w:rsidR="00531C0C">
        <w:t>)</w:t>
      </w:r>
      <w:r w:rsidRPr="00AC3578">
        <w:t xml:space="preserve"> and SH </w:t>
      </w:r>
      <w:r w:rsidR="00531C0C">
        <w:t>had</w:t>
      </w:r>
      <w:r w:rsidRPr="00AC3578">
        <w:t xml:space="preserve"> 1.5 g/kg higher lysine for each stage. Amino acid balance relative to lysine</w:t>
      </w:r>
      <w:r>
        <w:t xml:space="preserve"> was maintained across diets. Low quality diets had a lower proportion of milk protein, cooked cereals and fishmeal, but higher proportion of raw cereals and soya. The SLQH regime was considered as equivalent to an industry-standard commercial regime. After day 22, a common grower diet was fed to all pigs to day 54 (nursery exit). At weaning, pens of six pigs were established, with variation in average pig weight minimised between pens, but difference in weight due to pre-weaning creep consumption was maintained. Pigs were weighed and pen feed intake recorded on day 3, 6, 9, 12, 15, 22, 36 and 54. Pen performance from weaning to day 54 post-weaning was analysed by ANOVA (</w:t>
      </w:r>
      <w:proofErr w:type="spellStart"/>
      <w:r>
        <w:t>Genstat</w:t>
      </w:r>
      <w:proofErr w:type="spellEnd"/>
      <w:r>
        <w:t xml:space="preserve"> 23</w:t>
      </w:r>
      <w:r w:rsidRPr="00040EDE">
        <w:rPr>
          <w:vertAlign w:val="superscript"/>
        </w:rPr>
        <w:t>rd</w:t>
      </w:r>
      <w:r>
        <w:t xml:space="preserve"> edition, UK). Where a repeated measures model was utilised, deviance and Akaike Information Criterion were utilised to select the most appropriate model. Significant differences between treatments were determined by </w:t>
      </w:r>
      <w:r w:rsidRPr="00040EDE">
        <w:rPr>
          <w:i/>
          <w:iCs/>
        </w:rPr>
        <w:t>post-hoc</w:t>
      </w:r>
      <w:r>
        <w:rPr>
          <w:i/>
          <w:iCs/>
        </w:rPr>
        <w:t xml:space="preserve"> </w:t>
      </w:r>
      <w:r>
        <w:t xml:space="preserve">Bonferroni test. </w:t>
      </w:r>
    </w:p>
    <w:p w14:paraId="35CAF992" w14:textId="36F7DC4D" w:rsidR="007B30E3" w:rsidRDefault="007B30E3">
      <w:pPr>
        <w:rPr>
          <w:b/>
          <w:bCs/>
          <w:lang w:val="en-US"/>
        </w:rPr>
      </w:pPr>
      <w:r>
        <w:rPr>
          <w:b/>
          <w:bCs/>
          <w:lang w:val="en-US"/>
        </w:rPr>
        <w:t>Results</w:t>
      </w:r>
    </w:p>
    <w:p w14:paraId="5E59023D" w14:textId="7FC00E5B" w:rsidR="00FD1A8A" w:rsidRDefault="00FD1A8A" w:rsidP="00FD1A8A">
      <w:r>
        <w:t xml:space="preserve">Weaning weight of pigs classified as CH (8.97 kg) was lower than CL (9.27 kg, </w:t>
      </w:r>
      <w:r w:rsidRPr="00E6229A">
        <w:rPr>
          <w:i/>
          <w:iCs/>
        </w:rPr>
        <w:t>P</w:t>
      </w:r>
      <w:r>
        <w:t xml:space="preserve"> &lt;0.001, </w:t>
      </w:r>
      <w:proofErr w:type="spellStart"/>
      <w:r>
        <w:t>s.e.m</w:t>
      </w:r>
      <w:proofErr w:type="spellEnd"/>
      <w:r>
        <w:t xml:space="preserve"> =0.011), but there was no difference in weight at nursery exit on day 54 (43.3 kg, </w:t>
      </w:r>
      <w:r>
        <w:rPr>
          <w:i/>
          <w:iCs/>
        </w:rPr>
        <w:t>P</w:t>
      </w:r>
      <w:r>
        <w:t xml:space="preserve"> =0.899, </w:t>
      </w:r>
      <w:proofErr w:type="spellStart"/>
      <w:r>
        <w:t>s.e.m</w:t>
      </w:r>
      <w:proofErr w:type="spellEnd"/>
      <w:r>
        <w:t xml:space="preserve"> =0.38). For CH pigs, ADFI and ADG were higher from weaning until day 12 post-weaning, and FCR was lower from weaning until day 9 post-weaning (</w:t>
      </w:r>
      <w:r w:rsidRPr="00521155">
        <w:rPr>
          <w:i/>
        </w:rPr>
        <w:t>P</w:t>
      </w:r>
      <w:r>
        <w:t xml:space="preserve"> &lt;0.05), than CL pigs. There was no three-way interaction on any performance parameters measured (</w:t>
      </w:r>
      <w:r w:rsidRPr="00197BB6">
        <w:rPr>
          <w:i/>
          <w:iCs/>
        </w:rPr>
        <w:t>P</w:t>
      </w:r>
      <w:r>
        <w:t xml:space="preserve"> &gt;0.05) to day 22 (end of </w:t>
      </w:r>
      <w:r>
        <w:lastRenderedPageBreak/>
        <w:t>experimental diets) or 54 post-weaning. Pigs fed SLQH were lightest at day 22 (</w:t>
      </w:r>
      <w:r w:rsidRPr="00287F1C">
        <w:rPr>
          <w:i/>
          <w:iCs/>
        </w:rPr>
        <w:t>P</w:t>
      </w:r>
      <w:r>
        <w:t xml:space="preserve"> =0.003; Figure 1), and day 54 (</w:t>
      </w:r>
      <w:r w:rsidRPr="00F44AA6">
        <w:rPr>
          <w:i/>
          <w:iCs/>
        </w:rPr>
        <w:t>P</w:t>
      </w:r>
      <w:r>
        <w:t xml:space="preserve"> =0.025).</w:t>
      </w:r>
    </w:p>
    <w:p w14:paraId="05DA8F09" w14:textId="06827E9A" w:rsidR="00531C0C" w:rsidRPr="00515117" w:rsidRDefault="00531C0C" w:rsidP="00531C0C">
      <w:r>
        <w:rPr>
          <w:noProof/>
        </w:rPr>
        <w:drawing>
          <wp:inline distT="0" distB="0" distL="0" distR="0" wp14:anchorId="573F80F2" wp14:editId="4B2264C4">
            <wp:extent cx="5731510" cy="1885050"/>
            <wp:effectExtent l="0" t="0" r="2540" b="1270"/>
            <wp:docPr id="2113487493" name="Chart 2113487493">
              <a:extLst xmlns:a="http://schemas.openxmlformats.org/drawingml/2006/main">
                <a:ext uri="{FF2B5EF4-FFF2-40B4-BE49-F238E27FC236}">
                  <a16:creationId xmlns:a16="http://schemas.microsoft.com/office/drawing/2014/main" id="{CC057762-7937-40D0-9E6B-FFBE84BBB8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B7CEDB" w14:textId="77777777" w:rsidR="00FD1A8A" w:rsidRDefault="00FD1A8A" w:rsidP="00FD1A8A">
      <w:r>
        <w:t xml:space="preserve">Figure 1: Effect of low (L) or high (H) diet specification (S)*diet quality (Q) on pig weight from weaning-day 22 post-weaning. Error bars denote pooled </w:t>
      </w:r>
      <w:proofErr w:type="spellStart"/>
      <w:r>
        <w:t>s.e.m</w:t>
      </w:r>
      <w:proofErr w:type="spellEnd"/>
      <w:r>
        <w:t xml:space="preserve">, antedependence order 1 with additional uniform correlations within subject. </w:t>
      </w:r>
    </w:p>
    <w:p w14:paraId="0187623B" w14:textId="77777777" w:rsidR="00FD1A8A" w:rsidRDefault="00FD1A8A" w:rsidP="00FD1A8A">
      <w:r>
        <w:t>Pigs fed SLQH had highest FCR and lowest ADG from weaning-day 9 and day 9-22 (Table 1).</w:t>
      </w:r>
    </w:p>
    <w:p w14:paraId="41D02D87" w14:textId="77777777" w:rsidR="00FD1A8A" w:rsidRDefault="00FD1A8A" w:rsidP="00FD1A8A">
      <w:r>
        <w:t>Table 1: Effect of low (L) or high (H) diet specification (S) and diet quality (Q) on post-weaning performance of pigs.</w:t>
      </w:r>
    </w:p>
    <w:tbl>
      <w:tblPr>
        <w:tblW w:w="5000" w:type="pct"/>
        <w:tblBorders>
          <w:top w:val="single" w:sz="4" w:space="0" w:color="auto"/>
          <w:bottom w:val="single" w:sz="4" w:space="0" w:color="auto"/>
        </w:tblBorders>
        <w:tblLook w:val="04A0" w:firstRow="1" w:lastRow="0" w:firstColumn="1" w:lastColumn="0" w:noHBand="0" w:noVBand="1"/>
      </w:tblPr>
      <w:tblGrid>
        <w:gridCol w:w="2792"/>
        <w:gridCol w:w="1040"/>
        <w:gridCol w:w="1040"/>
        <w:gridCol w:w="1040"/>
        <w:gridCol w:w="1040"/>
        <w:gridCol w:w="1040"/>
        <w:gridCol w:w="1034"/>
      </w:tblGrid>
      <w:tr w:rsidR="00531C0C" w:rsidRPr="003404AA" w14:paraId="1116CB4F" w14:textId="77777777" w:rsidTr="00AD28DA">
        <w:trPr>
          <w:trHeight w:val="300"/>
        </w:trPr>
        <w:tc>
          <w:tcPr>
            <w:tcW w:w="1547" w:type="pct"/>
            <w:tcBorders>
              <w:top w:val="single" w:sz="4" w:space="0" w:color="auto"/>
              <w:bottom w:val="single" w:sz="4" w:space="0" w:color="auto"/>
            </w:tcBorders>
            <w:shd w:val="clear" w:color="auto" w:fill="auto"/>
            <w:noWrap/>
            <w:vAlign w:val="bottom"/>
            <w:hideMark/>
          </w:tcPr>
          <w:p w14:paraId="2C94B98F" w14:textId="77777777" w:rsidR="00531C0C" w:rsidRPr="003404AA" w:rsidRDefault="00531C0C" w:rsidP="00531C0C">
            <w:pPr>
              <w:rPr>
                <w:lang w:eastAsia="en-GB"/>
              </w:rPr>
            </w:pPr>
          </w:p>
        </w:tc>
        <w:tc>
          <w:tcPr>
            <w:tcW w:w="576" w:type="pct"/>
            <w:tcBorders>
              <w:top w:val="single" w:sz="4" w:space="0" w:color="auto"/>
              <w:bottom w:val="single" w:sz="4" w:space="0" w:color="auto"/>
            </w:tcBorders>
            <w:shd w:val="clear" w:color="auto" w:fill="auto"/>
            <w:noWrap/>
            <w:vAlign w:val="bottom"/>
            <w:hideMark/>
          </w:tcPr>
          <w:p w14:paraId="609F76A4" w14:textId="77777777" w:rsidR="00531C0C" w:rsidRPr="003404AA" w:rsidRDefault="00531C0C" w:rsidP="00531C0C">
            <w:pPr>
              <w:rPr>
                <w:color w:val="000000"/>
                <w:lang w:eastAsia="en-GB"/>
              </w:rPr>
            </w:pPr>
            <w:r w:rsidRPr="003404AA">
              <w:rPr>
                <w:color w:val="000000"/>
                <w:lang w:eastAsia="en-GB"/>
              </w:rPr>
              <w:t>SLQL</w:t>
            </w:r>
          </w:p>
        </w:tc>
        <w:tc>
          <w:tcPr>
            <w:tcW w:w="576" w:type="pct"/>
            <w:tcBorders>
              <w:top w:val="single" w:sz="4" w:space="0" w:color="auto"/>
              <w:bottom w:val="single" w:sz="4" w:space="0" w:color="auto"/>
            </w:tcBorders>
            <w:shd w:val="clear" w:color="auto" w:fill="auto"/>
            <w:noWrap/>
            <w:vAlign w:val="bottom"/>
            <w:hideMark/>
          </w:tcPr>
          <w:p w14:paraId="60976DA8" w14:textId="77777777" w:rsidR="00531C0C" w:rsidRPr="003404AA" w:rsidRDefault="00531C0C" w:rsidP="00531C0C">
            <w:pPr>
              <w:rPr>
                <w:color w:val="000000"/>
                <w:lang w:eastAsia="en-GB"/>
              </w:rPr>
            </w:pPr>
            <w:r w:rsidRPr="003404AA">
              <w:rPr>
                <w:color w:val="000000"/>
                <w:lang w:eastAsia="en-GB"/>
              </w:rPr>
              <w:t>SLQH</w:t>
            </w:r>
          </w:p>
        </w:tc>
        <w:tc>
          <w:tcPr>
            <w:tcW w:w="576" w:type="pct"/>
            <w:tcBorders>
              <w:top w:val="single" w:sz="4" w:space="0" w:color="auto"/>
              <w:bottom w:val="single" w:sz="4" w:space="0" w:color="auto"/>
            </w:tcBorders>
            <w:shd w:val="clear" w:color="auto" w:fill="auto"/>
            <w:noWrap/>
            <w:vAlign w:val="bottom"/>
            <w:hideMark/>
          </w:tcPr>
          <w:p w14:paraId="2C56BE71" w14:textId="77777777" w:rsidR="00531C0C" w:rsidRPr="003404AA" w:rsidRDefault="00531C0C" w:rsidP="00531C0C">
            <w:pPr>
              <w:rPr>
                <w:color w:val="000000"/>
                <w:lang w:eastAsia="en-GB"/>
              </w:rPr>
            </w:pPr>
            <w:r w:rsidRPr="003404AA">
              <w:rPr>
                <w:color w:val="000000"/>
                <w:lang w:eastAsia="en-GB"/>
              </w:rPr>
              <w:t>SHQL</w:t>
            </w:r>
          </w:p>
        </w:tc>
        <w:tc>
          <w:tcPr>
            <w:tcW w:w="576" w:type="pct"/>
            <w:tcBorders>
              <w:top w:val="single" w:sz="4" w:space="0" w:color="auto"/>
              <w:bottom w:val="single" w:sz="4" w:space="0" w:color="auto"/>
            </w:tcBorders>
            <w:shd w:val="clear" w:color="auto" w:fill="auto"/>
            <w:noWrap/>
            <w:vAlign w:val="bottom"/>
            <w:hideMark/>
          </w:tcPr>
          <w:p w14:paraId="16D4CAEC" w14:textId="77777777" w:rsidR="00531C0C" w:rsidRPr="003404AA" w:rsidRDefault="00531C0C" w:rsidP="00531C0C">
            <w:pPr>
              <w:rPr>
                <w:color w:val="000000"/>
                <w:lang w:eastAsia="en-GB"/>
              </w:rPr>
            </w:pPr>
            <w:r w:rsidRPr="003404AA">
              <w:rPr>
                <w:color w:val="000000"/>
                <w:lang w:eastAsia="en-GB"/>
              </w:rPr>
              <w:t>SHQH</w:t>
            </w:r>
          </w:p>
        </w:tc>
        <w:tc>
          <w:tcPr>
            <w:tcW w:w="576" w:type="pct"/>
            <w:tcBorders>
              <w:top w:val="single" w:sz="4" w:space="0" w:color="auto"/>
              <w:bottom w:val="single" w:sz="4" w:space="0" w:color="auto"/>
            </w:tcBorders>
            <w:shd w:val="clear" w:color="auto" w:fill="auto"/>
            <w:noWrap/>
            <w:vAlign w:val="bottom"/>
            <w:hideMark/>
          </w:tcPr>
          <w:p w14:paraId="7C79795A" w14:textId="77777777" w:rsidR="00531C0C" w:rsidRPr="003404AA" w:rsidRDefault="00531C0C" w:rsidP="00531C0C">
            <w:pPr>
              <w:rPr>
                <w:color w:val="000000"/>
                <w:lang w:eastAsia="en-GB"/>
              </w:rPr>
            </w:pPr>
            <w:proofErr w:type="spellStart"/>
            <w:r w:rsidRPr="003404AA">
              <w:rPr>
                <w:color w:val="000000"/>
                <w:lang w:eastAsia="en-GB"/>
              </w:rPr>
              <w:t>s.e.m</w:t>
            </w:r>
            <w:proofErr w:type="spellEnd"/>
          </w:p>
        </w:tc>
        <w:tc>
          <w:tcPr>
            <w:tcW w:w="576" w:type="pct"/>
            <w:tcBorders>
              <w:top w:val="single" w:sz="4" w:space="0" w:color="auto"/>
              <w:bottom w:val="single" w:sz="4" w:space="0" w:color="auto"/>
            </w:tcBorders>
            <w:shd w:val="clear" w:color="auto" w:fill="auto"/>
            <w:noWrap/>
            <w:vAlign w:val="bottom"/>
            <w:hideMark/>
          </w:tcPr>
          <w:p w14:paraId="5B3165AF" w14:textId="77777777" w:rsidR="00531C0C" w:rsidRPr="003404AA" w:rsidRDefault="00531C0C" w:rsidP="00531C0C">
            <w:pPr>
              <w:rPr>
                <w:color w:val="000000"/>
                <w:lang w:eastAsia="en-GB"/>
              </w:rPr>
            </w:pPr>
            <w:r w:rsidRPr="003404AA">
              <w:rPr>
                <w:i/>
                <w:iCs/>
                <w:color w:val="000000"/>
                <w:lang w:eastAsia="en-GB"/>
              </w:rPr>
              <w:t>P</w:t>
            </w:r>
            <w:r w:rsidRPr="003404AA">
              <w:rPr>
                <w:color w:val="000000"/>
                <w:lang w:eastAsia="en-GB"/>
              </w:rPr>
              <w:t>-value</w:t>
            </w:r>
          </w:p>
        </w:tc>
      </w:tr>
      <w:tr w:rsidR="00531C0C" w:rsidRPr="003404AA" w14:paraId="469EA0B1" w14:textId="77777777" w:rsidTr="00AD28DA">
        <w:trPr>
          <w:trHeight w:val="288"/>
        </w:trPr>
        <w:tc>
          <w:tcPr>
            <w:tcW w:w="1547" w:type="pct"/>
            <w:tcBorders>
              <w:top w:val="single" w:sz="4" w:space="0" w:color="auto"/>
            </w:tcBorders>
            <w:shd w:val="clear" w:color="auto" w:fill="auto"/>
            <w:noWrap/>
            <w:vAlign w:val="center"/>
            <w:hideMark/>
          </w:tcPr>
          <w:p w14:paraId="32825C48" w14:textId="77777777" w:rsidR="00531C0C" w:rsidRPr="003404AA" w:rsidRDefault="00531C0C" w:rsidP="00531C0C">
            <w:pPr>
              <w:rPr>
                <w:color w:val="000000"/>
                <w:lang w:eastAsia="en-GB"/>
              </w:rPr>
            </w:pPr>
            <w:r w:rsidRPr="003404AA">
              <w:rPr>
                <w:color w:val="000000"/>
                <w:lang w:eastAsia="en-GB"/>
              </w:rPr>
              <w:t>ADFI wean-d9 (kg/d)</w:t>
            </w:r>
          </w:p>
        </w:tc>
        <w:tc>
          <w:tcPr>
            <w:tcW w:w="576" w:type="pct"/>
            <w:tcBorders>
              <w:top w:val="single" w:sz="4" w:space="0" w:color="auto"/>
            </w:tcBorders>
            <w:shd w:val="clear" w:color="auto" w:fill="auto"/>
            <w:noWrap/>
            <w:vAlign w:val="bottom"/>
            <w:hideMark/>
          </w:tcPr>
          <w:p w14:paraId="4E1B140A" w14:textId="77777777" w:rsidR="00531C0C" w:rsidRPr="003404AA" w:rsidRDefault="00531C0C" w:rsidP="00531C0C">
            <w:pPr>
              <w:rPr>
                <w:color w:val="000000"/>
                <w:lang w:eastAsia="en-GB"/>
              </w:rPr>
            </w:pPr>
            <w:r w:rsidRPr="003404AA">
              <w:rPr>
                <w:color w:val="000000"/>
                <w:lang w:eastAsia="en-GB"/>
              </w:rPr>
              <w:t>0.22</w:t>
            </w:r>
          </w:p>
        </w:tc>
        <w:tc>
          <w:tcPr>
            <w:tcW w:w="576" w:type="pct"/>
            <w:tcBorders>
              <w:top w:val="single" w:sz="4" w:space="0" w:color="auto"/>
            </w:tcBorders>
            <w:shd w:val="clear" w:color="auto" w:fill="auto"/>
            <w:noWrap/>
            <w:vAlign w:val="bottom"/>
            <w:hideMark/>
          </w:tcPr>
          <w:p w14:paraId="7FDCB452" w14:textId="77777777" w:rsidR="00531C0C" w:rsidRPr="003404AA" w:rsidRDefault="00531C0C" w:rsidP="00531C0C">
            <w:pPr>
              <w:rPr>
                <w:color w:val="000000"/>
                <w:lang w:eastAsia="en-GB"/>
              </w:rPr>
            </w:pPr>
            <w:r w:rsidRPr="003404AA">
              <w:rPr>
                <w:color w:val="000000"/>
                <w:lang w:eastAsia="en-GB"/>
              </w:rPr>
              <w:t>0.21</w:t>
            </w:r>
          </w:p>
        </w:tc>
        <w:tc>
          <w:tcPr>
            <w:tcW w:w="576" w:type="pct"/>
            <w:tcBorders>
              <w:top w:val="single" w:sz="4" w:space="0" w:color="auto"/>
            </w:tcBorders>
            <w:shd w:val="clear" w:color="auto" w:fill="auto"/>
            <w:noWrap/>
            <w:vAlign w:val="bottom"/>
            <w:hideMark/>
          </w:tcPr>
          <w:p w14:paraId="50FEB52F" w14:textId="77777777" w:rsidR="00531C0C" w:rsidRPr="003404AA" w:rsidRDefault="00531C0C" w:rsidP="00531C0C">
            <w:pPr>
              <w:rPr>
                <w:color w:val="000000"/>
                <w:lang w:eastAsia="en-GB"/>
              </w:rPr>
            </w:pPr>
            <w:r w:rsidRPr="003404AA">
              <w:rPr>
                <w:color w:val="000000"/>
                <w:lang w:eastAsia="en-GB"/>
              </w:rPr>
              <w:t>0.24</w:t>
            </w:r>
          </w:p>
        </w:tc>
        <w:tc>
          <w:tcPr>
            <w:tcW w:w="576" w:type="pct"/>
            <w:tcBorders>
              <w:top w:val="single" w:sz="4" w:space="0" w:color="auto"/>
            </w:tcBorders>
            <w:shd w:val="clear" w:color="auto" w:fill="auto"/>
            <w:noWrap/>
            <w:vAlign w:val="bottom"/>
            <w:hideMark/>
          </w:tcPr>
          <w:p w14:paraId="5679AE9B" w14:textId="77777777" w:rsidR="00531C0C" w:rsidRPr="003404AA" w:rsidRDefault="00531C0C" w:rsidP="00531C0C">
            <w:pPr>
              <w:rPr>
                <w:color w:val="000000"/>
                <w:lang w:eastAsia="en-GB"/>
              </w:rPr>
            </w:pPr>
            <w:r w:rsidRPr="003404AA">
              <w:rPr>
                <w:color w:val="000000"/>
                <w:lang w:eastAsia="en-GB"/>
              </w:rPr>
              <w:t>0.22</w:t>
            </w:r>
          </w:p>
        </w:tc>
        <w:tc>
          <w:tcPr>
            <w:tcW w:w="576" w:type="pct"/>
            <w:tcBorders>
              <w:top w:val="single" w:sz="4" w:space="0" w:color="auto"/>
            </w:tcBorders>
            <w:shd w:val="clear" w:color="auto" w:fill="auto"/>
            <w:noWrap/>
            <w:vAlign w:val="bottom"/>
            <w:hideMark/>
          </w:tcPr>
          <w:p w14:paraId="152C44AE" w14:textId="77777777" w:rsidR="00531C0C" w:rsidRPr="003404AA" w:rsidRDefault="00531C0C" w:rsidP="00531C0C">
            <w:pPr>
              <w:rPr>
                <w:color w:val="000000"/>
                <w:lang w:eastAsia="en-GB"/>
              </w:rPr>
            </w:pPr>
            <w:r w:rsidRPr="003404AA">
              <w:rPr>
                <w:color w:val="000000"/>
                <w:lang w:eastAsia="en-GB"/>
              </w:rPr>
              <w:t>0.009</w:t>
            </w:r>
          </w:p>
        </w:tc>
        <w:tc>
          <w:tcPr>
            <w:tcW w:w="576" w:type="pct"/>
            <w:tcBorders>
              <w:top w:val="single" w:sz="4" w:space="0" w:color="auto"/>
            </w:tcBorders>
            <w:shd w:val="clear" w:color="auto" w:fill="auto"/>
            <w:noWrap/>
            <w:vAlign w:val="bottom"/>
            <w:hideMark/>
          </w:tcPr>
          <w:p w14:paraId="5E538EEA" w14:textId="77777777" w:rsidR="00531C0C" w:rsidRPr="003404AA" w:rsidRDefault="00531C0C" w:rsidP="00531C0C">
            <w:pPr>
              <w:rPr>
                <w:color w:val="000000"/>
                <w:lang w:eastAsia="en-GB"/>
              </w:rPr>
            </w:pPr>
            <w:r w:rsidRPr="003404AA">
              <w:rPr>
                <w:color w:val="000000"/>
                <w:lang w:eastAsia="en-GB"/>
              </w:rPr>
              <w:t>0.149</w:t>
            </w:r>
          </w:p>
        </w:tc>
      </w:tr>
      <w:tr w:rsidR="00531C0C" w:rsidRPr="003404AA" w14:paraId="0761E5DD" w14:textId="77777777" w:rsidTr="00AD28DA">
        <w:trPr>
          <w:trHeight w:val="288"/>
        </w:trPr>
        <w:tc>
          <w:tcPr>
            <w:tcW w:w="1547" w:type="pct"/>
            <w:shd w:val="clear" w:color="auto" w:fill="auto"/>
            <w:noWrap/>
            <w:vAlign w:val="center"/>
            <w:hideMark/>
          </w:tcPr>
          <w:p w14:paraId="4E877F8A" w14:textId="77777777" w:rsidR="00531C0C" w:rsidRPr="003404AA" w:rsidRDefault="00531C0C" w:rsidP="00531C0C">
            <w:pPr>
              <w:rPr>
                <w:color w:val="000000"/>
                <w:lang w:eastAsia="en-GB"/>
              </w:rPr>
            </w:pPr>
            <w:r w:rsidRPr="003404AA">
              <w:rPr>
                <w:color w:val="000000"/>
                <w:lang w:eastAsia="en-GB"/>
              </w:rPr>
              <w:t>ADFI d9-22 (kg/d)</w:t>
            </w:r>
          </w:p>
        </w:tc>
        <w:tc>
          <w:tcPr>
            <w:tcW w:w="576" w:type="pct"/>
            <w:shd w:val="clear" w:color="auto" w:fill="auto"/>
            <w:noWrap/>
            <w:vAlign w:val="bottom"/>
            <w:hideMark/>
          </w:tcPr>
          <w:p w14:paraId="3F34B7C9" w14:textId="77777777" w:rsidR="00531C0C" w:rsidRPr="003404AA" w:rsidRDefault="00531C0C" w:rsidP="00531C0C">
            <w:pPr>
              <w:rPr>
                <w:color w:val="000000"/>
                <w:lang w:eastAsia="en-GB"/>
              </w:rPr>
            </w:pPr>
            <w:r w:rsidRPr="003404AA">
              <w:rPr>
                <w:color w:val="000000"/>
                <w:lang w:eastAsia="en-GB"/>
              </w:rPr>
              <w:t>0.60</w:t>
            </w:r>
          </w:p>
        </w:tc>
        <w:tc>
          <w:tcPr>
            <w:tcW w:w="576" w:type="pct"/>
            <w:shd w:val="clear" w:color="auto" w:fill="auto"/>
            <w:noWrap/>
            <w:vAlign w:val="bottom"/>
            <w:hideMark/>
          </w:tcPr>
          <w:p w14:paraId="647B6E03" w14:textId="77777777" w:rsidR="00531C0C" w:rsidRPr="003404AA" w:rsidRDefault="00531C0C" w:rsidP="00531C0C">
            <w:pPr>
              <w:rPr>
                <w:color w:val="000000"/>
                <w:lang w:eastAsia="en-GB"/>
              </w:rPr>
            </w:pPr>
            <w:r w:rsidRPr="003404AA">
              <w:rPr>
                <w:color w:val="000000"/>
                <w:lang w:eastAsia="en-GB"/>
              </w:rPr>
              <w:t>0.56</w:t>
            </w:r>
          </w:p>
        </w:tc>
        <w:tc>
          <w:tcPr>
            <w:tcW w:w="576" w:type="pct"/>
            <w:shd w:val="clear" w:color="auto" w:fill="auto"/>
            <w:noWrap/>
            <w:vAlign w:val="bottom"/>
            <w:hideMark/>
          </w:tcPr>
          <w:p w14:paraId="6E385AAE" w14:textId="77777777" w:rsidR="00531C0C" w:rsidRPr="003404AA" w:rsidRDefault="00531C0C" w:rsidP="00531C0C">
            <w:pPr>
              <w:rPr>
                <w:color w:val="000000"/>
                <w:lang w:eastAsia="en-GB"/>
              </w:rPr>
            </w:pPr>
            <w:r w:rsidRPr="003404AA">
              <w:rPr>
                <w:color w:val="000000"/>
                <w:lang w:eastAsia="en-GB"/>
              </w:rPr>
              <w:t>0.59</w:t>
            </w:r>
          </w:p>
        </w:tc>
        <w:tc>
          <w:tcPr>
            <w:tcW w:w="576" w:type="pct"/>
            <w:shd w:val="clear" w:color="auto" w:fill="auto"/>
            <w:noWrap/>
            <w:vAlign w:val="bottom"/>
            <w:hideMark/>
          </w:tcPr>
          <w:p w14:paraId="02FBAD24" w14:textId="77777777" w:rsidR="00531C0C" w:rsidRPr="003404AA" w:rsidRDefault="00531C0C" w:rsidP="00531C0C">
            <w:pPr>
              <w:rPr>
                <w:color w:val="000000"/>
                <w:lang w:eastAsia="en-GB"/>
              </w:rPr>
            </w:pPr>
            <w:r w:rsidRPr="003404AA">
              <w:rPr>
                <w:color w:val="000000"/>
                <w:lang w:eastAsia="en-GB"/>
              </w:rPr>
              <w:t>0.58</w:t>
            </w:r>
          </w:p>
        </w:tc>
        <w:tc>
          <w:tcPr>
            <w:tcW w:w="576" w:type="pct"/>
            <w:shd w:val="clear" w:color="auto" w:fill="auto"/>
            <w:noWrap/>
            <w:vAlign w:val="bottom"/>
            <w:hideMark/>
          </w:tcPr>
          <w:p w14:paraId="0C2DEF29" w14:textId="77777777" w:rsidR="00531C0C" w:rsidRPr="003404AA" w:rsidRDefault="00531C0C" w:rsidP="00531C0C">
            <w:pPr>
              <w:rPr>
                <w:color w:val="000000"/>
                <w:lang w:eastAsia="en-GB"/>
              </w:rPr>
            </w:pPr>
            <w:r w:rsidRPr="003404AA">
              <w:rPr>
                <w:color w:val="000000"/>
                <w:lang w:eastAsia="en-GB"/>
              </w:rPr>
              <w:t>0.012</w:t>
            </w:r>
          </w:p>
        </w:tc>
        <w:tc>
          <w:tcPr>
            <w:tcW w:w="576" w:type="pct"/>
            <w:shd w:val="clear" w:color="auto" w:fill="auto"/>
            <w:noWrap/>
            <w:vAlign w:val="bottom"/>
            <w:hideMark/>
          </w:tcPr>
          <w:p w14:paraId="593CAA66" w14:textId="77777777" w:rsidR="00531C0C" w:rsidRPr="003404AA" w:rsidRDefault="00531C0C" w:rsidP="00531C0C">
            <w:pPr>
              <w:rPr>
                <w:color w:val="000000"/>
                <w:lang w:eastAsia="en-GB"/>
              </w:rPr>
            </w:pPr>
            <w:r w:rsidRPr="003404AA">
              <w:rPr>
                <w:color w:val="000000"/>
                <w:lang w:eastAsia="en-GB"/>
              </w:rPr>
              <w:t>0.205</w:t>
            </w:r>
          </w:p>
        </w:tc>
      </w:tr>
      <w:tr w:rsidR="00531C0C" w:rsidRPr="003404AA" w14:paraId="27E01E3F" w14:textId="77777777" w:rsidTr="00AD28DA">
        <w:trPr>
          <w:trHeight w:val="288"/>
        </w:trPr>
        <w:tc>
          <w:tcPr>
            <w:tcW w:w="1547" w:type="pct"/>
            <w:shd w:val="clear" w:color="auto" w:fill="auto"/>
            <w:noWrap/>
            <w:vAlign w:val="center"/>
            <w:hideMark/>
          </w:tcPr>
          <w:p w14:paraId="51BBF92B" w14:textId="77777777" w:rsidR="00531C0C" w:rsidRPr="003404AA" w:rsidRDefault="00531C0C" w:rsidP="00531C0C">
            <w:pPr>
              <w:rPr>
                <w:color w:val="000000"/>
                <w:lang w:eastAsia="en-GB"/>
              </w:rPr>
            </w:pPr>
            <w:r w:rsidRPr="003404AA">
              <w:rPr>
                <w:color w:val="000000"/>
                <w:lang w:eastAsia="en-GB"/>
              </w:rPr>
              <w:t>ADG wean-d9 (g/d)</w:t>
            </w:r>
          </w:p>
        </w:tc>
        <w:tc>
          <w:tcPr>
            <w:tcW w:w="576" w:type="pct"/>
            <w:shd w:val="clear" w:color="auto" w:fill="auto"/>
            <w:noWrap/>
            <w:vAlign w:val="bottom"/>
            <w:hideMark/>
          </w:tcPr>
          <w:p w14:paraId="3352D511" w14:textId="77777777" w:rsidR="00531C0C" w:rsidRPr="003404AA" w:rsidRDefault="00531C0C" w:rsidP="00531C0C">
            <w:pPr>
              <w:rPr>
                <w:color w:val="000000"/>
                <w:lang w:eastAsia="en-GB"/>
              </w:rPr>
            </w:pPr>
            <w:r w:rsidRPr="003404AA">
              <w:rPr>
                <w:color w:val="000000"/>
                <w:lang w:eastAsia="en-GB"/>
              </w:rPr>
              <w:t>160</w:t>
            </w:r>
            <w:r w:rsidRPr="003404AA">
              <w:rPr>
                <w:color w:val="000000"/>
                <w:vertAlign w:val="superscript"/>
                <w:lang w:eastAsia="en-GB"/>
              </w:rPr>
              <w:t>ab</w:t>
            </w:r>
          </w:p>
        </w:tc>
        <w:tc>
          <w:tcPr>
            <w:tcW w:w="576" w:type="pct"/>
            <w:shd w:val="clear" w:color="auto" w:fill="auto"/>
            <w:noWrap/>
            <w:vAlign w:val="bottom"/>
            <w:hideMark/>
          </w:tcPr>
          <w:p w14:paraId="0BC4BCFA" w14:textId="77777777" w:rsidR="00531C0C" w:rsidRPr="003404AA" w:rsidRDefault="00531C0C" w:rsidP="00531C0C">
            <w:pPr>
              <w:rPr>
                <w:color w:val="000000"/>
                <w:lang w:eastAsia="en-GB"/>
              </w:rPr>
            </w:pPr>
            <w:r w:rsidRPr="003404AA">
              <w:rPr>
                <w:color w:val="000000"/>
                <w:lang w:eastAsia="en-GB"/>
              </w:rPr>
              <w:t>129</w:t>
            </w:r>
            <w:r w:rsidRPr="003404AA">
              <w:rPr>
                <w:color w:val="000000"/>
                <w:vertAlign w:val="superscript"/>
                <w:lang w:eastAsia="en-GB"/>
              </w:rPr>
              <w:t>a</w:t>
            </w:r>
          </w:p>
        </w:tc>
        <w:tc>
          <w:tcPr>
            <w:tcW w:w="576" w:type="pct"/>
            <w:shd w:val="clear" w:color="auto" w:fill="auto"/>
            <w:noWrap/>
            <w:vAlign w:val="bottom"/>
            <w:hideMark/>
          </w:tcPr>
          <w:p w14:paraId="15928775" w14:textId="77777777" w:rsidR="00531C0C" w:rsidRPr="003404AA" w:rsidRDefault="00531C0C" w:rsidP="00531C0C">
            <w:pPr>
              <w:rPr>
                <w:color w:val="000000"/>
                <w:lang w:eastAsia="en-GB"/>
              </w:rPr>
            </w:pPr>
            <w:r w:rsidRPr="003404AA">
              <w:rPr>
                <w:color w:val="000000"/>
                <w:lang w:eastAsia="en-GB"/>
              </w:rPr>
              <w:t>189</w:t>
            </w:r>
            <w:r w:rsidRPr="003404AA">
              <w:rPr>
                <w:color w:val="000000"/>
                <w:vertAlign w:val="superscript"/>
                <w:lang w:eastAsia="en-GB"/>
              </w:rPr>
              <w:t>b</w:t>
            </w:r>
          </w:p>
        </w:tc>
        <w:tc>
          <w:tcPr>
            <w:tcW w:w="576" w:type="pct"/>
            <w:shd w:val="clear" w:color="auto" w:fill="auto"/>
            <w:noWrap/>
            <w:vAlign w:val="bottom"/>
            <w:hideMark/>
          </w:tcPr>
          <w:p w14:paraId="316355AB" w14:textId="77777777" w:rsidR="00531C0C" w:rsidRPr="003404AA" w:rsidRDefault="00531C0C" w:rsidP="00531C0C">
            <w:pPr>
              <w:rPr>
                <w:color w:val="000000"/>
                <w:lang w:eastAsia="en-GB"/>
              </w:rPr>
            </w:pPr>
            <w:r w:rsidRPr="003404AA">
              <w:rPr>
                <w:color w:val="000000"/>
                <w:lang w:eastAsia="en-GB"/>
              </w:rPr>
              <w:t>153</w:t>
            </w:r>
            <w:r w:rsidRPr="003404AA">
              <w:rPr>
                <w:color w:val="000000"/>
                <w:vertAlign w:val="superscript"/>
                <w:lang w:eastAsia="en-GB"/>
              </w:rPr>
              <w:t>ab</w:t>
            </w:r>
          </w:p>
        </w:tc>
        <w:tc>
          <w:tcPr>
            <w:tcW w:w="576" w:type="pct"/>
            <w:shd w:val="clear" w:color="auto" w:fill="auto"/>
            <w:noWrap/>
            <w:vAlign w:val="bottom"/>
            <w:hideMark/>
          </w:tcPr>
          <w:p w14:paraId="4ADA4382" w14:textId="77777777" w:rsidR="00531C0C" w:rsidRPr="003404AA" w:rsidRDefault="00531C0C" w:rsidP="00531C0C">
            <w:pPr>
              <w:rPr>
                <w:color w:val="000000"/>
                <w:lang w:eastAsia="en-GB"/>
              </w:rPr>
            </w:pPr>
            <w:r w:rsidRPr="003404AA">
              <w:rPr>
                <w:color w:val="000000"/>
                <w:lang w:eastAsia="en-GB"/>
              </w:rPr>
              <w:t>12.1</w:t>
            </w:r>
          </w:p>
        </w:tc>
        <w:tc>
          <w:tcPr>
            <w:tcW w:w="576" w:type="pct"/>
            <w:shd w:val="clear" w:color="auto" w:fill="auto"/>
            <w:noWrap/>
            <w:vAlign w:val="bottom"/>
            <w:hideMark/>
          </w:tcPr>
          <w:p w14:paraId="325CA985" w14:textId="77777777" w:rsidR="00531C0C" w:rsidRPr="003404AA" w:rsidRDefault="00531C0C" w:rsidP="00531C0C">
            <w:pPr>
              <w:rPr>
                <w:color w:val="000000"/>
                <w:lang w:eastAsia="en-GB"/>
              </w:rPr>
            </w:pPr>
            <w:r w:rsidRPr="003404AA">
              <w:rPr>
                <w:color w:val="000000"/>
                <w:lang w:eastAsia="en-GB"/>
              </w:rPr>
              <w:t>0.011</w:t>
            </w:r>
          </w:p>
        </w:tc>
      </w:tr>
      <w:tr w:rsidR="00531C0C" w:rsidRPr="003404AA" w14:paraId="42D8088E" w14:textId="77777777" w:rsidTr="00AD28DA">
        <w:trPr>
          <w:trHeight w:val="288"/>
        </w:trPr>
        <w:tc>
          <w:tcPr>
            <w:tcW w:w="1547" w:type="pct"/>
            <w:shd w:val="clear" w:color="auto" w:fill="auto"/>
            <w:noWrap/>
            <w:vAlign w:val="center"/>
            <w:hideMark/>
          </w:tcPr>
          <w:p w14:paraId="5BF522F0" w14:textId="77777777" w:rsidR="00531C0C" w:rsidRPr="003404AA" w:rsidRDefault="00531C0C" w:rsidP="00531C0C">
            <w:pPr>
              <w:rPr>
                <w:color w:val="000000"/>
                <w:lang w:eastAsia="en-GB"/>
              </w:rPr>
            </w:pPr>
            <w:r w:rsidRPr="003404AA">
              <w:rPr>
                <w:color w:val="000000"/>
                <w:lang w:eastAsia="en-GB"/>
              </w:rPr>
              <w:t>ADG d9-22 (g/d)</w:t>
            </w:r>
          </w:p>
        </w:tc>
        <w:tc>
          <w:tcPr>
            <w:tcW w:w="576" w:type="pct"/>
            <w:shd w:val="clear" w:color="auto" w:fill="auto"/>
            <w:noWrap/>
            <w:vAlign w:val="bottom"/>
            <w:hideMark/>
          </w:tcPr>
          <w:p w14:paraId="664A3909" w14:textId="77777777" w:rsidR="00531C0C" w:rsidRPr="003404AA" w:rsidRDefault="00531C0C" w:rsidP="00531C0C">
            <w:pPr>
              <w:rPr>
                <w:color w:val="000000"/>
                <w:lang w:eastAsia="en-GB"/>
              </w:rPr>
            </w:pPr>
            <w:r w:rsidRPr="003404AA">
              <w:rPr>
                <w:color w:val="000000"/>
                <w:lang w:eastAsia="en-GB"/>
              </w:rPr>
              <w:t>476</w:t>
            </w:r>
            <w:r w:rsidRPr="003404AA">
              <w:rPr>
                <w:color w:val="000000"/>
                <w:vertAlign w:val="superscript"/>
                <w:lang w:eastAsia="en-GB"/>
              </w:rPr>
              <w:t>a</w:t>
            </w:r>
          </w:p>
        </w:tc>
        <w:tc>
          <w:tcPr>
            <w:tcW w:w="576" w:type="pct"/>
            <w:shd w:val="clear" w:color="auto" w:fill="auto"/>
            <w:noWrap/>
            <w:vAlign w:val="bottom"/>
            <w:hideMark/>
          </w:tcPr>
          <w:p w14:paraId="487B0508" w14:textId="77777777" w:rsidR="00531C0C" w:rsidRPr="003404AA" w:rsidRDefault="00531C0C" w:rsidP="00531C0C">
            <w:pPr>
              <w:rPr>
                <w:color w:val="000000"/>
                <w:lang w:eastAsia="en-GB"/>
              </w:rPr>
            </w:pPr>
            <w:r w:rsidRPr="003404AA">
              <w:rPr>
                <w:color w:val="000000"/>
                <w:lang w:eastAsia="en-GB"/>
              </w:rPr>
              <w:t>420</w:t>
            </w:r>
            <w:r w:rsidRPr="003404AA">
              <w:rPr>
                <w:color w:val="000000"/>
                <w:vertAlign w:val="superscript"/>
                <w:lang w:eastAsia="en-GB"/>
              </w:rPr>
              <w:t>b</w:t>
            </w:r>
          </w:p>
        </w:tc>
        <w:tc>
          <w:tcPr>
            <w:tcW w:w="576" w:type="pct"/>
            <w:shd w:val="clear" w:color="auto" w:fill="auto"/>
            <w:noWrap/>
            <w:vAlign w:val="bottom"/>
            <w:hideMark/>
          </w:tcPr>
          <w:p w14:paraId="327CD9ED" w14:textId="77777777" w:rsidR="00531C0C" w:rsidRPr="003404AA" w:rsidRDefault="00531C0C" w:rsidP="00531C0C">
            <w:pPr>
              <w:rPr>
                <w:color w:val="000000"/>
                <w:lang w:eastAsia="en-GB"/>
              </w:rPr>
            </w:pPr>
            <w:r w:rsidRPr="003404AA">
              <w:rPr>
                <w:color w:val="000000"/>
                <w:lang w:eastAsia="en-GB"/>
              </w:rPr>
              <w:t>485</w:t>
            </w:r>
            <w:r w:rsidRPr="003404AA">
              <w:rPr>
                <w:color w:val="000000"/>
                <w:vertAlign w:val="superscript"/>
                <w:lang w:eastAsia="en-GB"/>
              </w:rPr>
              <w:t>a</w:t>
            </w:r>
          </w:p>
        </w:tc>
        <w:tc>
          <w:tcPr>
            <w:tcW w:w="576" w:type="pct"/>
            <w:shd w:val="clear" w:color="auto" w:fill="auto"/>
            <w:noWrap/>
            <w:vAlign w:val="bottom"/>
            <w:hideMark/>
          </w:tcPr>
          <w:p w14:paraId="7AC120A7" w14:textId="77777777" w:rsidR="00531C0C" w:rsidRPr="003404AA" w:rsidRDefault="00531C0C" w:rsidP="00531C0C">
            <w:pPr>
              <w:rPr>
                <w:color w:val="000000"/>
                <w:lang w:eastAsia="en-GB"/>
              </w:rPr>
            </w:pPr>
            <w:r w:rsidRPr="003404AA">
              <w:rPr>
                <w:color w:val="000000"/>
                <w:lang w:eastAsia="en-GB"/>
              </w:rPr>
              <w:t>475</w:t>
            </w:r>
            <w:r w:rsidRPr="003404AA">
              <w:rPr>
                <w:color w:val="000000"/>
                <w:vertAlign w:val="superscript"/>
                <w:lang w:eastAsia="en-GB"/>
              </w:rPr>
              <w:t>a</w:t>
            </w:r>
          </w:p>
        </w:tc>
        <w:tc>
          <w:tcPr>
            <w:tcW w:w="576" w:type="pct"/>
            <w:shd w:val="clear" w:color="auto" w:fill="auto"/>
            <w:noWrap/>
            <w:vAlign w:val="bottom"/>
            <w:hideMark/>
          </w:tcPr>
          <w:p w14:paraId="5E0E926A" w14:textId="77777777" w:rsidR="00531C0C" w:rsidRPr="003404AA" w:rsidRDefault="00531C0C" w:rsidP="00531C0C">
            <w:pPr>
              <w:rPr>
                <w:color w:val="000000"/>
                <w:lang w:eastAsia="en-GB"/>
              </w:rPr>
            </w:pPr>
            <w:r w:rsidRPr="003404AA">
              <w:rPr>
                <w:color w:val="000000"/>
                <w:lang w:eastAsia="en-GB"/>
              </w:rPr>
              <w:t>16.9</w:t>
            </w:r>
          </w:p>
        </w:tc>
        <w:tc>
          <w:tcPr>
            <w:tcW w:w="576" w:type="pct"/>
            <w:shd w:val="clear" w:color="auto" w:fill="auto"/>
            <w:noWrap/>
            <w:vAlign w:val="bottom"/>
            <w:hideMark/>
          </w:tcPr>
          <w:p w14:paraId="7013CE23" w14:textId="77777777" w:rsidR="00531C0C" w:rsidRPr="003404AA" w:rsidRDefault="00531C0C" w:rsidP="00531C0C">
            <w:pPr>
              <w:rPr>
                <w:color w:val="000000"/>
                <w:lang w:eastAsia="en-GB"/>
              </w:rPr>
            </w:pPr>
            <w:r w:rsidRPr="003404AA">
              <w:rPr>
                <w:color w:val="000000"/>
                <w:lang w:eastAsia="en-GB"/>
              </w:rPr>
              <w:t>0.037</w:t>
            </w:r>
          </w:p>
        </w:tc>
      </w:tr>
      <w:tr w:rsidR="00531C0C" w:rsidRPr="003404AA" w14:paraId="6F8888B2" w14:textId="77777777" w:rsidTr="00AD28DA">
        <w:trPr>
          <w:trHeight w:val="288"/>
        </w:trPr>
        <w:tc>
          <w:tcPr>
            <w:tcW w:w="1547" w:type="pct"/>
            <w:shd w:val="clear" w:color="auto" w:fill="auto"/>
            <w:noWrap/>
            <w:vAlign w:val="center"/>
            <w:hideMark/>
          </w:tcPr>
          <w:p w14:paraId="74CD0287" w14:textId="77777777" w:rsidR="00531C0C" w:rsidRPr="003404AA" w:rsidRDefault="00531C0C" w:rsidP="00531C0C">
            <w:pPr>
              <w:rPr>
                <w:color w:val="000000"/>
                <w:lang w:eastAsia="en-GB"/>
              </w:rPr>
            </w:pPr>
            <w:r w:rsidRPr="003404AA">
              <w:rPr>
                <w:color w:val="000000"/>
                <w:lang w:eastAsia="en-GB"/>
              </w:rPr>
              <w:t xml:space="preserve">FCR wean-d9 </w:t>
            </w:r>
          </w:p>
        </w:tc>
        <w:tc>
          <w:tcPr>
            <w:tcW w:w="576" w:type="pct"/>
            <w:shd w:val="clear" w:color="auto" w:fill="auto"/>
            <w:noWrap/>
            <w:vAlign w:val="bottom"/>
            <w:hideMark/>
          </w:tcPr>
          <w:p w14:paraId="77E6F82A" w14:textId="77777777" w:rsidR="00531C0C" w:rsidRPr="003404AA" w:rsidRDefault="00531C0C" w:rsidP="00531C0C">
            <w:pPr>
              <w:rPr>
                <w:color w:val="000000"/>
                <w:lang w:eastAsia="en-GB"/>
              </w:rPr>
            </w:pPr>
            <w:r w:rsidRPr="003404AA">
              <w:rPr>
                <w:color w:val="000000"/>
                <w:lang w:eastAsia="en-GB"/>
              </w:rPr>
              <w:t>1.50</w:t>
            </w:r>
            <w:r w:rsidRPr="003404AA">
              <w:rPr>
                <w:color w:val="000000"/>
                <w:vertAlign w:val="superscript"/>
                <w:lang w:eastAsia="en-GB"/>
              </w:rPr>
              <w:t>ab</w:t>
            </w:r>
          </w:p>
        </w:tc>
        <w:tc>
          <w:tcPr>
            <w:tcW w:w="576" w:type="pct"/>
            <w:shd w:val="clear" w:color="auto" w:fill="auto"/>
            <w:noWrap/>
            <w:vAlign w:val="bottom"/>
            <w:hideMark/>
          </w:tcPr>
          <w:p w14:paraId="72CB5EA9" w14:textId="77777777" w:rsidR="00531C0C" w:rsidRPr="003404AA" w:rsidRDefault="00531C0C" w:rsidP="00531C0C">
            <w:pPr>
              <w:rPr>
                <w:color w:val="000000"/>
                <w:lang w:eastAsia="en-GB"/>
              </w:rPr>
            </w:pPr>
            <w:r w:rsidRPr="003404AA">
              <w:rPr>
                <w:color w:val="000000"/>
                <w:lang w:eastAsia="en-GB"/>
              </w:rPr>
              <w:t>1.81</w:t>
            </w:r>
            <w:r w:rsidRPr="003404AA">
              <w:rPr>
                <w:color w:val="000000"/>
                <w:vertAlign w:val="superscript"/>
                <w:lang w:eastAsia="en-GB"/>
              </w:rPr>
              <w:t>a</w:t>
            </w:r>
          </w:p>
        </w:tc>
        <w:tc>
          <w:tcPr>
            <w:tcW w:w="576" w:type="pct"/>
            <w:shd w:val="clear" w:color="auto" w:fill="auto"/>
            <w:noWrap/>
            <w:vAlign w:val="bottom"/>
            <w:hideMark/>
          </w:tcPr>
          <w:p w14:paraId="7EFB7FE3" w14:textId="77777777" w:rsidR="00531C0C" w:rsidRPr="003404AA" w:rsidRDefault="00531C0C" w:rsidP="00531C0C">
            <w:pPr>
              <w:rPr>
                <w:color w:val="000000"/>
                <w:lang w:eastAsia="en-GB"/>
              </w:rPr>
            </w:pPr>
            <w:r w:rsidRPr="003404AA">
              <w:rPr>
                <w:color w:val="000000"/>
                <w:lang w:eastAsia="en-GB"/>
              </w:rPr>
              <w:t>1.30</w:t>
            </w:r>
            <w:r w:rsidRPr="003404AA">
              <w:rPr>
                <w:color w:val="000000"/>
                <w:vertAlign w:val="superscript"/>
                <w:lang w:eastAsia="en-GB"/>
              </w:rPr>
              <w:t>b</w:t>
            </w:r>
          </w:p>
        </w:tc>
        <w:tc>
          <w:tcPr>
            <w:tcW w:w="576" w:type="pct"/>
            <w:shd w:val="clear" w:color="auto" w:fill="auto"/>
            <w:noWrap/>
            <w:vAlign w:val="bottom"/>
            <w:hideMark/>
          </w:tcPr>
          <w:p w14:paraId="11662978" w14:textId="77777777" w:rsidR="00531C0C" w:rsidRPr="003404AA" w:rsidRDefault="00531C0C" w:rsidP="00531C0C">
            <w:pPr>
              <w:rPr>
                <w:color w:val="000000"/>
                <w:lang w:eastAsia="en-GB"/>
              </w:rPr>
            </w:pPr>
            <w:r w:rsidRPr="003404AA">
              <w:rPr>
                <w:color w:val="000000"/>
                <w:lang w:eastAsia="en-GB"/>
              </w:rPr>
              <w:t>1.60</w:t>
            </w:r>
            <w:r w:rsidRPr="003404AA">
              <w:rPr>
                <w:color w:val="000000"/>
                <w:vertAlign w:val="superscript"/>
                <w:lang w:eastAsia="en-GB"/>
              </w:rPr>
              <w:t>ab</w:t>
            </w:r>
          </w:p>
        </w:tc>
        <w:tc>
          <w:tcPr>
            <w:tcW w:w="576" w:type="pct"/>
            <w:shd w:val="clear" w:color="auto" w:fill="auto"/>
            <w:noWrap/>
            <w:vAlign w:val="bottom"/>
            <w:hideMark/>
          </w:tcPr>
          <w:p w14:paraId="175199C4" w14:textId="77777777" w:rsidR="00531C0C" w:rsidRPr="003404AA" w:rsidRDefault="00531C0C" w:rsidP="00531C0C">
            <w:pPr>
              <w:rPr>
                <w:color w:val="000000"/>
                <w:lang w:eastAsia="en-GB"/>
              </w:rPr>
            </w:pPr>
            <w:r w:rsidRPr="003404AA">
              <w:rPr>
                <w:color w:val="000000"/>
                <w:lang w:eastAsia="en-GB"/>
              </w:rPr>
              <w:t>0.111</w:t>
            </w:r>
          </w:p>
        </w:tc>
        <w:tc>
          <w:tcPr>
            <w:tcW w:w="576" w:type="pct"/>
            <w:shd w:val="clear" w:color="auto" w:fill="auto"/>
            <w:noWrap/>
            <w:vAlign w:val="bottom"/>
            <w:hideMark/>
          </w:tcPr>
          <w:p w14:paraId="3084BE62" w14:textId="77777777" w:rsidR="00531C0C" w:rsidRPr="003404AA" w:rsidRDefault="00531C0C" w:rsidP="00531C0C">
            <w:pPr>
              <w:rPr>
                <w:color w:val="000000"/>
                <w:lang w:eastAsia="en-GB"/>
              </w:rPr>
            </w:pPr>
            <w:r w:rsidRPr="003404AA">
              <w:rPr>
                <w:color w:val="000000"/>
                <w:lang w:eastAsia="en-GB"/>
              </w:rPr>
              <w:t>0.017</w:t>
            </w:r>
          </w:p>
        </w:tc>
      </w:tr>
      <w:tr w:rsidR="00531C0C" w:rsidRPr="003404AA" w14:paraId="489488B0" w14:textId="77777777" w:rsidTr="00AD28DA">
        <w:trPr>
          <w:trHeight w:val="288"/>
        </w:trPr>
        <w:tc>
          <w:tcPr>
            <w:tcW w:w="1547" w:type="pct"/>
            <w:shd w:val="clear" w:color="auto" w:fill="auto"/>
            <w:noWrap/>
            <w:vAlign w:val="center"/>
            <w:hideMark/>
          </w:tcPr>
          <w:p w14:paraId="63F0FF5C" w14:textId="77777777" w:rsidR="00531C0C" w:rsidRPr="003404AA" w:rsidRDefault="00531C0C" w:rsidP="00531C0C">
            <w:pPr>
              <w:rPr>
                <w:color w:val="000000"/>
                <w:lang w:eastAsia="en-GB"/>
              </w:rPr>
            </w:pPr>
            <w:r w:rsidRPr="003404AA">
              <w:rPr>
                <w:color w:val="000000"/>
                <w:lang w:eastAsia="en-GB"/>
              </w:rPr>
              <w:t>FCR d9-22</w:t>
            </w:r>
          </w:p>
        </w:tc>
        <w:tc>
          <w:tcPr>
            <w:tcW w:w="576" w:type="pct"/>
            <w:shd w:val="clear" w:color="auto" w:fill="auto"/>
            <w:noWrap/>
            <w:vAlign w:val="bottom"/>
            <w:hideMark/>
          </w:tcPr>
          <w:p w14:paraId="2F815F70" w14:textId="77777777" w:rsidR="00531C0C" w:rsidRPr="003404AA" w:rsidRDefault="00531C0C" w:rsidP="00531C0C">
            <w:pPr>
              <w:rPr>
                <w:color w:val="000000"/>
                <w:lang w:eastAsia="en-GB"/>
              </w:rPr>
            </w:pPr>
            <w:r w:rsidRPr="003404AA">
              <w:rPr>
                <w:color w:val="000000"/>
                <w:lang w:eastAsia="en-GB"/>
              </w:rPr>
              <w:t>1.27</w:t>
            </w:r>
            <w:r w:rsidRPr="003404AA">
              <w:rPr>
                <w:color w:val="000000"/>
                <w:vertAlign w:val="superscript"/>
                <w:lang w:eastAsia="en-GB"/>
              </w:rPr>
              <w:t>ab</w:t>
            </w:r>
          </w:p>
        </w:tc>
        <w:tc>
          <w:tcPr>
            <w:tcW w:w="576" w:type="pct"/>
            <w:shd w:val="clear" w:color="auto" w:fill="auto"/>
            <w:noWrap/>
            <w:vAlign w:val="bottom"/>
            <w:hideMark/>
          </w:tcPr>
          <w:p w14:paraId="11371E90" w14:textId="77777777" w:rsidR="00531C0C" w:rsidRPr="003404AA" w:rsidRDefault="00531C0C" w:rsidP="00531C0C">
            <w:pPr>
              <w:rPr>
                <w:color w:val="000000"/>
                <w:lang w:eastAsia="en-GB"/>
              </w:rPr>
            </w:pPr>
            <w:r w:rsidRPr="003404AA">
              <w:rPr>
                <w:color w:val="000000"/>
                <w:lang w:eastAsia="en-GB"/>
              </w:rPr>
              <w:t>1.37</w:t>
            </w:r>
            <w:r w:rsidRPr="003404AA">
              <w:rPr>
                <w:color w:val="000000"/>
                <w:vertAlign w:val="superscript"/>
                <w:lang w:eastAsia="en-GB"/>
              </w:rPr>
              <w:t>a</w:t>
            </w:r>
          </w:p>
        </w:tc>
        <w:tc>
          <w:tcPr>
            <w:tcW w:w="576" w:type="pct"/>
            <w:shd w:val="clear" w:color="auto" w:fill="auto"/>
            <w:noWrap/>
            <w:vAlign w:val="bottom"/>
            <w:hideMark/>
          </w:tcPr>
          <w:p w14:paraId="0A9C29BF" w14:textId="77777777" w:rsidR="00531C0C" w:rsidRPr="003404AA" w:rsidRDefault="00531C0C" w:rsidP="00531C0C">
            <w:pPr>
              <w:rPr>
                <w:color w:val="000000"/>
                <w:lang w:eastAsia="en-GB"/>
              </w:rPr>
            </w:pPr>
            <w:r w:rsidRPr="003404AA">
              <w:rPr>
                <w:color w:val="000000"/>
                <w:lang w:eastAsia="en-GB"/>
              </w:rPr>
              <w:t>1.23</w:t>
            </w:r>
            <w:r w:rsidRPr="003404AA">
              <w:rPr>
                <w:color w:val="000000"/>
                <w:vertAlign w:val="superscript"/>
                <w:lang w:eastAsia="en-GB"/>
              </w:rPr>
              <w:t>b</w:t>
            </w:r>
          </w:p>
        </w:tc>
        <w:tc>
          <w:tcPr>
            <w:tcW w:w="576" w:type="pct"/>
            <w:shd w:val="clear" w:color="auto" w:fill="auto"/>
            <w:noWrap/>
            <w:vAlign w:val="bottom"/>
            <w:hideMark/>
          </w:tcPr>
          <w:p w14:paraId="23FA370A" w14:textId="77777777" w:rsidR="00531C0C" w:rsidRPr="003404AA" w:rsidRDefault="00531C0C" w:rsidP="00531C0C">
            <w:pPr>
              <w:rPr>
                <w:color w:val="000000"/>
                <w:lang w:eastAsia="en-GB"/>
              </w:rPr>
            </w:pPr>
            <w:r w:rsidRPr="003404AA">
              <w:rPr>
                <w:color w:val="000000"/>
                <w:lang w:eastAsia="en-GB"/>
              </w:rPr>
              <w:t>1.24</w:t>
            </w:r>
            <w:r w:rsidRPr="003404AA">
              <w:rPr>
                <w:color w:val="000000"/>
                <w:vertAlign w:val="superscript"/>
                <w:lang w:eastAsia="en-GB"/>
              </w:rPr>
              <w:t>ab</w:t>
            </w:r>
          </w:p>
        </w:tc>
        <w:tc>
          <w:tcPr>
            <w:tcW w:w="576" w:type="pct"/>
            <w:shd w:val="clear" w:color="auto" w:fill="auto"/>
            <w:noWrap/>
            <w:vAlign w:val="bottom"/>
            <w:hideMark/>
          </w:tcPr>
          <w:p w14:paraId="511E4C61" w14:textId="77777777" w:rsidR="00531C0C" w:rsidRPr="003404AA" w:rsidRDefault="00531C0C" w:rsidP="00531C0C">
            <w:pPr>
              <w:rPr>
                <w:color w:val="000000"/>
                <w:lang w:eastAsia="en-GB"/>
              </w:rPr>
            </w:pPr>
            <w:r w:rsidRPr="003404AA">
              <w:rPr>
                <w:color w:val="000000"/>
                <w:lang w:eastAsia="en-GB"/>
              </w:rPr>
              <w:t>0.036</w:t>
            </w:r>
          </w:p>
        </w:tc>
        <w:tc>
          <w:tcPr>
            <w:tcW w:w="576" w:type="pct"/>
            <w:shd w:val="clear" w:color="auto" w:fill="auto"/>
            <w:noWrap/>
            <w:vAlign w:val="bottom"/>
            <w:hideMark/>
          </w:tcPr>
          <w:p w14:paraId="12650599" w14:textId="77777777" w:rsidR="00531C0C" w:rsidRPr="003404AA" w:rsidRDefault="00531C0C" w:rsidP="00531C0C">
            <w:pPr>
              <w:rPr>
                <w:color w:val="000000"/>
                <w:lang w:eastAsia="en-GB"/>
              </w:rPr>
            </w:pPr>
            <w:r w:rsidRPr="003404AA">
              <w:rPr>
                <w:color w:val="000000"/>
                <w:lang w:eastAsia="en-GB"/>
              </w:rPr>
              <w:t>0.036</w:t>
            </w:r>
          </w:p>
        </w:tc>
      </w:tr>
    </w:tbl>
    <w:p w14:paraId="3D5C9672" w14:textId="635E6F37" w:rsidR="007B30E3" w:rsidRDefault="00FD1A8A">
      <w:r>
        <w:t xml:space="preserve">Superscripts denote significance at </w:t>
      </w:r>
      <w:r w:rsidRPr="003404AA">
        <w:rPr>
          <w:i/>
          <w:iCs/>
        </w:rPr>
        <w:t>P</w:t>
      </w:r>
      <w:r>
        <w:t xml:space="preserve"> &lt;0.05.</w:t>
      </w:r>
    </w:p>
    <w:p w14:paraId="4389C975" w14:textId="171107AA" w:rsidR="00FD1A8A" w:rsidRPr="007B4D13" w:rsidRDefault="00FD1A8A">
      <w:r w:rsidRPr="007B4D13">
        <w:t xml:space="preserve">The optimum regime in terms of cost of feed/kg </w:t>
      </w:r>
      <w:r w:rsidR="00A155AF" w:rsidRPr="007B4D13">
        <w:t xml:space="preserve">pig post-weaning weight </w:t>
      </w:r>
      <w:r w:rsidRPr="007B4D13">
        <w:t>gain was SLQL.</w:t>
      </w:r>
    </w:p>
    <w:p w14:paraId="68E461EC" w14:textId="317E8356" w:rsidR="007B30E3" w:rsidRPr="007B4D13" w:rsidRDefault="007B30E3">
      <w:pPr>
        <w:rPr>
          <w:b/>
          <w:bCs/>
          <w:lang w:val="en-US"/>
        </w:rPr>
      </w:pPr>
      <w:r w:rsidRPr="007B4D13">
        <w:rPr>
          <w:b/>
          <w:bCs/>
          <w:lang w:val="en-US"/>
        </w:rPr>
        <w:t>Conclusions</w:t>
      </w:r>
    </w:p>
    <w:p w14:paraId="41A3C7EB" w14:textId="25659C94" w:rsidR="007B30E3" w:rsidRPr="007B4D13" w:rsidRDefault="00A155AF">
      <w:r w:rsidRPr="007B4D13">
        <w:t xml:space="preserve">Piglets classified as CH were probably lighter at weaning due to lower sow milk consumption than CL. </w:t>
      </w:r>
      <w:r w:rsidR="00FD1A8A" w:rsidRPr="007B4D13">
        <w:t xml:space="preserve">Post-weaning dietary cost could be reduced by feeding lower quality diets with no adverse effects on nursery performance. There was no performance benefit to feeding diets with higher lysine levels.  </w:t>
      </w:r>
    </w:p>
    <w:p w14:paraId="0ADB320F" w14:textId="5E6F53FF" w:rsidR="007B30E3" w:rsidRPr="007B4D13" w:rsidRDefault="007B30E3">
      <w:pPr>
        <w:rPr>
          <w:b/>
          <w:bCs/>
          <w:lang w:val="en-US"/>
        </w:rPr>
      </w:pPr>
      <w:r w:rsidRPr="007B4D13">
        <w:rPr>
          <w:b/>
          <w:bCs/>
          <w:lang w:val="en-US"/>
        </w:rPr>
        <w:t>References</w:t>
      </w:r>
    </w:p>
    <w:p w14:paraId="6ACF19CE" w14:textId="111B29EA" w:rsidR="00EC57B5" w:rsidRDefault="00EC57B5" w:rsidP="00FD1A8A">
      <w:r w:rsidRPr="007B4D13">
        <w:t xml:space="preserve">Batson K.L., Calderón H.I., Tokach M.D., </w:t>
      </w:r>
      <w:proofErr w:type="spellStart"/>
      <w:r w:rsidRPr="007B4D13">
        <w:t>Woodwort</w:t>
      </w:r>
      <w:proofErr w:type="spellEnd"/>
      <w:r w:rsidRPr="007B4D13">
        <w:t xml:space="preserve"> J.C., Goodband R.D., Dritz S.S., DeRouchey J.M. (2021). Journal of Animal Science</w:t>
      </w:r>
      <w:r w:rsidR="002C557D" w:rsidRPr="007B4D13">
        <w:t xml:space="preserve"> 99, 1-14.</w:t>
      </w:r>
    </w:p>
    <w:p w14:paraId="1B4D7469" w14:textId="3D83227E" w:rsidR="00FD1A8A" w:rsidRPr="00AC3578" w:rsidRDefault="00FD1A8A" w:rsidP="00FD1A8A">
      <w:r w:rsidRPr="00AC3578">
        <w:t xml:space="preserve">Muns R., Magowan E. </w:t>
      </w:r>
      <w:r w:rsidR="003665D0">
        <w:t>(</w:t>
      </w:r>
      <w:r w:rsidRPr="00AC3578">
        <w:t>2018</w:t>
      </w:r>
      <w:r w:rsidR="003665D0">
        <w:t>)</w:t>
      </w:r>
      <w:r w:rsidRPr="00AC3578">
        <w:t xml:space="preserve">. </w:t>
      </w:r>
      <w:r w:rsidRPr="003665D0">
        <w:t>Journal of Animal Science</w:t>
      </w:r>
      <w:r w:rsidRPr="00AC3578">
        <w:t xml:space="preserve"> 96, 3815-3823.</w:t>
      </w:r>
    </w:p>
    <w:p w14:paraId="29EA445D" w14:textId="0180A0AD" w:rsidR="00FD1A8A" w:rsidRPr="007B30E3" w:rsidRDefault="00FD1A8A">
      <w:pPr>
        <w:rPr>
          <w:b/>
          <w:bCs/>
          <w:lang w:val="en-US"/>
        </w:rPr>
      </w:pPr>
      <w:r w:rsidRPr="00AC3578">
        <w:t xml:space="preserve">Whittemore C.T., </w:t>
      </w:r>
      <w:proofErr w:type="spellStart"/>
      <w:r w:rsidRPr="00AC3578">
        <w:t>Hazzeldine</w:t>
      </w:r>
      <w:proofErr w:type="spellEnd"/>
      <w:r w:rsidRPr="00AC3578">
        <w:t xml:space="preserve"> M.J., </w:t>
      </w:r>
      <w:r w:rsidR="003665D0">
        <w:t xml:space="preserve">&amp; </w:t>
      </w:r>
      <w:r w:rsidRPr="00AC3578">
        <w:t xml:space="preserve">Close W.H. </w:t>
      </w:r>
      <w:r w:rsidR="003665D0">
        <w:t>(</w:t>
      </w:r>
      <w:r w:rsidRPr="00AC3578">
        <w:t>2003</w:t>
      </w:r>
      <w:r w:rsidR="003665D0">
        <w:t>)</w:t>
      </w:r>
      <w:r w:rsidRPr="00AC3578">
        <w:t xml:space="preserve">. </w:t>
      </w:r>
      <w:r w:rsidRPr="003665D0">
        <w:rPr>
          <w:iCs/>
        </w:rPr>
        <w:t>Nutrient requirement standards for pigs.</w:t>
      </w:r>
      <w:r w:rsidRPr="00AC3578">
        <w:t xml:space="preserve"> Penicuik: British Society of Animal Science.</w:t>
      </w:r>
    </w:p>
    <w:sectPr w:rsidR="00FD1A8A" w:rsidRPr="007B30E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297741"/>
    <w:rsid w:val="002C557D"/>
    <w:rsid w:val="0032379F"/>
    <w:rsid w:val="00334039"/>
    <w:rsid w:val="003665D0"/>
    <w:rsid w:val="00383DCD"/>
    <w:rsid w:val="00397193"/>
    <w:rsid w:val="00515117"/>
    <w:rsid w:val="005212EF"/>
    <w:rsid w:val="00531C0C"/>
    <w:rsid w:val="00625B14"/>
    <w:rsid w:val="007B30E3"/>
    <w:rsid w:val="007B4D13"/>
    <w:rsid w:val="00933E8C"/>
    <w:rsid w:val="00A155AF"/>
    <w:rsid w:val="00AC074E"/>
    <w:rsid w:val="00B52E4E"/>
    <w:rsid w:val="00B66954"/>
    <w:rsid w:val="00C43C24"/>
    <w:rsid w:val="00C53AE2"/>
    <w:rsid w:val="00C95030"/>
    <w:rsid w:val="00CA362C"/>
    <w:rsid w:val="00DA2864"/>
    <w:rsid w:val="00DD21B5"/>
    <w:rsid w:val="00E27EE6"/>
    <w:rsid w:val="00EC57B5"/>
    <w:rsid w:val="00FD1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hasan04\staffhome\data\006\00685980\PhD\Trials\Data\Trial%203\Results\Post-weaning%20pen(AutoRecovere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86326805608673"/>
          <c:y val="5.1597039953339169E-2"/>
          <c:w val="0.72238214889502872"/>
          <c:h val="0.68806484724273032"/>
        </c:manualLayout>
      </c:layout>
      <c:scatterChart>
        <c:scatterStyle val="lineMarker"/>
        <c:varyColors val="0"/>
        <c:ser>
          <c:idx val="0"/>
          <c:order val="0"/>
          <c:tx>
            <c:strRef>
              <c:f>'CORRECT GRAPHS'!$AI$2:$AI$3</c:f>
              <c:strCache>
                <c:ptCount val="2"/>
                <c:pt idx="0">
                  <c:v>SL</c:v>
                </c:pt>
                <c:pt idx="1">
                  <c:v>QL</c:v>
                </c:pt>
              </c:strCache>
            </c:strRef>
          </c:tx>
          <c:spPr>
            <a:ln w="19050" cap="rnd">
              <a:solidFill>
                <a:srgbClr val="00C0BC"/>
              </a:solidFill>
              <a:prstDash val="sysDash"/>
              <a:round/>
            </a:ln>
            <a:effectLst/>
          </c:spPr>
          <c:marker>
            <c:symbol val="none"/>
          </c:marker>
          <c:errBars>
            <c:errDir val="y"/>
            <c:errBarType val="both"/>
            <c:errValType val="cust"/>
            <c:noEndCap val="0"/>
            <c:plus>
              <c:numRef>
                <c:f>'CORRECT GRAPHS'!$AM$4:$AM$10</c:f>
                <c:numCache>
                  <c:formatCode>General</c:formatCode>
                  <c:ptCount val="7"/>
                  <c:pt idx="0">
                    <c:v>1.4999999999999999E-2</c:v>
                  </c:pt>
                  <c:pt idx="1">
                    <c:v>3.7999999999999999E-2</c:v>
                  </c:pt>
                  <c:pt idx="2">
                    <c:v>5.1999999999999998E-2</c:v>
                  </c:pt>
                  <c:pt idx="3">
                    <c:v>7.4999999999999997E-2</c:v>
                  </c:pt>
                  <c:pt idx="4">
                    <c:v>0.11600000000000001</c:v>
                  </c:pt>
                  <c:pt idx="5">
                    <c:v>0.154</c:v>
                  </c:pt>
                  <c:pt idx="6">
                    <c:v>0.24199999999999999</c:v>
                  </c:pt>
                </c:numCache>
              </c:numRef>
            </c:plus>
            <c:minus>
              <c:numRef>
                <c:f>'CORRECT GRAPHS'!$AM$4:$AM$10</c:f>
                <c:numCache>
                  <c:formatCode>General</c:formatCode>
                  <c:ptCount val="7"/>
                  <c:pt idx="0">
                    <c:v>1.4999999999999999E-2</c:v>
                  </c:pt>
                  <c:pt idx="1">
                    <c:v>3.7999999999999999E-2</c:v>
                  </c:pt>
                  <c:pt idx="2">
                    <c:v>5.1999999999999998E-2</c:v>
                  </c:pt>
                  <c:pt idx="3">
                    <c:v>7.4999999999999997E-2</c:v>
                  </c:pt>
                  <c:pt idx="4">
                    <c:v>0.11600000000000001</c:v>
                  </c:pt>
                  <c:pt idx="5">
                    <c:v>0.154</c:v>
                  </c:pt>
                  <c:pt idx="6">
                    <c:v>0.24199999999999999</c:v>
                  </c:pt>
                </c:numCache>
              </c:numRef>
            </c:minus>
            <c:spPr>
              <a:noFill/>
              <a:ln w="9525" cap="flat" cmpd="sng" algn="ctr">
                <a:solidFill>
                  <a:schemeClr val="tx1">
                    <a:lumMod val="65000"/>
                    <a:lumOff val="35000"/>
                  </a:schemeClr>
                </a:solidFill>
                <a:round/>
              </a:ln>
              <a:effectLst/>
            </c:spPr>
          </c:errBars>
          <c:xVal>
            <c:numRef>
              <c:f>'CORRECT GRAPHS'!$AH$4:$AH$10</c:f>
              <c:numCache>
                <c:formatCode>General</c:formatCode>
                <c:ptCount val="7"/>
                <c:pt idx="0">
                  <c:v>0</c:v>
                </c:pt>
                <c:pt idx="1">
                  <c:v>3</c:v>
                </c:pt>
                <c:pt idx="2">
                  <c:v>6</c:v>
                </c:pt>
                <c:pt idx="3">
                  <c:v>9</c:v>
                </c:pt>
                <c:pt idx="4">
                  <c:v>12</c:v>
                </c:pt>
                <c:pt idx="5">
                  <c:v>15</c:v>
                </c:pt>
                <c:pt idx="6">
                  <c:v>22</c:v>
                </c:pt>
              </c:numCache>
            </c:numRef>
          </c:xVal>
          <c:yVal>
            <c:numRef>
              <c:f>'CORRECT GRAPHS'!$AI$4:$AI$10</c:f>
              <c:numCache>
                <c:formatCode>General</c:formatCode>
                <c:ptCount val="7"/>
                <c:pt idx="0">
                  <c:v>9.1</c:v>
                </c:pt>
                <c:pt idx="1">
                  <c:v>9.5399999999999991</c:v>
                </c:pt>
                <c:pt idx="2">
                  <c:v>9.91</c:v>
                </c:pt>
                <c:pt idx="3">
                  <c:v>10.54</c:v>
                </c:pt>
                <c:pt idx="4">
                  <c:v>11.31</c:v>
                </c:pt>
                <c:pt idx="5">
                  <c:v>12.66</c:v>
                </c:pt>
                <c:pt idx="6">
                  <c:v>16.72</c:v>
                </c:pt>
              </c:numCache>
            </c:numRef>
          </c:yVal>
          <c:smooth val="0"/>
          <c:extLst>
            <c:ext xmlns:c16="http://schemas.microsoft.com/office/drawing/2014/chart" uri="{C3380CC4-5D6E-409C-BE32-E72D297353CC}">
              <c16:uniqueId val="{00000000-464B-49DB-B608-3D4E18678875}"/>
            </c:ext>
          </c:extLst>
        </c:ser>
        <c:ser>
          <c:idx val="1"/>
          <c:order val="1"/>
          <c:tx>
            <c:strRef>
              <c:f>'CORRECT GRAPHS'!$AJ$2:$AJ$3</c:f>
              <c:strCache>
                <c:ptCount val="2"/>
                <c:pt idx="0">
                  <c:v>SL</c:v>
                </c:pt>
                <c:pt idx="1">
                  <c:v>QH</c:v>
                </c:pt>
              </c:strCache>
            </c:strRef>
          </c:tx>
          <c:spPr>
            <a:ln w="19050" cap="rnd">
              <a:solidFill>
                <a:srgbClr val="0070C0"/>
              </a:solidFill>
              <a:prstDash val="sysDash"/>
              <a:round/>
            </a:ln>
            <a:effectLst/>
          </c:spPr>
          <c:marker>
            <c:symbol val="none"/>
          </c:marker>
          <c:errBars>
            <c:errDir val="y"/>
            <c:errBarType val="both"/>
            <c:errValType val="cust"/>
            <c:noEndCap val="0"/>
            <c:plus>
              <c:numRef>
                <c:f>'CORRECT GRAPHS'!$AM$4:$AM$10</c:f>
                <c:numCache>
                  <c:formatCode>General</c:formatCode>
                  <c:ptCount val="7"/>
                  <c:pt idx="0">
                    <c:v>1.4999999999999999E-2</c:v>
                  </c:pt>
                  <c:pt idx="1">
                    <c:v>3.7999999999999999E-2</c:v>
                  </c:pt>
                  <c:pt idx="2">
                    <c:v>5.1999999999999998E-2</c:v>
                  </c:pt>
                  <c:pt idx="3">
                    <c:v>7.4999999999999997E-2</c:v>
                  </c:pt>
                  <c:pt idx="4">
                    <c:v>0.11600000000000001</c:v>
                  </c:pt>
                  <c:pt idx="5">
                    <c:v>0.154</c:v>
                  </c:pt>
                  <c:pt idx="6">
                    <c:v>0.24199999999999999</c:v>
                  </c:pt>
                </c:numCache>
              </c:numRef>
            </c:plus>
            <c:minus>
              <c:numRef>
                <c:f>'CORRECT GRAPHS'!$AM$4:$AM$10</c:f>
                <c:numCache>
                  <c:formatCode>General</c:formatCode>
                  <c:ptCount val="7"/>
                  <c:pt idx="0">
                    <c:v>1.4999999999999999E-2</c:v>
                  </c:pt>
                  <c:pt idx="1">
                    <c:v>3.7999999999999999E-2</c:v>
                  </c:pt>
                  <c:pt idx="2">
                    <c:v>5.1999999999999998E-2</c:v>
                  </c:pt>
                  <c:pt idx="3">
                    <c:v>7.4999999999999997E-2</c:v>
                  </c:pt>
                  <c:pt idx="4">
                    <c:v>0.11600000000000001</c:v>
                  </c:pt>
                  <c:pt idx="5">
                    <c:v>0.154</c:v>
                  </c:pt>
                  <c:pt idx="6">
                    <c:v>0.24199999999999999</c:v>
                  </c:pt>
                </c:numCache>
              </c:numRef>
            </c:minus>
            <c:spPr>
              <a:noFill/>
              <a:ln w="9525" cap="flat" cmpd="sng" algn="ctr">
                <a:solidFill>
                  <a:schemeClr val="tx1">
                    <a:lumMod val="65000"/>
                    <a:lumOff val="35000"/>
                  </a:schemeClr>
                </a:solidFill>
                <a:round/>
              </a:ln>
              <a:effectLst/>
            </c:spPr>
          </c:errBars>
          <c:xVal>
            <c:numRef>
              <c:f>'CORRECT GRAPHS'!$AH$4:$AH$10</c:f>
              <c:numCache>
                <c:formatCode>General</c:formatCode>
                <c:ptCount val="7"/>
                <c:pt idx="0">
                  <c:v>0</c:v>
                </c:pt>
                <c:pt idx="1">
                  <c:v>3</c:v>
                </c:pt>
                <c:pt idx="2">
                  <c:v>6</c:v>
                </c:pt>
                <c:pt idx="3">
                  <c:v>9</c:v>
                </c:pt>
                <c:pt idx="4">
                  <c:v>12</c:v>
                </c:pt>
                <c:pt idx="5">
                  <c:v>15</c:v>
                </c:pt>
                <c:pt idx="6">
                  <c:v>22</c:v>
                </c:pt>
              </c:numCache>
            </c:numRef>
          </c:xVal>
          <c:yVal>
            <c:numRef>
              <c:f>'CORRECT GRAPHS'!$AJ$4:$AJ$10</c:f>
              <c:numCache>
                <c:formatCode>General</c:formatCode>
                <c:ptCount val="7"/>
                <c:pt idx="0">
                  <c:v>9.1</c:v>
                </c:pt>
                <c:pt idx="1">
                  <c:v>9.48</c:v>
                </c:pt>
                <c:pt idx="2">
                  <c:v>9.81</c:v>
                </c:pt>
                <c:pt idx="3">
                  <c:v>10.27</c:v>
                </c:pt>
                <c:pt idx="4">
                  <c:v>11.03</c:v>
                </c:pt>
                <c:pt idx="5">
                  <c:v>12.2</c:v>
                </c:pt>
                <c:pt idx="6">
                  <c:v>15.69</c:v>
                </c:pt>
              </c:numCache>
            </c:numRef>
          </c:yVal>
          <c:smooth val="0"/>
          <c:extLst>
            <c:ext xmlns:c16="http://schemas.microsoft.com/office/drawing/2014/chart" uri="{C3380CC4-5D6E-409C-BE32-E72D297353CC}">
              <c16:uniqueId val="{00000001-464B-49DB-B608-3D4E18678875}"/>
            </c:ext>
          </c:extLst>
        </c:ser>
        <c:ser>
          <c:idx val="2"/>
          <c:order val="2"/>
          <c:tx>
            <c:strRef>
              <c:f>'CORRECT GRAPHS'!$AK$2:$AK$3</c:f>
              <c:strCache>
                <c:ptCount val="2"/>
                <c:pt idx="0">
                  <c:v>SH</c:v>
                </c:pt>
                <c:pt idx="1">
                  <c:v>QL</c:v>
                </c:pt>
              </c:strCache>
            </c:strRef>
          </c:tx>
          <c:spPr>
            <a:ln w="19050" cap="rnd">
              <a:solidFill>
                <a:schemeClr val="accent2">
                  <a:lumMod val="50000"/>
                </a:schemeClr>
              </a:solidFill>
              <a:prstDash val="lgDash"/>
              <a:round/>
            </a:ln>
            <a:effectLst/>
          </c:spPr>
          <c:marker>
            <c:symbol val="none"/>
          </c:marker>
          <c:errBars>
            <c:errDir val="y"/>
            <c:errBarType val="both"/>
            <c:errValType val="cust"/>
            <c:noEndCap val="0"/>
            <c:plus>
              <c:numRef>
                <c:f>'CORRECT GRAPHS'!$AM$4:$AM$10</c:f>
                <c:numCache>
                  <c:formatCode>General</c:formatCode>
                  <c:ptCount val="7"/>
                  <c:pt idx="0">
                    <c:v>1.4999999999999999E-2</c:v>
                  </c:pt>
                  <c:pt idx="1">
                    <c:v>3.7999999999999999E-2</c:v>
                  </c:pt>
                  <c:pt idx="2">
                    <c:v>5.1999999999999998E-2</c:v>
                  </c:pt>
                  <c:pt idx="3">
                    <c:v>7.4999999999999997E-2</c:v>
                  </c:pt>
                  <c:pt idx="4">
                    <c:v>0.11600000000000001</c:v>
                  </c:pt>
                  <c:pt idx="5">
                    <c:v>0.154</c:v>
                  </c:pt>
                  <c:pt idx="6">
                    <c:v>0.24199999999999999</c:v>
                  </c:pt>
                </c:numCache>
              </c:numRef>
            </c:plus>
            <c:minus>
              <c:numRef>
                <c:f>'CORRECT GRAPHS'!$AM$4:$AM$10</c:f>
                <c:numCache>
                  <c:formatCode>General</c:formatCode>
                  <c:ptCount val="7"/>
                  <c:pt idx="0">
                    <c:v>1.4999999999999999E-2</c:v>
                  </c:pt>
                  <c:pt idx="1">
                    <c:v>3.7999999999999999E-2</c:v>
                  </c:pt>
                  <c:pt idx="2">
                    <c:v>5.1999999999999998E-2</c:v>
                  </c:pt>
                  <c:pt idx="3">
                    <c:v>7.4999999999999997E-2</c:v>
                  </c:pt>
                  <c:pt idx="4">
                    <c:v>0.11600000000000001</c:v>
                  </c:pt>
                  <c:pt idx="5">
                    <c:v>0.154</c:v>
                  </c:pt>
                  <c:pt idx="6">
                    <c:v>0.24199999999999999</c:v>
                  </c:pt>
                </c:numCache>
              </c:numRef>
            </c:minus>
            <c:spPr>
              <a:noFill/>
              <a:ln w="9525" cap="flat" cmpd="sng" algn="ctr">
                <a:solidFill>
                  <a:schemeClr val="tx1">
                    <a:lumMod val="65000"/>
                    <a:lumOff val="35000"/>
                  </a:schemeClr>
                </a:solidFill>
                <a:round/>
              </a:ln>
              <a:effectLst/>
            </c:spPr>
          </c:errBars>
          <c:xVal>
            <c:numRef>
              <c:f>'CORRECT GRAPHS'!$AH$4:$AH$10</c:f>
              <c:numCache>
                <c:formatCode>General</c:formatCode>
                <c:ptCount val="7"/>
                <c:pt idx="0">
                  <c:v>0</c:v>
                </c:pt>
                <c:pt idx="1">
                  <c:v>3</c:v>
                </c:pt>
                <c:pt idx="2">
                  <c:v>6</c:v>
                </c:pt>
                <c:pt idx="3">
                  <c:v>9</c:v>
                </c:pt>
                <c:pt idx="4">
                  <c:v>12</c:v>
                </c:pt>
                <c:pt idx="5">
                  <c:v>15</c:v>
                </c:pt>
                <c:pt idx="6">
                  <c:v>22</c:v>
                </c:pt>
              </c:numCache>
            </c:numRef>
          </c:xVal>
          <c:yVal>
            <c:numRef>
              <c:f>'CORRECT GRAPHS'!$AK$4:$AK$10</c:f>
              <c:numCache>
                <c:formatCode>General</c:formatCode>
                <c:ptCount val="7"/>
                <c:pt idx="0">
                  <c:v>9.1300000000000008</c:v>
                </c:pt>
                <c:pt idx="1">
                  <c:v>9.69</c:v>
                </c:pt>
                <c:pt idx="2">
                  <c:v>10.17</c:v>
                </c:pt>
                <c:pt idx="3">
                  <c:v>10.83</c:v>
                </c:pt>
                <c:pt idx="4">
                  <c:v>11.86</c:v>
                </c:pt>
                <c:pt idx="5">
                  <c:v>13.27</c:v>
                </c:pt>
                <c:pt idx="6">
                  <c:v>17.010000000000002</c:v>
                </c:pt>
              </c:numCache>
            </c:numRef>
          </c:yVal>
          <c:smooth val="0"/>
          <c:extLst>
            <c:ext xmlns:c16="http://schemas.microsoft.com/office/drawing/2014/chart" uri="{C3380CC4-5D6E-409C-BE32-E72D297353CC}">
              <c16:uniqueId val="{00000002-464B-49DB-B608-3D4E18678875}"/>
            </c:ext>
          </c:extLst>
        </c:ser>
        <c:ser>
          <c:idx val="3"/>
          <c:order val="3"/>
          <c:tx>
            <c:strRef>
              <c:f>'CORRECT GRAPHS'!$AL$2:$AL$3</c:f>
              <c:strCache>
                <c:ptCount val="2"/>
                <c:pt idx="0">
                  <c:v>SH</c:v>
                </c:pt>
                <c:pt idx="1">
                  <c:v>QH</c:v>
                </c:pt>
              </c:strCache>
            </c:strRef>
          </c:tx>
          <c:spPr>
            <a:ln w="19050" cap="rnd">
              <a:solidFill>
                <a:srgbClr val="F907A8"/>
              </a:solidFill>
              <a:prstDash val="lgDash"/>
              <a:round/>
            </a:ln>
            <a:effectLst/>
          </c:spPr>
          <c:marker>
            <c:symbol val="none"/>
          </c:marker>
          <c:errBars>
            <c:errDir val="y"/>
            <c:errBarType val="both"/>
            <c:errValType val="cust"/>
            <c:noEndCap val="0"/>
            <c:plus>
              <c:numRef>
                <c:f>'CORRECT GRAPHS'!$AM$4:$AM$10</c:f>
                <c:numCache>
                  <c:formatCode>General</c:formatCode>
                  <c:ptCount val="7"/>
                  <c:pt idx="0">
                    <c:v>1.4999999999999999E-2</c:v>
                  </c:pt>
                  <c:pt idx="1">
                    <c:v>3.7999999999999999E-2</c:v>
                  </c:pt>
                  <c:pt idx="2">
                    <c:v>5.1999999999999998E-2</c:v>
                  </c:pt>
                  <c:pt idx="3">
                    <c:v>7.4999999999999997E-2</c:v>
                  </c:pt>
                  <c:pt idx="4">
                    <c:v>0.11600000000000001</c:v>
                  </c:pt>
                  <c:pt idx="5">
                    <c:v>0.154</c:v>
                  </c:pt>
                  <c:pt idx="6">
                    <c:v>0.24199999999999999</c:v>
                  </c:pt>
                </c:numCache>
              </c:numRef>
            </c:plus>
            <c:minus>
              <c:numRef>
                <c:f>'CORRECT GRAPHS'!$AM$4:$AM$10</c:f>
                <c:numCache>
                  <c:formatCode>General</c:formatCode>
                  <c:ptCount val="7"/>
                  <c:pt idx="0">
                    <c:v>1.4999999999999999E-2</c:v>
                  </c:pt>
                  <c:pt idx="1">
                    <c:v>3.7999999999999999E-2</c:v>
                  </c:pt>
                  <c:pt idx="2">
                    <c:v>5.1999999999999998E-2</c:v>
                  </c:pt>
                  <c:pt idx="3">
                    <c:v>7.4999999999999997E-2</c:v>
                  </c:pt>
                  <c:pt idx="4">
                    <c:v>0.11600000000000001</c:v>
                  </c:pt>
                  <c:pt idx="5">
                    <c:v>0.154</c:v>
                  </c:pt>
                  <c:pt idx="6">
                    <c:v>0.24199999999999999</c:v>
                  </c:pt>
                </c:numCache>
              </c:numRef>
            </c:minus>
            <c:spPr>
              <a:noFill/>
              <a:ln w="9525" cap="flat" cmpd="sng" algn="ctr">
                <a:solidFill>
                  <a:schemeClr val="tx1">
                    <a:lumMod val="65000"/>
                    <a:lumOff val="35000"/>
                  </a:schemeClr>
                </a:solidFill>
                <a:round/>
              </a:ln>
              <a:effectLst/>
            </c:spPr>
          </c:errBars>
          <c:xVal>
            <c:numRef>
              <c:f>'CORRECT GRAPHS'!$AH$4:$AH$10</c:f>
              <c:numCache>
                <c:formatCode>General</c:formatCode>
                <c:ptCount val="7"/>
                <c:pt idx="0">
                  <c:v>0</c:v>
                </c:pt>
                <c:pt idx="1">
                  <c:v>3</c:v>
                </c:pt>
                <c:pt idx="2">
                  <c:v>6</c:v>
                </c:pt>
                <c:pt idx="3">
                  <c:v>9</c:v>
                </c:pt>
                <c:pt idx="4">
                  <c:v>12</c:v>
                </c:pt>
                <c:pt idx="5">
                  <c:v>15</c:v>
                </c:pt>
                <c:pt idx="6">
                  <c:v>22</c:v>
                </c:pt>
              </c:numCache>
            </c:numRef>
          </c:xVal>
          <c:yVal>
            <c:numRef>
              <c:f>'CORRECT GRAPHS'!$AL$4:$AL$10</c:f>
              <c:numCache>
                <c:formatCode>General</c:formatCode>
                <c:ptCount val="7"/>
                <c:pt idx="0">
                  <c:v>9.14</c:v>
                </c:pt>
                <c:pt idx="1">
                  <c:v>9.59</c:v>
                </c:pt>
                <c:pt idx="2">
                  <c:v>9.9</c:v>
                </c:pt>
                <c:pt idx="3">
                  <c:v>10.49</c:v>
                </c:pt>
                <c:pt idx="4">
                  <c:v>11.38</c:v>
                </c:pt>
                <c:pt idx="5">
                  <c:v>12.67</c:v>
                </c:pt>
                <c:pt idx="6">
                  <c:v>16.86</c:v>
                </c:pt>
              </c:numCache>
            </c:numRef>
          </c:yVal>
          <c:smooth val="0"/>
          <c:extLst>
            <c:ext xmlns:c16="http://schemas.microsoft.com/office/drawing/2014/chart" uri="{C3380CC4-5D6E-409C-BE32-E72D297353CC}">
              <c16:uniqueId val="{00000003-464B-49DB-B608-3D4E18678875}"/>
            </c:ext>
          </c:extLst>
        </c:ser>
        <c:dLbls>
          <c:showLegendKey val="0"/>
          <c:showVal val="0"/>
          <c:showCatName val="0"/>
          <c:showSerName val="0"/>
          <c:showPercent val="0"/>
          <c:showBubbleSize val="0"/>
        </c:dLbls>
        <c:axId val="87784783"/>
        <c:axId val="87779791"/>
      </c:scatterChart>
      <c:valAx>
        <c:axId val="87784783"/>
        <c:scaling>
          <c:orientation val="minMax"/>
          <c:max val="24"/>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Days post-weaning</a:t>
                </a:r>
              </a:p>
            </c:rich>
          </c:tx>
          <c:layout>
            <c:manualLayout>
              <c:xMode val="edge"/>
              <c:yMode val="edge"/>
              <c:x val="0.35306060811849266"/>
              <c:y val="0.9081310731355086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7779791"/>
        <c:crosses val="autoZero"/>
        <c:crossBetween val="midCat"/>
        <c:majorUnit val="2"/>
      </c:valAx>
      <c:valAx>
        <c:axId val="87779791"/>
        <c:scaling>
          <c:orientation val="minMax"/>
          <c:min val="8"/>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Average weight (kg)</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7784783"/>
        <c:crosses val="autoZero"/>
        <c:crossBetween val="midCat"/>
      </c:valAx>
      <c:spPr>
        <a:noFill/>
        <a:ln w="25400">
          <a:noFill/>
        </a:ln>
        <a:effectLst/>
      </c:spPr>
    </c:plotArea>
    <c:legend>
      <c:legendPos val="b"/>
      <c:layout>
        <c:manualLayout>
          <c:xMode val="edge"/>
          <c:yMode val="edge"/>
          <c:x val="0.8317455438360718"/>
          <c:y val="7.7930612385242223E-2"/>
          <c:w val="0.15806804864528518"/>
          <c:h val="0.6720694808982211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2.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Sarah Icely</cp:lastModifiedBy>
  <cp:revision>5</cp:revision>
  <dcterms:created xsi:type="dcterms:W3CDTF">2024-12-20T08:10:00Z</dcterms:created>
  <dcterms:modified xsi:type="dcterms:W3CDTF">2025-01-15T07:07:00Z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