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08A0" w14:textId="690CE51C" w:rsidR="00732681" w:rsidRPr="001F5292" w:rsidRDefault="00342C7B" w:rsidP="00732681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</w:pPr>
      <w:r w:rsidRPr="001F5292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t>Effect of replacing urea direct supplementation with urea-protected additives on ruminal fermentation and rumen ammonia concentration in beef cattle</w:t>
      </w:r>
    </w:p>
    <w:p w14:paraId="57C39962" w14:textId="77777777" w:rsidR="00342C7B" w:rsidRPr="001F5292" w:rsidRDefault="00342C7B" w:rsidP="00732681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</w:pPr>
    </w:p>
    <w:p w14:paraId="63ECFE22" w14:textId="71E6427E" w:rsidR="00C078DB" w:rsidRPr="001F5292" w:rsidRDefault="00732681" w:rsidP="00732681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</w:pPr>
      <w:r w:rsidRPr="001F5292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>Application</w:t>
      </w:r>
      <w:r w:rsidR="00E42EA0" w:rsidRPr="001F5292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>:</w:t>
      </w:r>
      <w:r w:rsidR="00874690" w:rsidRPr="001F5292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 xml:space="preserve"> </w:t>
      </w:r>
      <w:r w:rsidR="001F3C82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The use of slow urea liberators can reduce the risk of alkalosis in the first hours, improving the utilization of N-NH</w:t>
      </w:r>
      <w:r w:rsidR="001F3C82" w:rsidRPr="001F5292">
        <w:rPr>
          <w:rFonts w:ascii="Times New Roman" w:hAnsi="Times New Roman" w:cs="Times New Roman"/>
          <w:color w:val="000000" w:themeColor="text1"/>
          <w:sz w:val="18"/>
          <w:szCs w:val="18"/>
          <w:vertAlign w:val="subscript"/>
          <w:lang w:val="en-US"/>
        </w:rPr>
        <w:t xml:space="preserve">3 </w:t>
      </w:r>
      <w:r w:rsidR="001F3C82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at rumen level in beef cattle.</w:t>
      </w:r>
    </w:p>
    <w:p w14:paraId="09EBC756" w14:textId="69538710" w:rsidR="00732681" w:rsidRPr="001F5292" w:rsidRDefault="00895936" w:rsidP="00732681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</w:pPr>
      <w:r w:rsidRPr="001F5292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t>Introduction</w:t>
      </w:r>
      <w:r w:rsidR="005A06AA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:</w:t>
      </w:r>
      <w:r w:rsidR="002D5FAC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Rumen bacteria can convert non protein nitrogen (NPN) sources into microbial crude protein if the amount of energy is available. Feed grade urea (FGU) is the </w:t>
      </w:r>
      <w:r w:rsidR="00E42EA0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most used</w:t>
      </w:r>
      <w:r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NPN source in beef cattle diets</w:t>
      </w:r>
      <w:r w:rsidR="002D50F8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(</w:t>
      </w:r>
      <w:proofErr w:type="spellStart"/>
      <w:r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Cherdthong</w:t>
      </w:r>
      <w:proofErr w:type="spellEnd"/>
      <w:r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and </w:t>
      </w:r>
      <w:proofErr w:type="spellStart"/>
      <w:r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Wanapat</w:t>
      </w:r>
      <w:proofErr w:type="spellEnd"/>
      <w:r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, 2010; </w:t>
      </w:r>
      <w:proofErr w:type="spellStart"/>
      <w:r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Kertz</w:t>
      </w:r>
      <w:proofErr w:type="spellEnd"/>
      <w:r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, 2010)</w:t>
      </w:r>
      <w:r w:rsidR="002D50F8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. </w:t>
      </w:r>
      <w:r w:rsidR="00874690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An</w:t>
      </w:r>
      <w:r w:rsidR="00874690" w:rsidRPr="001F5292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 xml:space="preserve"> in vi</w:t>
      </w:r>
      <w:r w:rsidR="002D5FAC" w:rsidRPr="001F5292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>vo</w:t>
      </w:r>
      <w:r w:rsidR="00874690" w:rsidRPr="001F5292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="00874690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study was conducted to determine the effects of feeding feed grade urea (FGU) or slow-release urea (SRU) as a replacement for true protein supplements (soybean meal, SBM), and control diet (CTR, no N inclusion sources) in beef cattle diets to see if N-NH</w:t>
      </w:r>
      <w:r w:rsidR="00874690" w:rsidRPr="001F5292">
        <w:rPr>
          <w:rFonts w:ascii="Times New Roman" w:hAnsi="Times New Roman" w:cs="Times New Roman"/>
          <w:color w:val="000000" w:themeColor="text1"/>
          <w:sz w:val="18"/>
          <w:szCs w:val="18"/>
          <w:vertAlign w:val="subscript"/>
          <w:lang w:val="en-US"/>
        </w:rPr>
        <w:t xml:space="preserve">3 </w:t>
      </w:r>
      <w:r w:rsidR="00874690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concentration is reduced at the ruminal level during the first few hours, decreasing the risk of </w:t>
      </w:r>
      <w:r w:rsidR="00A11D24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alkalosis.</w:t>
      </w:r>
    </w:p>
    <w:p w14:paraId="17D5BE15" w14:textId="57EDE7D0" w:rsidR="00732681" w:rsidRPr="001F5292" w:rsidRDefault="00732681" w:rsidP="0048508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</w:pPr>
      <w:r w:rsidRPr="001F5292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t xml:space="preserve">Material </w:t>
      </w:r>
      <w:r w:rsidR="009C2791" w:rsidRPr="001F5292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t>and</w:t>
      </w:r>
      <w:r w:rsidRPr="001F5292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t xml:space="preserve"> methods</w:t>
      </w:r>
      <w:r w:rsidR="00E42EA0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: </w:t>
      </w:r>
      <w:r w:rsidR="004C6CA8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Five beef cattle of 577 ±48. 75 kg live weight, provided with ruminal cannula, which were fed a conventional diet (concentrate/corn silage, 60: 40 as DM) </w:t>
      </w:r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and the following treatments were used, </w:t>
      </w:r>
      <w:r w:rsidR="004C6CA8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t</w:t>
      </w:r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reatment 1, Control diet (Ctrl-without any N-additives), </w:t>
      </w:r>
      <w:r w:rsidR="004C6CA8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t</w:t>
      </w:r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reatment 2, Soybean meal (SBM) as reference protein source (Ctrl-SBM); </w:t>
      </w:r>
      <w:r w:rsidR="004C6CA8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t</w:t>
      </w:r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reatment 3, Urea-based diet, </w:t>
      </w:r>
      <w:r w:rsidR="004C6CA8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t</w:t>
      </w:r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reatment 4, SRU </w:t>
      </w:r>
      <w:proofErr w:type="spellStart"/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Optigen</w:t>
      </w:r>
      <w:proofErr w:type="spellEnd"/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-based diet (replacing Urea); </w:t>
      </w:r>
      <w:r w:rsidR="004C6CA8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t</w:t>
      </w:r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reatment 5, SRU-Biuret based diet (replacing Urea); </w:t>
      </w:r>
      <w:r w:rsidR="004C6CA8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t</w:t>
      </w:r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reatment 6, Urea with the inclusion of </w:t>
      </w:r>
      <w:proofErr w:type="spellStart"/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HyUrit</w:t>
      </w:r>
      <w:proofErr w:type="spellEnd"/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at 2</w:t>
      </w:r>
      <w:r w:rsidR="005D2B26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5</w:t>
      </w:r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% of DMI (Urea+ </w:t>
      </w:r>
      <w:proofErr w:type="spellStart"/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HyUrit</w:t>
      </w:r>
      <w:proofErr w:type="spellEnd"/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). Randomly distributed to one of </w:t>
      </w:r>
      <w:r w:rsidR="005D2B26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six</w:t>
      </w:r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experimental treatments, in a 5x</w:t>
      </w:r>
      <w:r w:rsidR="005D2B26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6</w:t>
      </w:r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incomplete Latin square design, treatments. The diet was isoenergetic and </w:t>
      </w:r>
      <w:proofErr w:type="spellStart"/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isoproteic</w:t>
      </w:r>
      <w:proofErr w:type="spellEnd"/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with 11.4 MJ ME/kg DM and 14 % CP. Each experimental period lasted 30d, of which 23 days were used for diet adaptation and five days for sample collection</w:t>
      </w:r>
      <w:r w:rsidR="002D5FAC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(intake and digestibility)</w:t>
      </w:r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, the last two days were used for rumen dynamics testing (NH</w:t>
      </w:r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vertAlign w:val="subscript"/>
          <w:lang w:val="en-US"/>
        </w:rPr>
        <w:t>3</w:t>
      </w:r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and pH) at 0 (just before feeding), 0.5, 1, 2, 4, 6, 8, 12, and 24 h after feeding. Each heifer received each treatment once during each of the </w:t>
      </w:r>
      <w:r w:rsidR="002D5FAC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six</w:t>
      </w:r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periods.</w:t>
      </w:r>
      <w:r w:rsidR="009760D8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="00342C7B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Animals were weighed at the beginning and end of each experimental period. </w:t>
      </w:r>
      <w:r w:rsidR="009760D8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The additives were offered daily in a single dose at 08:00 h in the morning. Animal performance variables such as dry matter intake (DMI), digestibility, average daily weight gain (ADG), gain/feed ratio, chemical composition of the diets, ruminal fermentation profile and nitrogen utilization were considered.</w:t>
      </w:r>
    </w:p>
    <w:p w14:paraId="06493922" w14:textId="641BA694" w:rsidR="009760D8" w:rsidRPr="001F5292" w:rsidRDefault="00732681" w:rsidP="009760D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</w:pPr>
      <w:r w:rsidRPr="001F5292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t>Results</w:t>
      </w:r>
      <w:r w:rsidR="00E42EA0" w:rsidRPr="001F5292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t xml:space="preserve">: </w:t>
      </w:r>
      <w:r w:rsidR="009760D8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>Mean live weight (568.7 ± 45 kg), mean daily weight gain (1.8 kg/d), DM intake (14.32 kg/d), OM</w:t>
      </w:r>
      <w:r w:rsidR="001F5292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 </w:t>
      </w:r>
      <w:r w:rsidR="00D50E48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intake </w:t>
      </w:r>
      <w:r w:rsidR="009760D8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>(12.6 kg/d), NDF</w:t>
      </w:r>
      <w:r w:rsidR="00D50E48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 intake</w:t>
      </w:r>
      <w:r w:rsidR="001F5292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 </w:t>
      </w:r>
      <w:r w:rsidR="009760D8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>(8.15 kg/d) and ADF</w:t>
      </w:r>
      <w:r w:rsidR="00D50E48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 intake</w:t>
      </w:r>
      <w:r w:rsidR="009760D8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 (3.53 kg/d) were similar among treatments (P&gt;0.05), however, significant differences (P&lt;0.001) were observed for dry matter digestibility coefficient, with SBM, </w:t>
      </w:r>
      <w:proofErr w:type="spellStart"/>
      <w:r w:rsidR="009760D8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>Optigen</w:t>
      </w:r>
      <w:proofErr w:type="spellEnd"/>
      <w:r w:rsidR="009760D8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 and Biuret being superior to </w:t>
      </w:r>
      <w:proofErr w:type="spellStart"/>
      <w:r w:rsidR="009760D8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>HyUrit</w:t>
      </w:r>
      <w:proofErr w:type="spellEnd"/>
      <w:r w:rsidR="009760D8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, and the digestibility coefficient (P&gt;0.05) for OM, NDF and ADF were similar among treatments. </w:t>
      </w:r>
      <w:r w:rsidR="008F67D7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In the </w:t>
      </w:r>
      <w:r w:rsidR="008F67D7" w:rsidRPr="001F5292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>in vivo</w:t>
      </w:r>
      <w:r w:rsidR="008F67D7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 N-NH</w:t>
      </w:r>
      <w:r w:rsidR="008F67D7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bscript"/>
          <w:lang w:val="en-US"/>
        </w:rPr>
        <w:t>3</w:t>
      </w:r>
      <w:r w:rsidR="008F67D7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 dynamics (mg/dl), </w:t>
      </w:r>
      <w:proofErr w:type="spellStart"/>
      <w:r w:rsidR="008F67D7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HyUrit</w:t>
      </w:r>
      <w:proofErr w:type="spellEnd"/>
      <w:r w:rsidR="008F67D7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 25% shows the lowest N-NH</w:t>
      </w:r>
      <w:r w:rsidR="008F67D7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bscript"/>
          <w:lang w:val="en-US"/>
        </w:rPr>
        <w:t>3</w:t>
      </w:r>
      <w:r w:rsidR="008F67D7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 concentrations (P&lt;0.001), with respect to the rest of treatments, the highest N-NH</w:t>
      </w:r>
      <w:r w:rsidR="008F67D7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bscript"/>
          <w:lang w:val="en-US"/>
        </w:rPr>
        <w:t>3</w:t>
      </w:r>
      <w:r w:rsidR="008F67D7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 concentrations for hours 0.5, 1 and 2</w:t>
      </w:r>
      <w:r w:rsidR="001F5292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="00D50E48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after feeding </w:t>
      </w:r>
      <w:r w:rsidR="008F67D7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were for feed grade Urea, </w:t>
      </w:r>
      <w:proofErr w:type="spellStart"/>
      <w:r w:rsidR="008F67D7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>Optigen</w:t>
      </w:r>
      <w:proofErr w:type="spellEnd"/>
      <w:r w:rsidR="008F67D7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  <w:t xml:space="preserve"> and Biuret followed by control and SBM diets.</w:t>
      </w:r>
    </w:p>
    <w:p w14:paraId="7E684FC1" w14:textId="77777777" w:rsidR="00D50E48" w:rsidRPr="001F5292" w:rsidRDefault="00D50E48" w:rsidP="009760D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</w:pPr>
    </w:p>
    <w:p w14:paraId="049C54C5" w14:textId="54D5C08E" w:rsidR="00522250" w:rsidRPr="001F5292" w:rsidRDefault="00522250" w:rsidP="00E72CAB">
      <w:pPr>
        <w:tabs>
          <w:tab w:val="left" w:pos="8364"/>
        </w:tabs>
        <w:spacing w:line="276" w:lineRule="auto"/>
        <w:ind w:right="141"/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</w:pPr>
      <w:r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Table 1. Values of </w:t>
      </w:r>
      <w:r w:rsidRPr="001F5292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>in vitro</w:t>
      </w:r>
      <w:r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ruminal ammonia (</w:t>
      </w:r>
      <w:r w:rsidRPr="001F5292">
        <w:rPr>
          <w:rFonts w:ascii="Times New Roman" w:hAnsi="Times New Roman" w:cs="Times New Roman"/>
          <w:iCs/>
          <w:color w:val="000000" w:themeColor="text1"/>
          <w:sz w:val="18"/>
          <w:szCs w:val="18"/>
          <w:lang w:val="en-US"/>
        </w:rPr>
        <w:t>N-NH</w:t>
      </w:r>
      <w:proofErr w:type="gramStart"/>
      <w:r w:rsidRPr="001F5292">
        <w:rPr>
          <w:rFonts w:ascii="Times New Roman" w:hAnsi="Times New Roman" w:cs="Times New Roman"/>
          <w:iCs/>
          <w:color w:val="000000" w:themeColor="text1"/>
          <w:sz w:val="18"/>
          <w:szCs w:val="18"/>
          <w:vertAlign w:val="subscript"/>
          <w:lang w:val="en-US"/>
        </w:rPr>
        <w:t>3</w:t>
      </w:r>
      <w:r w:rsidRPr="001F5292">
        <w:rPr>
          <w:rFonts w:ascii="Times New Roman" w:hAnsi="Times New Roman" w:cs="Times New Roman"/>
          <w:iCs/>
          <w:color w:val="000000" w:themeColor="text1"/>
          <w:sz w:val="18"/>
          <w:szCs w:val="18"/>
          <w:lang w:val="en-US"/>
        </w:rPr>
        <w:t>,mg</w:t>
      </w:r>
      <w:proofErr w:type="gramEnd"/>
      <w:r w:rsidRPr="001F5292">
        <w:rPr>
          <w:rFonts w:ascii="Times New Roman" w:hAnsi="Times New Roman" w:cs="Times New Roman"/>
          <w:iCs/>
          <w:color w:val="000000" w:themeColor="text1"/>
          <w:sz w:val="18"/>
          <w:szCs w:val="18"/>
          <w:lang w:val="en-US"/>
        </w:rPr>
        <w:t>/dl</w:t>
      </w:r>
      <w:r w:rsidRPr="001F529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) </w:t>
      </w:r>
      <w:r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as a function of time and replacement of soy bean meal (SBM), feed grade Urea (FGU) and SUR sources in beef cattle on iso-protein and iso-energetic diets.</w:t>
      </w:r>
    </w:p>
    <w:tbl>
      <w:tblPr>
        <w:tblStyle w:val="Tablaconcuadrcula"/>
        <w:tblW w:w="7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948"/>
        <w:gridCol w:w="892"/>
        <w:gridCol w:w="892"/>
        <w:gridCol w:w="978"/>
        <w:gridCol w:w="892"/>
        <w:gridCol w:w="907"/>
        <w:gridCol w:w="802"/>
        <w:gridCol w:w="891"/>
      </w:tblGrid>
      <w:tr w:rsidR="001F5292" w:rsidRPr="001F5292" w14:paraId="5476848F" w14:textId="77777777" w:rsidTr="00342C7B">
        <w:trPr>
          <w:trHeight w:val="569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C85CBDF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N-NH</w:t>
            </w: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14:paraId="03EAD82C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Control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6373BF43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SBM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6A7D5EC7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FGU 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66A9F8A5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Optigen</w:t>
            </w:r>
            <w:proofErr w:type="spellEnd"/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21B4B18D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Biuret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6CE7EE7C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HyUrit</w:t>
            </w:r>
            <w:proofErr w:type="spellEnd"/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25%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14:paraId="7152CC77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SEM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107ADCD5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 </w:t>
            </w:r>
            <w:proofErr w:type="spellStart"/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F5292" w:rsidRPr="001F5292" w14:paraId="4FBB998C" w14:textId="77777777" w:rsidTr="00342C7B">
        <w:trPr>
          <w:trHeight w:val="284"/>
        </w:trPr>
        <w:tc>
          <w:tcPr>
            <w:tcW w:w="715" w:type="dxa"/>
            <w:tcBorders>
              <w:top w:val="single" w:sz="4" w:space="0" w:color="auto"/>
            </w:tcBorders>
          </w:tcPr>
          <w:p w14:paraId="61C85018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0h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5CB58302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9.83a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14:paraId="3A6FB8D9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7.37b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14:paraId="6B131D7E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3.68c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575F619C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4.21c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14:paraId="01307AA9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6.20b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5E687923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1.52d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14:paraId="2AF6B75C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0.328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14:paraId="55E5109F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0.0001</w:t>
            </w:r>
          </w:p>
        </w:tc>
      </w:tr>
      <w:tr w:rsidR="001F5292" w:rsidRPr="001F5292" w14:paraId="60D3DEC9" w14:textId="77777777" w:rsidTr="00342C7B">
        <w:trPr>
          <w:trHeight w:val="284"/>
        </w:trPr>
        <w:tc>
          <w:tcPr>
            <w:tcW w:w="715" w:type="dxa"/>
          </w:tcPr>
          <w:p w14:paraId="6AFE7E60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0.5h</w:t>
            </w:r>
          </w:p>
        </w:tc>
        <w:tc>
          <w:tcPr>
            <w:tcW w:w="948" w:type="dxa"/>
          </w:tcPr>
          <w:p w14:paraId="40432601" w14:textId="16A4B05D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10.71c</w:t>
            </w:r>
          </w:p>
        </w:tc>
        <w:tc>
          <w:tcPr>
            <w:tcW w:w="892" w:type="dxa"/>
          </w:tcPr>
          <w:p w14:paraId="6B15DB3D" w14:textId="5E2EAEF5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14.25c</w:t>
            </w:r>
          </w:p>
        </w:tc>
        <w:tc>
          <w:tcPr>
            <w:tcW w:w="892" w:type="dxa"/>
          </w:tcPr>
          <w:p w14:paraId="40889C0F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30.28b</w:t>
            </w:r>
          </w:p>
        </w:tc>
        <w:tc>
          <w:tcPr>
            <w:tcW w:w="978" w:type="dxa"/>
          </w:tcPr>
          <w:p w14:paraId="53D7D0AD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30.26b</w:t>
            </w:r>
          </w:p>
        </w:tc>
        <w:tc>
          <w:tcPr>
            <w:tcW w:w="892" w:type="dxa"/>
          </w:tcPr>
          <w:p w14:paraId="196D65E6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45.88a</w:t>
            </w:r>
          </w:p>
        </w:tc>
        <w:tc>
          <w:tcPr>
            <w:tcW w:w="907" w:type="dxa"/>
          </w:tcPr>
          <w:p w14:paraId="14D384DE" w14:textId="14FAC59A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1.98d</w:t>
            </w:r>
          </w:p>
        </w:tc>
        <w:tc>
          <w:tcPr>
            <w:tcW w:w="802" w:type="dxa"/>
          </w:tcPr>
          <w:p w14:paraId="5003AC4A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1.053</w:t>
            </w:r>
          </w:p>
        </w:tc>
        <w:tc>
          <w:tcPr>
            <w:tcW w:w="891" w:type="dxa"/>
          </w:tcPr>
          <w:p w14:paraId="37F583F3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0.0001</w:t>
            </w:r>
          </w:p>
        </w:tc>
      </w:tr>
      <w:tr w:rsidR="001F5292" w:rsidRPr="001F5292" w14:paraId="02A02CE7" w14:textId="77777777" w:rsidTr="00342C7B">
        <w:trPr>
          <w:trHeight w:val="284"/>
        </w:trPr>
        <w:tc>
          <w:tcPr>
            <w:tcW w:w="715" w:type="dxa"/>
          </w:tcPr>
          <w:p w14:paraId="3B16B93C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1h</w:t>
            </w:r>
          </w:p>
        </w:tc>
        <w:tc>
          <w:tcPr>
            <w:tcW w:w="948" w:type="dxa"/>
          </w:tcPr>
          <w:p w14:paraId="71CD0211" w14:textId="1D35E048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12.42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892" w:type="dxa"/>
          </w:tcPr>
          <w:p w14:paraId="60D54D1F" w14:textId="31201ACD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14.73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892" w:type="dxa"/>
          </w:tcPr>
          <w:p w14:paraId="71FC7D58" w14:textId="2CDA6C71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29.02b</w:t>
            </w:r>
          </w:p>
        </w:tc>
        <w:tc>
          <w:tcPr>
            <w:tcW w:w="978" w:type="dxa"/>
          </w:tcPr>
          <w:p w14:paraId="7E618610" w14:textId="4C8C43E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30.75b</w:t>
            </w:r>
          </w:p>
        </w:tc>
        <w:tc>
          <w:tcPr>
            <w:tcW w:w="892" w:type="dxa"/>
          </w:tcPr>
          <w:p w14:paraId="7E60FFA1" w14:textId="5EC52FDA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38.88a</w:t>
            </w:r>
          </w:p>
        </w:tc>
        <w:tc>
          <w:tcPr>
            <w:tcW w:w="907" w:type="dxa"/>
          </w:tcPr>
          <w:p w14:paraId="140295B4" w14:textId="449AC504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7.98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802" w:type="dxa"/>
          </w:tcPr>
          <w:p w14:paraId="25D127B1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0.957</w:t>
            </w:r>
          </w:p>
        </w:tc>
        <w:tc>
          <w:tcPr>
            <w:tcW w:w="891" w:type="dxa"/>
          </w:tcPr>
          <w:p w14:paraId="63EC7DBA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0.0001</w:t>
            </w:r>
          </w:p>
        </w:tc>
      </w:tr>
      <w:tr w:rsidR="001F5292" w:rsidRPr="001F5292" w14:paraId="11ED5845" w14:textId="77777777" w:rsidTr="00342C7B">
        <w:trPr>
          <w:trHeight w:val="284"/>
        </w:trPr>
        <w:tc>
          <w:tcPr>
            <w:tcW w:w="715" w:type="dxa"/>
          </w:tcPr>
          <w:p w14:paraId="55E755B6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2h</w:t>
            </w:r>
          </w:p>
        </w:tc>
        <w:tc>
          <w:tcPr>
            <w:tcW w:w="948" w:type="dxa"/>
          </w:tcPr>
          <w:p w14:paraId="26CFFF03" w14:textId="7AE8E313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10.47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892" w:type="dxa"/>
          </w:tcPr>
          <w:p w14:paraId="1476E30B" w14:textId="5CA1BF04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9.94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892" w:type="dxa"/>
          </w:tcPr>
          <w:p w14:paraId="2FF0E561" w14:textId="095EAA4B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24.90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978" w:type="dxa"/>
          </w:tcPr>
          <w:p w14:paraId="479C7F8C" w14:textId="1278E38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13.03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892" w:type="dxa"/>
          </w:tcPr>
          <w:p w14:paraId="59D5F85F" w14:textId="15F41903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16.39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907" w:type="dxa"/>
          </w:tcPr>
          <w:p w14:paraId="04B9E870" w14:textId="16A2572F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7.40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802" w:type="dxa"/>
          </w:tcPr>
          <w:p w14:paraId="62342AA8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0.086</w:t>
            </w:r>
          </w:p>
        </w:tc>
        <w:tc>
          <w:tcPr>
            <w:tcW w:w="891" w:type="dxa"/>
          </w:tcPr>
          <w:p w14:paraId="06555011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0.0001</w:t>
            </w:r>
          </w:p>
        </w:tc>
      </w:tr>
      <w:tr w:rsidR="001F5292" w:rsidRPr="001F5292" w14:paraId="3B201196" w14:textId="77777777" w:rsidTr="00342C7B">
        <w:trPr>
          <w:trHeight w:val="284"/>
        </w:trPr>
        <w:tc>
          <w:tcPr>
            <w:tcW w:w="715" w:type="dxa"/>
          </w:tcPr>
          <w:p w14:paraId="59601C77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4h</w:t>
            </w:r>
          </w:p>
        </w:tc>
        <w:tc>
          <w:tcPr>
            <w:tcW w:w="948" w:type="dxa"/>
          </w:tcPr>
          <w:p w14:paraId="5730F36C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1.08d</w:t>
            </w:r>
          </w:p>
        </w:tc>
        <w:tc>
          <w:tcPr>
            <w:tcW w:w="892" w:type="dxa"/>
          </w:tcPr>
          <w:p w14:paraId="0BF7492F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3.85c</w:t>
            </w:r>
          </w:p>
        </w:tc>
        <w:tc>
          <w:tcPr>
            <w:tcW w:w="892" w:type="dxa"/>
          </w:tcPr>
          <w:p w14:paraId="28BF4679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16.72a</w:t>
            </w:r>
          </w:p>
        </w:tc>
        <w:tc>
          <w:tcPr>
            <w:tcW w:w="978" w:type="dxa"/>
          </w:tcPr>
          <w:p w14:paraId="4CFF64DA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5.08c</w:t>
            </w:r>
          </w:p>
        </w:tc>
        <w:tc>
          <w:tcPr>
            <w:tcW w:w="892" w:type="dxa"/>
          </w:tcPr>
          <w:p w14:paraId="7CCCD150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8.14b</w:t>
            </w:r>
          </w:p>
        </w:tc>
        <w:tc>
          <w:tcPr>
            <w:tcW w:w="907" w:type="dxa"/>
          </w:tcPr>
          <w:p w14:paraId="4B48FF47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3.96c</w:t>
            </w:r>
          </w:p>
        </w:tc>
        <w:tc>
          <w:tcPr>
            <w:tcW w:w="802" w:type="dxa"/>
          </w:tcPr>
          <w:p w14:paraId="3013E0EE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0.353</w:t>
            </w:r>
          </w:p>
        </w:tc>
        <w:tc>
          <w:tcPr>
            <w:tcW w:w="891" w:type="dxa"/>
          </w:tcPr>
          <w:p w14:paraId="05A8E32E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0.0001</w:t>
            </w:r>
          </w:p>
        </w:tc>
      </w:tr>
      <w:tr w:rsidR="001F5292" w:rsidRPr="001F5292" w14:paraId="1F292599" w14:textId="77777777" w:rsidTr="00342C7B">
        <w:trPr>
          <w:trHeight w:val="274"/>
        </w:trPr>
        <w:tc>
          <w:tcPr>
            <w:tcW w:w="715" w:type="dxa"/>
          </w:tcPr>
          <w:p w14:paraId="584F71F8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6h</w:t>
            </w:r>
          </w:p>
        </w:tc>
        <w:tc>
          <w:tcPr>
            <w:tcW w:w="948" w:type="dxa"/>
          </w:tcPr>
          <w:p w14:paraId="7AD4260F" w14:textId="324FA9C0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0.90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892" w:type="dxa"/>
          </w:tcPr>
          <w:p w14:paraId="37C50E07" w14:textId="136FBBAB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5.95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892" w:type="dxa"/>
          </w:tcPr>
          <w:p w14:paraId="1DB7F0B2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10.43a</w:t>
            </w:r>
          </w:p>
        </w:tc>
        <w:tc>
          <w:tcPr>
            <w:tcW w:w="978" w:type="dxa"/>
          </w:tcPr>
          <w:p w14:paraId="3499A173" w14:textId="6F723F00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2.32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892" w:type="dxa"/>
          </w:tcPr>
          <w:p w14:paraId="04D388E1" w14:textId="687564EB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6.21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907" w:type="dxa"/>
          </w:tcPr>
          <w:p w14:paraId="4D518B24" w14:textId="6C0D37E3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5.22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802" w:type="dxa"/>
          </w:tcPr>
          <w:p w14:paraId="461F35B8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0.279</w:t>
            </w:r>
          </w:p>
        </w:tc>
        <w:tc>
          <w:tcPr>
            <w:tcW w:w="891" w:type="dxa"/>
          </w:tcPr>
          <w:p w14:paraId="365CBF71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0.0001</w:t>
            </w:r>
          </w:p>
        </w:tc>
      </w:tr>
      <w:tr w:rsidR="001F5292" w:rsidRPr="001F5292" w14:paraId="535EC1B3" w14:textId="77777777" w:rsidTr="00342C7B">
        <w:trPr>
          <w:trHeight w:val="284"/>
        </w:trPr>
        <w:tc>
          <w:tcPr>
            <w:tcW w:w="715" w:type="dxa"/>
          </w:tcPr>
          <w:p w14:paraId="0894265E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8h</w:t>
            </w:r>
          </w:p>
        </w:tc>
        <w:tc>
          <w:tcPr>
            <w:tcW w:w="948" w:type="dxa"/>
          </w:tcPr>
          <w:p w14:paraId="36909813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0.86e</w:t>
            </w:r>
          </w:p>
        </w:tc>
        <w:tc>
          <w:tcPr>
            <w:tcW w:w="892" w:type="dxa"/>
          </w:tcPr>
          <w:p w14:paraId="6426E605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5.41b</w:t>
            </w:r>
          </w:p>
        </w:tc>
        <w:tc>
          <w:tcPr>
            <w:tcW w:w="892" w:type="dxa"/>
          </w:tcPr>
          <w:p w14:paraId="435334D8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3.91c</w:t>
            </w:r>
          </w:p>
        </w:tc>
        <w:tc>
          <w:tcPr>
            <w:tcW w:w="978" w:type="dxa"/>
          </w:tcPr>
          <w:p w14:paraId="6A1F12F1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1.96d</w:t>
            </w:r>
          </w:p>
        </w:tc>
        <w:tc>
          <w:tcPr>
            <w:tcW w:w="892" w:type="dxa"/>
          </w:tcPr>
          <w:p w14:paraId="45268489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6.53a</w:t>
            </w:r>
          </w:p>
        </w:tc>
        <w:tc>
          <w:tcPr>
            <w:tcW w:w="907" w:type="dxa"/>
          </w:tcPr>
          <w:p w14:paraId="23C057CD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5.74ab</w:t>
            </w:r>
          </w:p>
        </w:tc>
        <w:tc>
          <w:tcPr>
            <w:tcW w:w="802" w:type="dxa"/>
          </w:tcPr>
          <w:p w14:paraId="67B962B4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0.185</w:t>
            </w:r>
          </w:p>
        </w:tc>
        <w:tc>
          <w:tcPr>
            <w:tcW w:w="891" w:type="dxa"/>
          </w:tcPr>
          <w:p w14:paraId="4E0C928B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0.0001</w:t>
            </w:r>
          </w:p>
        </w:tc>
      </w:tr>
      <w:tr w:rsidR="001F5292" w:rsidRPr="001F5292" w14:paraId="171D82B2" w14:textId="77777777" w:rsidTr="00342C7B">
        <w:trPr>
          <w:trHeight w:val="69"/>
        </w:trPr>
        <w:tc>
          <w:tcPr>
            <w:tcW w:w="715" w:type="dxa"/>
          </w:tcPr>
          <w:p w14:paraId="7539DCBF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12h</w:t>
            </w:r>
          </w:p>
        </w:tc>
        <w:tc>
          <w:tcPr>
            <w:tcW w:w="948" w:type="dxa"/>
          </w:tcPr>
          <w:p w14:paraId="47D67ABB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1.00f</w:t>
            </w:r>
          </w:p>
        </w:tc>
        <w:tc>
          <w:tcPr>
            <w:tcW w:w="892" w:type="dxa"/>
          </w:tcPr>
          <w:p w14:paraId="0A2F2EA1" w14:textId="34E000F6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4.03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cd</w:t>
            </w:r>
          </w:p>
        </w:tc>
        <w:tc>
          <w:tcPr>
            <w:tcW w:w="892" w:type="dxa"/>
          </w:tcPr>
          <w:p w14:paraId="4F1C9008" w14:textId="0B6DB5C4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4.31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78" w:type="dxa"/>
          </w:tcPr>
          <w:p w14:paraId="15CE6FEE" w14:textId="4039E8EB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3.55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892" w:type="dxa"/>
          </w:tcPr>
          <w:p w14:paraId="2BA8BBF4" w14:textId="3CDBFA59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5.29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907" w:type="dxa"/>
          </w:tcPr>
          <w:p w14:paraId="2D67773E" w14:textId="0E2A06A9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6.24</w:t>
            </w:r>
            <w:r w:rsidR="00E53F39"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802" w:type="dxa"/>
          </w:tcPr>
          <w:p w14:paraId="089914E2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0.167</w:t>
            </w:r>
          </w:p>
        </w:tc>
        <w:tc>
          <w:tcPr>
            <w:tcW w:w="891" w:type="dxa"/>
          </w:tcPr>
          <w:p w14:paraId="73C2E6CF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0.0001</w:t>
            </w:r>
          </w:p>
        </w:tc>
      </w:tr>
      <w:tr w:rsidR="001F5292" w:rsidRPr="001F5292" w14:paraId="6286AE21" w14:textId="77777777" w:rsidTr="00342C7B">
        <w:trPr>
          <w:trHeight w:val="284"/>
        </w:trPr>
        <w:tc>
          <w:tcPr>
            <w:tcW w:w="715" w:type="dxa"/>
            <w:tcBorders>
              <w:bottom w:val="single" w:sz="4" w:space="0" w:color="auto"/>
            </w:tcBorders>
          </w:tcPr>
          <w:p w14:paraId="622BA4ED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24h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3F631621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0.93d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5754B765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5.15ab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680C7B80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3.54c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41EAC739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3.74c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66E9BADC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4.67bc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AE63349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6.08a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6B1CFCC9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0.274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521AA05B" w14:textId="77777777" w:rsidR="00342C7B" w:rsidRPr="001F5292" w:rsidRDefault="00342C7B" w:rsidP="008A19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0.0001</w:t>
            </w:r>
          </w:p>
        </w:tc>
      </w:tr>
    </w:tbl>
    <w:p w14:paraId="3C3CD3F6" w14:textId="6186227F" w:rsidR="00522250" w:rsidRPr="001F5292" w:rsidRDefault="00522250" w:rsidP="0048508C">
      <w:pPr>
        <w:tabs>
          <w:tab w:val="left" w:pos="8364"/>
        </w:tabs>
        <w:spacing w:line="276" w:lineRule="auto"/>
        <w:ind w:right="141"/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</w:pPr>
      <w:r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SBM, soya bean meal; FGU, feed grade urea</w:t>
      </w:r>
    </w:p>
    <w:p w14:paraId="0070F338" w14:textId="52AE2889" w:rsidR="0048508C" w:rsidRPr="001F5292" w:rsidRDefault="0048508C" w:rsidP="00453B48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</w:pPr>
      <w:r w:rsidRPr="001F529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  <w:t>Conclusion:</w:t>
      </w:r>
      <w:r w:rsidR="009760D8" w:rsidRPr="001F529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</w:t>
      </w:r>
      <w:r w:rsidR="00453B48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The addition of HyUrit25% </w:t>
      </w:r>
      <w:r w:rsidR="00D50E48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>diminish</w:t>
      </w:r>
      <w:r w:rsidR="00453B48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 the release of N-NH</w:t>
      </w:r>
      <w:r w:rsidR="00D50E48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vertAlign w:val="subscript"/>
          <w:lang w:val="en-US"/>
        </w:rPr>
        <w:t>3</w:t>
      </w:r>
      <w:r w:rsidR="00453B48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 in the rumen at concentrations below 8 mg/dl, which diminish the risk of ammonia intoxication compared to the addition of feed grade urea, </w:t>
      </w:r>
      <w:proofErr w:type="spellStart"/>
      <w:r w:rsidR="00453B48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>Optigen</w:t>
      </w:r>
      <w:proofErr w:type="spellEnd"/>
      <w:r w:rsidR="00453B48" w:rsidRPr="001F5292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 and Biuret.</w:t>
      </w:r>
    </w:p>
    <w:p w14:paraId="74FBEDBF" w14:textId="5C66416A" w:rsidR="00732681" w:rsidRPr="001F5292" w:rsidRDefault="00732681" w:rsidP="00732681">
      <w:pPr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</w:pPr>
      <w:r w:rsidRPr="001F5292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  <w:t>Acknowledgements</w:t>
      </w:r>
      <w:r w:rsidR="00E42EA0" w:rsidRPr="001F5292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  <w:t>:</w:t>
      </w:r>
      <w:r w:rsidRPr="001F5292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  <w:t xml:space="preserve"> </w:t>
      </w:r>
      <w:r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This project was supported by</w:t>
      </w:r>
      <w:r w:rsidR="00A11D24" w:rsidRPr="001F5292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="00A11D24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Universidad </w:t>
      </w:r>
      <w:proofErr w:type="spellStart"/>
      <w:r w:rsidR="00A11D24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Aut</w:t>
      </w:r>
      <w:r w:rsidR="001F5292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o</w:t>
      </w:r>
      <w:r w:rsidR="00A11D24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noma</w:t>
      </w:r>
      <w:proofErr w:type="spellEnd"/>
      <w:r w:rsidR="00A11D24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 del Estado de México (project </w:t>
      </w:r>
      <w:proofErr w:type="spellStart"/>
      <w:r w:rsidR="00A11D24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UAEMex</w:t>
      </w:r>
      <w:proofErr w:type="spellEnd"/>
      <w:r w:rsidR="00A11D24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 code 6663/2022 SF</w:t>
      </w:r>
      <w:r w:rsidR="002D50F8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)</w:t>
      </w:r>
      <w:r w:rsidR="001F5292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 and </w:t>
      </w:r>
      <w:r w:rsidR="001F5292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Wuhan </w:t>
      </w:r>
      <w:proofErr w:type="spellStart"/>
      <w:r w:rsidR="001F5292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>Sunhy</w:t>
      </w:r>
      <w:proofErr w:type="spellEnd"/>
      <w:r w:rsidR="001F5292" w:rsidRPr="001F529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  <w:t xml:space="preserve"> Biology Co. Ltd.</w:t>
      </w:r>
    </w:p>
    <w:p w14:paraId="7F35956F" w14:textId="6D81FFE5" w:rsidR="002D50F8" w:rsidRPr="001F5292" w:rsidRDefault="00732681" w:rsidP="002D50F8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</w:pPr>
      <w:r w:rsidRPr="001F5292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US"/>
        </w:rPr>
        <w:t>References</w:t>
      </w:r>
      <w:r w:rsidR="00E42EA0" w:rsidRPr="001F5292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US"/>
        </w:rPr>
        <w:t xml:space="preserve">: </w:t>
      </w:r>
      <w:proofErr w:type="spellStart"/>
      <w:r w:rsidR="002D50F8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>Cherdthong</w:t>
      </w:r>
      <w:proofErr w:type="spellEnd"/>
      <w:r w:rsidR="002D50F8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, A., </w:t>
      </w:r>
      <w:proofErr w:type="spellStart"/>
      <w:r w:rsidR="002D50F8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>Wanapat</w:t>
      </w:r>
      <w:proofErr w:type="spellEnd"/>
      <w:r w:rsidR="007B3B12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>, M</w:t>
      </w:r>
      <w:r w:rsidR="002D50F8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. 2010. </w:t>
      </w:r>
      <w:r w:rsidR="00D50E48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>Aus</w:t>
      </w:r>
      <w:r w:rsidR="00D50E48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>tralian</w:t>
      </w:r>
      <w:r w:rsidR="00D50E48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 J</w:t>
      </w:r>
      <w:r w:rsidR="00D50E48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ournal </w:t>
      </w:r>
      <w:r w:rsidR="001F5292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>of Basic</w:t>
      </w:r>
      <w:r w:rsidR="00D50E48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 </w:t>
      </w:r>
      <w:r w:rsidR="00D50E48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and </w:t>
      </w:r>
      <w:r w:rsidR="001F5292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>Applied Sciences</w:t>
      </w:r>
      <w:r w:rsidR="00D50E48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>.</w:t>
      </w:r>
      <w:r w:rsidR="00D50E48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 </w:t>
      </w:r>
      <w:r w:rsidR="002D50F8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>4:2232–2241</w:t>
      </w:r>
    </w:p>
    <w:p w14:paraId="235164E9" w14:textId="4FC0A85D" w:rsidR="002D50F8" w:rsidRPr="001F5292" w:rsidRDefault="002D50F8" w:rsidP="00E72CAB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</w:pPr>
      <w:proofErr w:type="spellStart"/>
      <w:r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>Kertz</w:t>
      </w:r>
      <w:proofErr w:type="spellEnd"/>
      <w:r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, A. F. 2010. </w:t>
      </w:r>
      <w:r w:rsidR="001F5292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>The Professional</w:t>
      </w:r>
      <w:r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 Anim</w:t>
      </w:r>
      <w:r w:rsidR="001F5292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>al</w:t>
      </w:r>
      <w:r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 Sc</w:t>
      </w:r>
      <w:r w:rsidR="001F5292"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>ientist</w:t>
      </w:r>
      <w:r w:rsidRPr="001F5292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val="en-US"/>
        </w:rPr>
        <w:t>. 26:257–272.</w:t>
      </w:r>
    </w:p>
    <w:p w14:paraId="3E546DCD" w14:textId="77777777" w:rsidR="003B29F0" w:rsidRPr="001F5292" w:rsidRDefault="003B29F0">
      <w:pPr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</w:pPr>
    </w:p>
    <w:p w14:paraId="1E8D39F1" w14:textId="77777777" w:rsidR="007B3B12" w:rsidRPr="001F5292" w:rsidRDefault="007B3B12">
      <w:pPr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</w:pPr>
    </w:p>
    <w:sectPr w:rsidR="007B3B12" w:rsidRPr="001F5292" w:rsidSect="00202E1D">
      <w:pgSz w:w="11906" w:h="16838"/>
      <w:pgMar w:top="1701" w:right="1417" w:bottom="1701" w:left="1417" w:header="708" w:footer="708" w:gutter="0"/>
      <w:cols w:space="708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81"/>
    <w:rsid w:val="001F3C82"/>
    <w:rsid w:val="001F5292"/>
    <w:rsid w:val="00202E1D"/>
    <w:rsid w:val="002D50F8"/>
    <w:rsid w:val="002D5FAC"/>
    <w:rsid w:val="00342C7B"/>
    <w:rsid w:val="003B29F0"/>
    <w:rsid w:val="00411337"/>
    <w:rsid w:val="00453B48"/>
    <w:rsid w:val="0048508C"/>
    <w:rsid w:val="004A1F96"/>
    <w:rsid w:val="004C6CA8"/>
    <w:rsid w:val="00522250"/>
    <w:rsid w:val="005A06AA"/>
    <w:rsid w:val="005A1B47"/>
    <w:rsid w:val="005B4AE5"/>
    <w:rsid w:val="005D2B26"/>
    <w:rsid w:val="00732681"/>
    <w:rsid w:val="00763B8F"/>
    <w:rsid w:val="007B3B12"/>
    <w:rsid w:val="00843A9D"/>
    <w:rsid w:val="00863261"/>
    <w:rsid w:val="00874690"/>
    <w:rsid w:val="00895936"/>
    <w:rsid w:val="008F2C49"/>
    <w:rsid w:val="008F67D7"/>
    <w:rsid w:val="009760D8"/>
    <w:rsid w:val="009C2791"/>
    <w:rsid w:val="009F05E2"/>
    <w:rsid w:val="00A11D24"/>
    <w:rsid w:val="00A231D0"/>
    <w:rsid w:val="00BA3810"/>
    <w:rsid w:val="00C078DB"/>
    <w:rsid w:val="00C464EB"/>
    <w:rsid w:val="00D50E48"/>
    <w:rsid w:val="00E42EA0"/>
    <w:rsid w:val="00E53F39"/>
    <w:rsid w:val="00E72CAB"/>
    <w:rsid w:val="00F7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604A"/>
  <w15:chartTrackingRefBased/>
  <w15:docId w15:val="{F8B66937-81AF-5949-B5DD-CCACC195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681"/>
    <w:rPr>
      <w:rFonts w:eastAsiaTheme="minorEastAsia"/>
      <w:kern w:val="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268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22250"/>
    <w:rPr>
      <w:rFonts w:eastAsiaTheme="minorEastAsia"/>
      <w:kern w:val="0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2023-12-26T19:53:00Z</dcterms:created>
  <dcterms:modified xsi:type="dcterms:W3CDTF">2024-01-09T23:48:00Z</dcterms:modified>
</cp:coreProperties>
</file>