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8" w:type="pct"/>
        <w:tblLayout w:type="fixed"/>
        <w:tblLook w:val="0000" w:firstRow="0" w:lastRow="0" w:firstColumn="0" w:lastColumn="0" w:noHBand="0" w:noVBand="0"/>
      </w:tblPr>
      <w:tblGrid>
        <w:gridCol w:w="9954"/>
      </w:tblGrid>
      <w:tr w:rsidR="00E14333" w:rsidRPr="00B157B9" w14:paraId="558FB2D5" w14:textId="77777777" w:rsidTr="00D41726">
        <w:trPr>
          <w:trHeight w:val="520"/>
        </w:trPr>
        <w:tc>
          <w:tcPr>
            <w:tcW w:w="5000" w:type="pct"/>
            <w:tcBorders>
              <w:bottom w:val="single" w:sz="4" w:space="0" w:color="auto"/>
            </w:tcBorders>
          </w:tcPr>
          <w:p w14:paraId="501876BB" w14:textId="77777777" w:rsidR="00E14333" w:rsidRPr="00F21046" w:rsidRDefault="00E14333" w:rsidP="003415AB">
            <w:pPr>
              <w:rPr>
                <w:b/>
                <w:bCs/>
              </w:rPr>
            </w:pPr>
            <w:r w:rsidRPr="00F21046">
              <w:rPr>
                <w:b/>
                <w:bCs/>
              </w:rPr>
              <w:t xml:space="preserve">Title: </w:t>
            </w:r>
            <w:r>
              <w:rPr>
                <w:bCs/>
                <w:i/>
                <w:sz w:val="20"/>
              </w:rPr>
              <w:t>(Use Normal style (Times New Roman 12)</w:t>
            </w:r>
            <w:r w:rsidRPr="00063C20">
              <w:rPr>
                <w:bCs/>
                <w:i/>
                <w:sz w:val="20"/>
              </w:rPr>
              <w:t xml:space="preserve">. </w:t>
            </w:r>
            <w:r w:rsidRPr="00063C20">
              <w:rPr>
                <w:i/>
                <w:sz w:val="20"/>
              </w:rPr>
              <w:t>Only capitalise the first letter of the first word.  No full stop at the end of the title</w:t>
            </w:r>
            <w:r w:rsidRPr="00063C20">
              <w:rPr>
                <w:bCs/>
                <w:i/>
                <w:sz w:val="20"/>
              </w:rPr>
              <w:t>)</w:t>
            </w:r>
          </w:p>
        </w:tc>
      </w:tr>
      <w:tr w:rsidR="00E14333" w:rsidRPr="00F76957" w14:paraId="335D574D" w14:textId="77777777" w:rsidTr="00D41726">
        <w:trPr>
          <w:trHeight w:val="5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4CC797D" w14:textId="30D547C8" w:rsidR="00280F8B" w:rsidRPr="007E1111" w:rsidRDefault="00280F8B" w:rsidP="00C13825">
            <w:pPr>
              <w:spacing w:after="120"/>
            </w:pPr>
            <w:r w:rsidRPr="00280F8B">
              <w:t>Effect</w:t>
            </w:r>
            <w:r>
              <w:t>s</w:t>
            </w:r>
            <w:r w:rsidRPr="00280F8B">
              <w:t xml:space="preserve"> of </w:t>
            </w:r>
            <w:r w:rsidR="00B7168F">
              <w:t xml:space="preserve">dietary </w:t>
            </w:r>
            <w:r>
              <w:t>plantain</w:t>
            </w:r>
            <w:r w:rsidRPr="00280F8B">
              <w:t xml:space="preserve"> inclusion on </w:t>
            </w:r>
            <w:r w:rsidR="00B7168F">
              <w:t xml:space="preserve">milk production and </w:t>
            </w:r>
            <w:r>
              <w:t>nitrogen utilisation efficiency</w:t>
            </w:r>
            <w:r w:rsidR="00B7168F">
              <w:t xml:space="preserve"> of dairy cows</w:t>
            </w:r>
          </w:p>
        </w:tc>
      </w:tr>
      <w:tr w:rsidR="00E14333" w:rsidRPr="00B157B9" w14:paraId="340E1379" w14:textId="77777777" w:rsidTr="00D41726">
        <w:trPr>
          <w:trHeight w:val="28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EEAE2DE" w14:textId="77777777" w:rsidR="00E14333" w:rsidRPr="00F21046" w:rsidRDefault="00E14333" w:rsidP="003415AB">
            <w:pPr>
              <w:rPr>
                <w:szCs w:val="20"/>
              </w:rPr>
            </w:pPr>
            <w:r w:rsidRPr="00F21046">
              <w:rPr>
                <w:b/>
                <w:bCs/>
                <w:szCs w:val="20"/>
              </w:rPr>
              <w:t>Summary</w:t>
            </w:r>
            <w:proofErr w:type="gramStart"/>
            <w:r w:rsidRPr="00F21046">
              <w:rPr>
                <w:b/>
                <w:bCs/>
                <w:szCs w:val="20"/>
              </w:rPr>
              <w:t xml:space="preserve">:  </w:t>
            </w:r>
            <w:r w:rsidRPr="00063C20">
              <w:rPr>
                <w:bCs/>
                <w:i/>
                <w:sz w:val="20"/>
              </w:rPr>
              <w:t>(</w:t>
            </w:r>
            <w:proofErr w:type="gramEnd"/>
            <w:r w:rsidRPr="00063C20">
              <w:rPr>
                <w:bCs/>
                <w:i/>
                <w:sz w:val="20"/>
              </w:rPr>
              <w:t>Your summa</w:t>
            </w:r>
            <w:r>
              <w:rPr>
                <w:bCs/>
                <w:i/>
                <w:sz w:val="20"/>
              </w:rPr>
              <w:t>ry (Times New Roman 10)</w:t>
            </w:r>
            <w:r w:rsidRPr="00063C20">
              <w:rPr>
                <w:bCs/>
                <w:i/>
                <w:sz w:val="20"/>
              </w:rPr>
              <w:t xml:space="preserve"> must use </w:t>
            </w:r>
            <w:r>
              <w:rPr>
                <w:bCs/>
                <w:i/>
                <w:sz w:val="20"/>
              </w:rPr>
              <w:t xml:space="preserve">Body text </w:t>
            </w:r>
            <w:r w:rsidRPr="00063C20">
              <w:rPr>
                <w:bCs/>
                <w:i/>
                <w:sz w:val="20"/>
              </w:rPr>
              <w:t xml:space="preserve"> style and must not be longer than this box)</w:t>
            </w:r>
          </w:p>
        </w:tc>
      </w:tr>
      <w:tr w:rsidR="00E14333" w:rsidRPr="00AE32E3" w14:paraId="7F1BE3A7" w14:textId="77777777" w:rsidTr="00D41726">
        <w:trPr>
          <w:trHeight w:hRule="exact" w:val="126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F15DA07" w14:textId="7FE74D46" w:rsidR="00E73E8A" w:rsidRDefault="00AA3040" w:rsidP="00D425FD">
            <w:pPr>
              <w:ind w:left="37"/>
              <w:jc w:val="both"/>
              <w:rPr>
                <w:noProof/>
                <w:sz w:val="20"/>
                <w:szCs w:val="20"/>
                <w:lang w:val="en-US"/>
              </w:rPr>
            </w:pPr>
            <w:r w:rsidRPr="00AA3040">
              <w:rPr>
                <w:b/>
                <w:noProof/>
                <w:sz w:val="20"/>
                <w:szCs w:val="20"/>
                <w:lang w:val="en-US"/>
              </w:rPr>
              <w:t>Application</w:t>
            </w:r>
            <w:r w:rsidR="000F1CBA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B7168F">
              <w:rPr>
                <w:noProof/>
                <w:sz w:val="20"/>
                <w:szCs w:val="20"/>
                <w:lang w:val="en-US"/>
              </w:rPr>
              <w:t>Sward pl</w:t>
            </w:r>
            <w:r w:rsidR="000D3880">
              <w:rPr>
                <w:noProof/>
                <w:sz w:val="20"/>
                <w:szCs w:val="20"/>
                <w:lang w:val="en-US"/>
              </w:rPr>
              <w:t>a</w:t>
            </w:r>
            <w:r w:rsidR="00B7168F">
              <w:rPr>
                <w:noProof/>
                <w:sz w:val="20"/>
                <w:szCs w:val="20"/>
                <w:lang w:val="en-US"/>
              </w:rPr>
              <w:t>ntsin inclusion rates have no effects on milk yield or nitrogen (N) utilisation in dairy cows</w:t>
            </w:r>
            <w:r w:rsidR="0063730B">
              <w:rPr>
                <w:noProof/>
                <w:sz w:val="20"/>
                <w:szCs w:val="20"/>
                <w:lang w:val="en-US"/>
              </w:rPr>
              <w:t>.</w:t>
            </w:r>
            <w:r w:rsidR="002A6ED8">
              <w:rPr>
                <w:noProof/>
                <w:sz w:val="20"/>
                <w:szCs w:val="20"/>
                <w:lang w:val="en-US"/>
              </w:rPr>
              <w:t xml:space="preserve"> </w:t>
            </w:r>
          </w:p>
          <w:p w14:paraId="757173DA" w14:textId="77777777" w:rsidR="00EE0940" w:rsidRPr="00D41726" w:rsidRDefault="00EE0940" w:rsidP="00D425FD">
            <w:pPr>
              <w:ind w:left="37"/>
              <w:jc w:val="both"/>
              <w:rPr>
                <w:noProof/>
                <w:sz w:val="8"/>
                <w:szCs w:val="8"/>
                <w:lang w:val="en-US"/>
              </w:rPr>
            </w:pPr>
          </w:p>
          <w:p w14:paraId="78B3A321" w14:textId="66D02DDC" w:rsidR="00781951" w:rsidRPr="00781951" w:rsidRDefault="00AA3040" w:rsidP="0062478E">
            <w:pPr>
              <w:ind w:left="37"/>
              <w:jc w:val="both"/>
              <w:rPr>
                <w:noProof/>
                <w:sz w:val="20"/>
                <w:szCs w:val="20"/>
              </w:rPr>
            </w:pPr>
            <w:r w:rsidRPr="00AA3040">
              <w:rPr>
                <w:b/>
                <w:noProof/>
                <w:sz w:val="20"/>
                <w:szCs w:val="20"/>
                <w:lang w:val="en-US"/>
              </w:rPr>
              <w:t>Introduction</w:t>
            </w:r>
            <w:r w:rsidR="00591816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81951">
              <w:rPr>
                <w:noProof/>
                <w:sz w:val="20"/>
                <w:szCs w:val="20"/>
              </w:rPr>
              <w:t>P</w:t>
            </w:r>
            <w:r w:rsidR="00781951" w:rsidRPr="00781951">
              <w:rPr>
                <w:noProof/>
                <w:sz w:val="20"/>
                <w:szCs w:val="20"/>
              </w:rPr>
              <w:t>lantain (</w:t>
            </w:r>
            <w:r w:rsidR="00781951" w:rsidRPr="00781951">
              <w:rPr>
                <w:i/>
                <w:iCs/>
                <w:noProof/>
                <w:sz w:val="20"/>
                <w:szCs w:val="20"/>
              </w:rPr>
              <w:t>Plantago lanceolata</w:t>
            </w:r>
            <w:r w:rsidR="00781951" w:rsidRPr="00781951">
              <w:rPr>
                <w:noProof/>
                <w:sz w:val="20"/>
                <w:szCs w:val="20"/>
              </w:rPr>
              <w:t xml:space="preserve"> L.) has emerged as a potential means of improving the sustainability of dairy </w:t>
            </w:r>
            <w:r w:rsidR="00781951">
              <w:rPr>
                <w:noProof/>
                <w:sz w:val="20"/>
                <w:szCs w:val="20"/>
              </w:rPr>
              <w:t xml:space="preserve">production and several </w:t>
            </w:r>
            <w:r w:rsidR="00781951" w:rsidRPr="00781951">
              <w:rPr>
                <w:noProof/>
                <w:sz w:val="20"/>
                <w:szCs w:val="20"/>
              </w:rPr>
              <w:t>studies demonstrat</w:t>
            </w:r>
            <w:r w:rsidR="00781951">
              <w:rPr>
                <w:noProof/>
                <w:sz w:val="20"/>
                <w:szCs w:val="20"/>
              </w:rPr>
              <w:t xml:space="preserve">ed </w:t>
            </w:r>
            <w:r w:rsidR="00B7168F">
              <w:rPr>
                <w:noProof/>
                <w:sz w:val="20"/>
                <w:szCs w:val="20"/>
              </w:rPr>
              <w:t xml:space="preserve">that inclusion of plantain in </w:t>
            </w:r>
            <w:r w:rsidR="00B7168F" w:rsidRPr="00781951">
              <w:rPr>
                <w:noProof/>
                <w:sz w:val="20"/>
                <w:szCs w:val="20"/>
              </w:rPr>
              <w:t xml:space="preserve">perennial ryegrass pastures </w:t>
            </w:r>
            <w:r w:rsidR="00781951">
              <w:rPr>
                <w:noProof/>
                <w:sz w:val="20"/>
                <w:szCs w:val="20"/>
              </w:rPr>
              <w:t xml:space="preserve">reduced </w:t>
            </w:r>
            <w:r w:rsidR="00781951" w:rsidRPr="00781951">
              <w:rPr>
                <w:noProof/>
                <w:sz w:val="20"/>
                <w:szCs w:val="20"/>
              </w:rPr>
              <w:t xml:space="preserve">N losses </w:t>
            </w:r>
            <w:r w:rsidR="000D3880">
              <w:rPr>
                <w:noProof/>
                <w:sz w:val="20"/>
                <w:szCs w:val="20"/>
              </w:rPr>
              <w:t>in</w:t>
            </w:r>
            <w:r w:rsidR="00781951" w:rsidRPr="00781951">
              <w:rPr>
                <w:noProof/>
                <w:sz w:val="20"/>
                <w:szCs w:val="20"/>
              </w:rPr>
              <w:t xml:space="preserve"> </w:t>
            </w:r>
            <w:r w:rsidR="00781951">
              <w:rPr>
                <w:noProof/>
                <w:sz w:val="20"/>
                <w:szCs w:val="20"/>
              </w:rPr>
              <w:t>dairy cows</w:t>
            </w:r>
            <w:r w:rsidR="00781951" w:rsidRPr="00781951">
              <w:rPr>
                <w:noProof/>
                <w:sz w:val="20"/>
                <w:szCs w:val="20"/>
              </w:rPr>
              <w:t xml:space="preserve"> (Navarrete et al., 2022). </w:t>
            </w:r>
            <w:r w:rsidR="00781951">
              <w:rPr>
                <w:noProof/>
                <w:sz w:val="20"/>
                <w:szCs w:val="20"/>
              </w:rPr>
              <w:t xml:space="preserve">However, this reduction </w:t>
            </w:r>
            <w:r w:rsidR="00D07FF7">
              <w:rPr>
                <w:noProof/>
                <w:sz w:val="20"/>
                <w:szCs w:val="20"/>
              </w:rPr>
              <w:t>might</w:t>
            </w:r>
            <w:r w:rsidR="00781951" w:rsidRPr="00781951">
              <w:rPr>
                <w:noProof/>
                <w:sz w:val="20"/>
                <w:szCs w:val="20"/>
              </w:rPr>
              <w:t xml:space="preserve"> </w:t>
            </w:r>
            <w:r w:rsidR="008F4C98">
              <w:rPr>
                <w:noProof/>
                <w:sz w:val="20"/>
                <w:szCs w:val="20"/>
              </w:rPr>
              <w:t xml:space="preserve">be </w:t>
            </w:r>
            <w:r w:rsidR="00781951">
              <w:rPr>
                <w:noProof/>
                <w:sz w:val="20"/>
                <w:szCs w:val="20"/>
              </w:rPr>
              <w:t>affecte</w:t>
            </w:r>
            <w:r w:rsidR="008F4C98">
              <w:rPr>
                <w:noProof/>
                <w:sz w:val="20"/>
                <w:szCs w:val="20"/>
              </w:rPr>
              <w:t>d</w:t>
            </w:r>
            <w:r w:rsidR="00781951" w:rsidRPr="00781951">
              <w:rPr>
                <w:noProof/>
                <w:sz w:val="20"/>
                <w:szCs w:val="20"/>
              </w:rPr>
              <w:t xml:space="preserve"> by </w:t>
            </w:r>
            <w:r w:rsidR="000D3880">
              <w:rPr>
                <w:noProof/>
                <w:sz w:val="20"/>
                <w:szCs w:val="20"/>
              </w:rPr>
              <w:t xml:space="preserve">sward </w:t>
            </w:r>
            <w:r w:rsidR="00781951" w:rsidRPr="00781951">
              <w:rPr>
                <w:noProof/>
                <w:sz w:val="20"/>
                <w:szCs w:val="20"/>
              </w:rPr>
              <w:t>plantain proportion</w:t>
            </w:r>
            <w:r w:rsidR="000D3880">
              <w:rPr>
                <w:noProof/>
                <w:sz w:val="20"/>
                <w:szCs w:val="20"/>
              </w:rPr>
              <w:t>s</w:t>
            </w:r>
            <w:r w:rsidR="008F4C98">
              <w:rPr>
                <w:noProof/>
                <w:sz w:val="20"/>
                <w:szCs w:val="20"/>
              </w:rPr>
              <w:t xml:space="preserve"> and t</w:t>
            </w:r>
            <w:r w:rsidR="00781951" w:rsidRPr="00781951">
              <w:rPr>
                <w:noProof/>
                <w:sz w:val="20"/>
                <w:szCs w:val="20"/>
              </w:rPr>
              <w:t xml:space="preserve">here is </w:t>
            </w:r>
            <w:r w:rsidR="00D07FF7">
              <w:rPr>
                <w:noProof/>
                <w:sz w:val="20"/>
                <w:szCs w:val="20"/>
              </w:rPr>
              <w:t>little</w:t>
            </w:r>
            <w:r w:rsidR="00D07FF7" w:rsidRPr="00781951">
              <w:rPr>
                <w:noProof/>
                <w:sz w:val="20"/>
                <w:szCs w:val="20"/>
              </w:rPr>
              <w:t xml:space="preserve"> </w:t>
            </w:r>
            <w:r w:rsidR="00781951" w:rsidRPr="00781951">
              <w:rPr>
                <w:noProof/>
                <w:sz w:val="20"/>
                <w:szCs w:val="20"/>
              </w:rPr>
              <w:t xml:space="preserve">research on the impact of plantain inclusion </w:t>
            </w:r>
            <w:r w:rsidR="000D3880">
              <w:rPr>
                <w:noProof/>
                <w:sz w:val="20"/>
                <w:szCs w:val="20"/>
              </w:rPr>
              <w:t xml:space="preserve">rates </w:t>
            </w:r>
            <w:r w:rsidR="00781951" w:rsidRPr="00781951">
              <w:rPr>
                <w:noProof/>
                <w:sz w:val="20"/>
                <w:szCs w:val="20"/>
              </w:rPr>
              <w:t xml:space="preserve">on </w:t>
            </w:r>
            <w:r w:rsidR="008F4C98">
              <w:rPr>
                <w:noProof/>
                <w:sz w:val="20"/>
                <w:szCs w:val="20"/>
              </w:rPr>
              <w:t>N utilisation efficiency</w:t>
            </w:r>
            <w:r w:rsidR="00781951" w:rsidRPr="00781951">
              <w:rPr>
                <w:noProof/>
                <w:sz w:val="20"/>
                <w:szCs w:val="20"/>
              </w:rPr>
              <w:t xml:space="preserve"> of dairy cows</w:t>
            </w:r>
            <w:r w:rsidR="00D07FF7">
              <w:rPr>
                <w:noProof/>
                <w:sz w:val="20"/>
                <w:szCs w:val="20"/>
              </w:rPr>
              <w:t>,</w:t>
            </w:r>
            <w:r w:rsidR="00781951" w:rsidRPr="00781951">
              <w:rPr>
                <w:noProof/>
                <w:sz w:val="20"/>
                <w:szCs w:val="20"/>
              </w:rPr>
              <w:t xml:space="preserve"> </w:t>
            </w:r>
            <w:r w:rsidR="00D07FF7">
              <w:rPr>
                <w:noProof/>
                <w:sz w:val="20"/>
                <w:szCs w:val="20"/>
              </w:rPr>
              <w:t>T</w:t>
            </w:r>
            <w:r w:rsidR="00781951" w:rsidRPr="00781951">
              <w:rPr>
                <w:noProof/>
                <w:sz w:val="20"/>
                <w:szCs w:val="20"/>
              </w:rPr>
              <w:t xml:space="preserve">herefore </w:t>
            </w:r>
            <w:r w:rsidR="008F4C98">
              <w:rPr>
                <w:noProof/>
                <w:sz w:val="20"/>
                <w:szCs w:val="20"/>
              </w:rPr>
              <w:t xml:space="preserve">the objective of this </w:t>
            </w:r>
            <w:r w:rsidR="00D07FF7">
              <w:rPr>
                <w:noProof/>
                <w:sz w:val="20"/>
                <w:szCs w:val="20"/>
              </w:rPr>
              <w:t xml:space="preserve">zero-grazing </w:t>
            </w:r>
            <w:r w:rsidR="008F4C98">
              <w:rPr>
                <w:noProof/>
                <w:sz w:val="20"/>
                <w:szCs w:val="20"/>
              </w:rPr>
              <w:t>study was</w:t>
            </w:r>
            <w:r w:rsidR="00781951" w:rsidRPr="00781951">
              <w:rPr>
                <w:noProof/>
                <w:sz w:val="20"/>
                <w:szCs w:val="20"/>
              </w:rPr>
              <w:t xml:space="preserve"> to determine the effect of sward plantain inclusion </w:t>
            </w:r>
            <w:r w:rsidR="00D07FF7">
              <w:rPr>
                <w:noProof/>
                <w:sz w:val="20"/>
                <w:szCs w:val="20"/>
              </w:rPr>
              <w:t xml:space="preserve">rates </w:t>
            </w:r>
            <w:r w:rsidR="00781951" w:rsidRPr="00781951">
              <w:rPr>
                <w:noProof/>
                <w:sz w:val="20"/>
                <w:szCs w:val="20"/>
              </w:rPr>
              <w:t xml:space="preserve">on </w:t>
            </w:r>
            <w:r w:rsidR="008F4C98">
              <w:rPr>
                <w:noProof/>
                <w:sz w:val="20"/>
                <w:szCs w:val="20"/>
              </w:rPr>
              <w:t>N utilisation efficiency</w:t>
            </w:r>
            <w:r w:rsidR="00781951" w:rsidRPr="00781951">
              <w:rPr>
                <w:noProof/>
                <w:sz w:val="20"/>
                <w:szCs w:val="20"/>
              </w:rPr>
              <w:t xml:space="preserve"> of dairy cows.</w:t>
            </w:r>
          </w:p>
          <w:p w14:paraId="71C2D0AD" w14:textId="77777777" w:rsidR="004775A7" w:rsidRPr="00D41726" w:rsidRDefault="004775A7" w:rsidP="0062478E">
            <w:pPr>
              <w:ind w:left="37"/>
              <w:jc w:val="both"/>
              <w:rPr>
                <w:noProof/>
                <w:sz w:val="8"/>
                <w:szCs w:val="8"/>
                <w:lang w:val="en-US"/>
              </w:rPr>
            </w:pPr>
          </w:p>
          <w:p w14:paraId="06DD5997" w14:textId="20CBF220" w:rsidR="00872CD0" w:rsidRPr="00DF184E" w:rsidRDefault="004775A7" w:rsidP="00DF184E">
            <w:pPr>
              <w:ind w:left="37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2C3463">
              <w:rPr>
                <w:b/>
                <w:sz w:val="20"/>
                <w:szCs w:val="20"/>
              </w:rPr>
              <w:t>aterials and Methods</w:t>
            </w:r>
            <w:r w:rsidR="001A3F3B">
              <w:rPr>
                <w:b/>
                <w:sz w:val="20"/>
                <w:szCs w:val="20"/>
              </w:rPr>
              <w:t xml:space="preserve"> </w:t>
            </w:r>
            <w:r w:rsidR="00B9350A" w:rsidRPr="00B9350A">
              <w:rPr>
                <w:bCs/>
                <w:sz w:val="20"/>
                <w:szCs w:val="20"/>
              </w:rPr>
              <w:t>Th</w:t>
            </w:r>
            <w:r w:rsidR="00D07FF7">
              <w:rPr>
                <w:bCs/>
                <w:sz w:val="20"/>
                <w:szCs w:val="20"/>
              </w:rPr>
              <w:t>e data used were obtained from</w:t>
            </w:r>
            <w:r w:rsidR="00B9350A" w:rsidRPr="00B9350A">
              <w:rPr>
                <w:bCs/>
                <w:sz w:val="20"/>
                <w:szCs w:val="20"/>
              </w:rPr>
              <w:t xml:space="preserve"> </w:t>
            </w:r>
            <w:r w:rsidR="00B9350A">
              <w:rPr>
                <w:bCs/>
                <w:sz w:val="20"/>
                <w:szCs w:val="20"/>
              </w:rPr>
              <w:t>2</w:t>
            </w:r>
            <w:r w:rsidR="00B9350A" w:rsidRPr="00B9350A">
              <w:rPr>
                <w:bCs/>
                <w:sz w:val="20"/>
                <w:szCs w:val="20"/>
              </w:rPr>
              <w:t xml:space="preserve"> </w:t>
            </w:r>
            <w:r w:rsidR="0077138C">
              <w:rPr>
                <w:bCs/>
                <w:sz w:val="20"/>
                <w:szCs w:val="20"/>
              </w:rPr>
              <w:t xml:space="preserve">zero grazing </w:t>
            </w:r>
            <w:r w:rsidR="00B9350A">
              <w:rPr>
                <w:bCs/>
                <w:sz w:val="20"/>
                <w:szCs w:val="20"/>
              </w:rPr>
              <w:t>digestibility trials</w:t>
            </w:r>
            <w:r w:rsidR="00533701">
              <w:rPr>
                <w:bCs/>
                <w:sz w:val="20"/>
                <w:szCs w:val="20"/>
              </w:rPr>
              <w:t xml:space="preserve"> </w:t>
            </w:r>
            <w:r w:rsidR="00D07FF7">
              <w:rPr>
                <w:bCs/>
                <w:sz w:val="20"/>
                <w:szCs w:val="20"/>
              </w:rPr>
              <w:t xml:space="preserve">which were </w:t>
            </w:r>
            <w:r w:rsidR="00533701" w:rsidRPr="006C6583">
              <w:rPr>
                <w:bCs/>
                <w:sz w:val="20"/>
                <w:szCs w:val="20"/>
              </w:rPr>
              <w:t xml:space="preserve">conducted </w:t>
            </w:r>
            <w:r w:rsidR="00E75FAA">
              <w:rPr>
                <w:bCs/>
                <w:sz w:val="20"/>
                <w:szCs w:val="20"/>
              </w:rPr>
              <w:t xml:space="preserve">respectively </w:t>
            </w:r>
            <w:r w:rsidR="00533701" w:rsidRPr="006C6583">
              <w:rPr>
                <w:bCs/>
                <w:sz w:val="20"/>
                <w:szCs w:val="20"/>
              </w:rPr>
              <w:t>at the Agri-Food and Biosciences Institute</w:t>
            </w:r>
            <w:r w:rsidR="00D07FF7">
              <w:rPr>
                <w:bCs/>
                <w:sz w:val="20"/>
                <w:szCs w:val="20"/>
              </w:rPr>
              <w:t xml:space="preserve"> in August and September 2023</w:t>
            </w:r>
            <w:r w:rsidR="00B9350A" w:rsidRPr="00B9350A">
              <w:rPr>
                <w:bCs/>
                <w:sz w:val="20"/>
                <w:szCs w:val="20"/>
              </w:rPr>
              <w:t xml:space="preserve">. </w:t>
            </w:r>
            <w:r w:rsidR="00B9350A">
              <w:rPr>
                <w:bCs/>
                <w:sz w:val="20"/>
                <w:szCs w:val="20"/>
              </w:rPr>
              <w:t>Eighteen</w:t>
            </w:r>
            <w:r w:rsidR="00B9350A" w:rsidRPr="00B9350A">
              <w:rPr>
                <w:bCs/>
                <w:sz w:val="20"/>
                <w:szCs w:val="20"/>
              </w:rPr>
              <w:t xml:space="preserve"> lactating Holstein-Friesian cows</w:t>
            </w:r>
            <w:r w:rsidR="00533701">
              <w:rPr>
                <w:bCs/>
                <w:sz w:val="20"/>
                <w:szCs w:val="20"/>
              </w:rPr>
              <w:t xml:space="preserve"> (9 cows/trial x 2 trial</w:t>
            </w:r>
            <w:r w:rsidR="0077138C">
              <w:rPr>
                <w:bCs/>
                <w:sz w:val="20"/>
                <w:szCs w:val="20"/>
              </w:rPr>
              <w:t>s</w:t>
            </w:r>
            <w:r w:rsidR="00533701">
              <w:rPr>
                <w:bCs/>
                <w:sz w:val="20"/>
                <w:szCs w:val="20"/>
              </w:rPr>
              <w:t>)</w:t>
            </w:r>
            <w:r w:rsidR="00B9350A" w:rsidRPr="00B9350A">
              <w:rPr>
                <w:bCs/>
                <w:sz w:val="20"/>
                <w:szCs w:val="20"/>
              </w:rPr>
              <w:t xml:space="preserve"> </w:t>
            </w:r>
            <w:r w:rsidR="00B9350A">
              <w:rPr>
                <w:bCs/>
                <w:sz w:val="20"/>
                <w:szCs w:val="20"/>
              </w:rPr>
              <w:t xml:space="preserve">were selected from </w:t>
            </w:r>
            <w:r w:rsidR="0077138C">
              <w:rPr>
                <w:bCs/>
                <w:sz w:val="20"/>
                <w:szCs w:val="20"/>
              </w:rPr>
              <w:t>a</w:t>
            </w:r>
            <w:r w:rsidR="00D07FF7">
              <w:rPr>
                <w:bCs/>
                <w:sz w:val="20"/>
                <w:szCs w:val="20"/>
              </w:rPr>
              <w:t xml:space="preserve"> </w:t>
            </w:r>
            <w:r w:rsidR="00B9350A">
              <w:rPr>
                <w:bCs/>
                <w:sz w:val="20"/>
                <w:szCs w:val="20"/>
              </w:rPr>
              <w:t>main</w:t>
            </w:r>
            <w:r w:rsidR="00B9350A" w:rsidRPr="005124D4">
              <w:rPr>
                <w:bCs/>
                <w:sz w:val="20"/>
                <w:szCs w:val="20"/>
              </w:rPr>
              <w:t xml:space="preserve"> grazing experiment which comprised three </w:t>
            </w:r>
            <w:r w:rsidR="00B9350A">
              <w:rPr>
                <w:bCs/>
                <w:sz w:val="20"/>
                <w:szCs w:val="20"/>
              </w:rPr>
              <w:t xml:space="preserve">sward </w:t>
            </w:r>
            <w:r w:rsidR="00B9350A" w:rsidRPr="005124D4">
              <w:rPr>
                <w:bCs/>
                <w:sz w:val="20"/>
                <w:szCs w:val="20"/>
              </w:rPr>
              <w:t xml:space="preserve">treatments: </w:t>
            </w:r>
            <w:r w:rsidR="00B9350A">
              <w:rPr>
                <w:bCs/>
                <w:sz w:val="20"/>
                <w:szCs w:val="20"/>
              </w:rPr>
              <w:t xml:space="preserve">100% </w:t>
            </w:r>
            <w:r w:rsidR="00B9350A" w:rsidRPr="005124D4">
              <w:rPr>
                <w:bCs/>
                <w:sz w:val="20"/>
                <w:szCs w:val="20"/>
              </w:rPr>
              <w:t>perennial ryegrass (</w:t>
            </w:r>
            <w:r w:rsidR="00B9350A">
              <w:rPr>
                <w:bCs/>
                <w:sz w:val="20"/>
                <w:szCs w:val="20"/>
              </w:rPr>
              <w:t>Control</w:t>
            </w:r>
            <w:r w:rsidR="00B9350A" w:rsidRPr="005124D4">
              <w:rPr>
                <w:bCs/>
                <w:sz w:val="20"/>
                <w:szCs w:val="20"/>
              </w:rPr>
              <w:t>)</w:t>
            </w:r>
            <w:r w:rsidR="00B9350A">
              <w:rPr>
                <w:bCs/>
                <w:sz w:val="20"/>
                <w:szCs w:val="20"/>
              </w:rPr>
              <w:t>, 50%</w:t>
            </w:r>
            <w:r w:rsidR="00B9350A" w:rsidRPr="00B36618">
              <w:rPr>
                <w:bCs/>
                <w:sz w:val="20"/>
                <w:szCs w:val="20"/>
              </w:rPr>
              <w:t xml:space="preserve"> perennial ryegrass </w:t>
            </w:r>
            <w:r w:rsidR="00B9350A">
              <w:rPr>
                <w:bCs/>
                <w:sz w:val="20"/>
                <w:szCs w:val="20"/>
              </w:rPr>
              <w:t>+</w:t>
            </w:r>
            <w:r w:rsidR="00B9350A" w:rsidRPr="00B36618">
              <w:rPr>
                <w:bCs/>
                <w:sz w:val="20"/>
                <w:szCs w:val="20"/>
              </w:rPr>
              <w:t xml:space="preserve"> </w:t>
            </w:r>
            <w:r w:rsidR="00B9350A">
              <w:rPr>
                <w:bCs/>
                <w:sz w:val="20"/>
                <w:szCs w:val="20"/>
              </w:rPr>
              <w:t>50</w:t>
            </w:r>
            <w:r w:rsidR="00B9350A" w:rsidRPr="00B36618">
              <w:rPr>
                <w:bCs/>
                <w:sz w:val="20"/>
                <w:szCs w:val="20"/>
              </w:rPr>
              <w:t xml:space="preserve">% </w:t>
            </w:r>
            <w:r w:rsidR="00B9350A">
              <w:rPr>
                <w:bCs/>
                <w:sz w:val="20"/>
                <w:szCs w:val="20"/>
              </w:rPr>
              <w:t>plantain</w:t>
            </w:r>
            <w:r w:rsidR="00B9350A" w:rsidRPr="00B36618">
              <w:rPr>
                <w:bCs/>
                <w:sz w:val="20"/>
                <w:szCs w:val="20"/>
              </w:rPr>
              <w:t xml:space="preserve"> (</w:t>
            </w:r>
            <w:r w:rsidR="00B9350A">
              <w:rPr>
                <w:bCs/>
                <w:sz w:val="20"/>
                <w:szCs w:val="20"/>
              </w:rPr>
              <w:t>LP</w:t>
            </w:r>
            <w:r w:rsidR="00B9350A" w:rsidRPr="00B36618">
              <w:rPr>
                <w:bCs/>
                <w:sz w:val="20"/>
                <w:szCs w:val="20"/>
              </w:rPr>
              <w:t>)</w:t>
            </w:r>
            <w:r w:rsidR="00B9350A">
              <w:rPr>
                <w:bCs/>
                <w:sz w:val="20"/>
                <w:szCs w:val="20"/>
              </w:rPr>
              <w:t xml:space="preserve">, </w:t>
            </w:r>
            <w:r w:rsidR="001E50A8">
              <w:rPr>
                <w:bCs/>
                <w:sz w:val="20"/>
                <w:szCs w:val="20"/>
              </w:rPr>
              <w:t>2</w:t>
            </w:r>
            <w:r w:rsidR="00B9350A">
              <w:rPr>
                <w:bCs/>
                <w:sz w:val="20"/>
                <w:szCs w:val="20"/>
              </w:rPr>
              <w:t xml:space="preserve">5% perennial ryegrass + </w:t>
            </w:r>
            <w:r w:rsidR="001E50A8">
              <w:rPr>
                <w:bCs/>
                <w:sz w:val="20"/>
                <w:szCs w:val="20"/>
              </w:rPr>
              <w:t>7</w:t>
            </w:r>
            <w:r w:rsidR="00B9350A">
              <w:rPr>
                <w:bCs/>
                <w:sz w:val="20"/>
                <w:szCs w:val="20"/>
              </w:rPr>
              <w:t>5% plantain</w:t>
            </w:r>
            <w:r w:rsidR="00B9350A" w:rsidRPr="005124D4">
              <w:rPr>
                <w:bCs/>
                <w:sz w:val="20"/>
                <w:szCs w:val="20"/>
              </w:rPr>
              <w:t xml:space="preserve"> (HP).</w:t>
            </w:r>
            <w:r w:rsidR="00533701">
              <w:rPr>
                <w:bCs/>
                <w:sz w:val="20"/>
                <w:szCs w:val="20"/>
              </w:rPr>
              <w:t xml:space="preserve"> In addition, </w:t>
            </w:r>
            <w:r w:rsidR="00533701" w:rsidRPr="00533701">
              <w:rPr>
                <w:bCs/>
                <w:sz w:val="20"/>
                <w:szCs w:val="20"/>
              </w:rPr>
              <w:t xml:space="preserve">each </w:t>
            </w:r>
            <w:r w:rsidR="00533701">
              <w:rPr>
                <w:bCs/>
                <w:sz w:val="20"/>
                <w:szCs w:val="20"/>
              </w:rPr>
              <w:t>cow</w:t>
            </w:r>
            <w:r w:rsidR="00533701" w:rsidRPr="00533701">
              <w:rPr>
                <w:bCs/>
                <w:sz w:val="20"/>
                <w:szCs w:val="20"/>
              </w:rPr>
              <w:t xml:space="preserve"> received concentrate pellets at </w:t>
            </w:r>
            <w:r w:rsidR="00533701">
              <w:rPr>
                <w:bCs/>
                <w:sz w:val="20"/>
                <w:szCs w:val="20"/>
              </w:rPr>
              <w:t>7.1 kg</w:t>
            </w:r>
            <w:r w:rsidR="00D07FF7">
              <w:rPr>
                <w:bCs/>
                <w:sz w:val="20"/>
                <w:szCs w:val="20"/>
              </w:rPr>
              <w:t xml:space="preserve"> DM</w:t>
            </w:r>
            <w:r w:rsidR="00533701" w:rsidRPr="00533701">
              <w:rPr>
                <w:bCs/>
                <w:sz w:val="20"/>
                <w:szCs w:val="20"/>
              </w:rPr>
              <w:t>/day</w:t>
            </w:r>
            <w:r w:rsidR="00533701">
              <w:rPr>
                <w:bCs/>
                <w:sz w:val="20"/>
                <w:szCs w:val="20"/>
              </w:rPr>
              <w:t>.</w:t>
            </w:r>
            <w:r w:rsidR="00DF184E">
              <w:rPr>
                <w:bCs/>
                <w:sz w:val="20"/>
                <w:szCs w:val="20"/>
              </w:rPr>
              <w:t xml:space="preserve"> </w:t>
            </w:r>
            <w:r w:rsidR="00710DA3">
              <w:rPr>
                <w:bCs/>
                <w:sz w:val="20"/>
                <w:szCs w:val="20"/>
              </w:rPr>
              <w:t>These cows had been in the main grazing study for over 2 months before selected for these 2 zero grazing trials. In each trial, c</w:t>
            </w:r>
            <w:r w:rsidR="00533701">
              <w:rPr>
                <w:bCs/>
                <w:sz w:val="20"/>
                <w:szCs w:val="20"/>
              </w:rPr>
              <w:t xml:space="preserve">ow </w:t>
            </w:r>
            <w:r w:rsidR="00B9350A" w:rsidRPr="00B9350A">
              <w:rPr>
                <w:bCs/>
                <w:sz w:val="20"/>
                <w:szCs w:val="20"/>
              </w:rPr>
              <w:t xml:space="preserve">groups </w:t>
            </w:r>
            <w:r w:rsidR="00533701">
              <w:rPr>
                <w:bCs/>
                <w:sz w:val="20"/>
                <w:szCs w:val="20"/>
              </w:rPr>
              <w:t>were</w:t>
            </w:r>
            <w:r w:rsidR="00B9350A" w:rsidRPr="00B9350A">
              <w:rPr>
                <w:bCs/>
                <w:sz w:val="20"/>
                <w:szCs w:val="20"/>
              </w:rPr>
              <w:t xml:space="preserve"> balanced by parity, bodyweight, </w:t>
            </w:r>
            <w:r w:rsidR="00D07FF7">
              <w:rPr>
                <w:bCs/>
                <w:sz w:val="20"/>
                <w:szCs w:val="20"/>
              </w:rPr>
              <w:t xml:space="preserve">days in milk </w:t>
            </w:r>
            <w:r w:rsidR="00B9350A" w:rsidRPr="00B9350A">
              <w:rPr>
                <w:bCs/>
                <w:sz w:val="20"/>
                <w:szCs w:val="20"/>
              </w:rPr>
              <w:t xml:space="preserve">and milk yield. </w:t>
            </w:r>
            <w:r w:rsidR="00D07FF7">
              <w:rPr>
                <w:bCs/>
                <w:sz w:val="20"/>
                <w:szCs w:val="20"/>
              </w:rPr>
              <w:t>Forages</w:t>
            </w:r>
            <w:r w:rsidR="00D07FF7" w:rsidRPr="00533701">
              <w:rPr>
                <w:bCs/>
                <w:sz w:val="20"/>
                <w:szCs w:val="20"/>
              </w:rPr>
              <w:t xml:space="preserve"> were harvested</w:t>
            </w:r>
            <w:r w:rsidR="00D07FF7">
              <w:rPr>
                <w:bCs/>
                <w:sz w:val="20"/>
                <w:szCs w:val="20"/>
              </w:rPr>
              <w:t xml:space="preserve"> </w:t>
            </w:r>
            <w:r w:rsidR="00D07FF7" w:rsidRPr="00533701">
              <w:rPr>
                <w:bCs/>
                <w:sz w:val="20"/>
                <w:szCs w:val="20"/>
              </w:rPr>
              <w:t xml:space="preserve">daily </w:t>
            </w:r>
            <w:r w:rsidR="00D07FF7">
              <w:rPr>
                <w:bCs/>
                <w:sz w:val="20"/>
                <w:szCs w:val="20"/>
              </w:rPr>
              <w:t xml:space="preserve">using a zero grazer </w:t>
            </w:r>
            <w:r w:rsidR="00D07FF7" w:rsidRPr="00533701">
              <w:rPr>
                <w:bCs/>
                <w:sz w:val="20"/>
                <w:szCs w:val="20"/>
              </w:rPr>
              <w:t xml:space="preserve">and offered to </w:t>
            </w:r>
            <w:r w:rsidR="00D07FF7">
              <w:rPr>
                <w:bCs/>
                <w:sz w:val="20"/>
                <w:szCs w:val="20"/>
              </w:rPr>
              <w:t>cows</w:t>
            </w:r>
            <w:r w:rsidR="00D07FF7" w:rsidRPr="00533701">
              <w:rPr>
                <w:bCs/>
                <w:sz w:val="20"/>
                <w:szCs w:val="20"/>
              </w:rPr>
              <w:t xml:space="preserve"> twice </w:t>
            </w:r>
            <w:r w:rsidR="00710DA3">
              <w:rPr>
                <w:bCs/>
                <w:sz w:val="20"/>
                <w:szCs w:val="20"/>
              </w:rPr>
              <w:t>daily</w:t>
            </w:r>
            <w:r w:rsidR="00D07FF7" w:rsidRPr="00533701">
              <w:rPr>
                <w:bCs/>
                <w:sz w:val="20"/>
                <w:szCs w:val="20"/>
              </w:rPr>
              <w:t xml:space="preserve"> for ad libitum consumption allowing a 5% refusal rate.</w:t>
            </w:r>
            <w:r w:rsidR="00D07FF7">
              <w:rPr>
                <w:bCs/>
                <w:sz w:val="20"/>
                <w:szCs w:val="20"/>
              </w:rPr>
              <w:t xml:space="preserve"> </w:t>
            </w:r>
            <w:r w:rsidR="00533701" w:rsidRPr="00533701">
              <w:rPr>
                <w:bCs/>
                <w:sz w:val="20"/>
                <w:szCs w:val="20"/>
              </w:rPr>
              <w:t xml:space="preserve">Before commencing the digestibility trials, all animals were housed </w:t>
            </w:r>
            <w:r w:rsidR="00710DA3">
              <w:rPr>
                <w:bCs/>
                <w:sz w:val="20"/>
                <w:szCs w:val="20"/>
              </w:rPr>
              <w:t xml:space="preserve">as a single group </w:t>
            </w:r>
            <w:r w:rsidR="00533701" w:rsidRPr="00533701">
              <w:rPr>
                <w:bCs/>
                <w:sz w:val="20"/>
                <w:szCs w:val="20"/>
              </w:rPr>
              <w:t xml:space="preserve">in cubicle accommodation and offered experimental diets for </w:t>
            </w:r>
            <w:r w:rsidR="00533701">
              <w:rPr>
                <w:bCs/>
                <w:sz w:val="20"/>
                <w:szCs w:val="20"/>
              </w:rPr>
              <w:t>10</w:t>
            </w:r>
            <w:r w:rsidR="00533701" w:rsidRPr="00533701">
              <w:rPr>
                <w:bCs/>
                <w:sz w:val="20"/>
                <w:szCs w:val="20"/>
              </w:rPr>
              <w:t xml:space="preserve"> d. </w:t>
            </w:r>
            <w:r w:rsidR="00533701">
              <w:rPr>
                <w:bCs/>
                <w:sz w:val="20"/>
                <w:szCs w:val="20"/>
              </w:rPr>
              <w:t>A</w:t>
            </w:r>
            <w:r w:rsidR="00533701" w:rsidRPr="00533701">
              <w:rPr>
                <w:bCs/>
                <w:sz w:val="20"/>
                <w:szCs w:val="20"/>
              </w:rPr>
              <w:t xml:space="preserve">fterwards, they were transferred to metabolism units and housed there for </w:t>
            </w:r>
            <w:r w:rsidR="00533701">
              <w:rPr>
                <w:bCs/>
                <w:sz w:val="20"/>
                <w:szCs w:val="20"/>
              </w:rPr>
              <w:t>7</w:t>
            </w:r>
            <w:r w:rsidR="00533701" w:rsidRPr="00533701">
              <w:rPr>
                <w:bCs/>
                <w:sz w:val="20"/>
                <w:szCs w:val="20"/>
              </w:rPr>
              <w:t xml:space="preserve"> d with total feed intake recorded daily </w:t>
            </w:r>
            <w:r w:rsidR="00710DA3">
              <w:rPr>
                <w:bCs/>
                <w:sz w:val="20"/>
                <w:szCs w:val="20"/>
              </w:rPr>
              <w:t>and f</w:t>
            </w:r>
            <w:r w:rsidR="00533701">
              <w:rPr>
                <w:bCs/>
                <w:sz w:val="20"/>
                <w:szCs w:val="20"/>
              </w:rPr>
              <w:t>a</w:t>
            </w:r>
            <w:r w:rsidR="00533701" w:rsidRPr="00533701">
              <w:rPr>
                <w:bCs/>
                <w:sz w:val="20"/>
                <w:szCs w:val="20"/>
              </w:rPr>
              <w:t xml:space="preserve">eces and urine </w:t>
            </w:r>
            <w:r w:rsidR="0077138C">
              <w:rPr>
                <w:bCs/>
                <w:sz w:val="20"/>
                <w:szCs w:val="20"/>
              </w:rPr>
              <w:t>outputs collected</w:t>
            </w:r>
            <w:r w:rsidR="00533701" w:rsidRPr="00533701">
              <w:rPr>
                <w:bCs/>
                <w:sz w:val="20"/>
                <w:szCs w:val="20"/>
              </w:rPr>
              <w:t xml:space="preserve"> during the final 6 d. Milk yields were recorded daily with milk samples taken during both morning (starting at 05</w:t>
            </w:r>
            <w:r w:rsidR="00533701">
              <w:rPr>
                <w:bCs/>
                <w:sz w:val="20"/>
                <w:szCs w:val="20"/>
              </w:rPr>
              <w:t>3</w:t>
            </w:r>
            <w:r w:rsidR="00533701" w:rsidRPr="00533701">
              <w:rPr>
                <w:bCs/>
                <w:sz w:val="20"/>
                <w:szCs w:val="20"/>
              </w:rPr>
              <w:t>0 h) and afternoon (starting at 1</w:t>
            </w:r>
            <w:r w:rsidR="00533701">
              <w:rPr>
                <w:bCs/>
                <w:sz w:val="20"/>
                <w:szCs w:val="20"/>
              </w:rPr>
              <w:t>5</w:t>
            </w:r>
            <w:r w:rsidR="00533701" w:rsidRPr="00533701">
              <w:rPr>
                <w:bCs/>
                <w:sz w:val="20"/>
                <w:szCs w:val="20"/>
              </w:rPr>
              <w:t xml:space="preserve">:30 h) milking during the </w:t>
            </w:r>
            <w:r w:rsidR="00533701">
              <w:rPr>
                <w:bCs/>
                <w:sz w:val="20"/>
                <w:szCs w:val="20"/>
              </w:rPr>
              <w:t>7</w:t>
            </w:r>
            <w:r w:rsidR="00533701" w:rsidRPr="00533701">
              <w:rPr>
                <w:bCs/>
                <w:sz w:val="20"/>
                <w:szCs w:val="20"/>
              </w:rPr>
              <w:t xml:space="preserve"> d in metabolism units. Animals had free access to water throughout the whole experimental period</w:t>
            </w:r>
            <w:r w:rsidR="0077138C">
              <w:rPr>
                <w:bCs/>
                <w:sz w:val="20"/>
                <w:szCs w:val="20"/>
              </w:rPr>
              <w:t>s</w:t>
            </w:r>
            <w:r w:rsidR="00533701" w:rsidRPr="00533701">
              <w:rPr>
                <w:bCs/>
                <w:sz w:val="20"/>
                <w:szCs w:val="20"/>
              </w:rPr>
              <w:t>.</w:t>
            </w:r>
            <w:r w:rsidR="00DF184E">
              <w:rPr>
                <w:bCs/>
                <w:sz w:val="20"/>
                <w:szCs w:val="20"/>
              </w:rPr>
              <w:t xml:space="preserve"> </w:t>
            </w:r>
            <w:r w:rsidR="00F76E3E">
              <w:rPr>
                <w:sz w:val="20"/>
                <w:szCs w:val="20"/>
              </w:rPr>
              <w:t xml:space="preserve">The </w:t>
            </w:r>
            <w:r w:rsidR="00D272ED">
              <w:rPr>
                <w:sz w:val="20"/>
                <w:szCs w:val="20"/>
              </w:rPr>
              <w:t xml:space="preserve">data were </w:t>
            </w:r>
            <w:r w:rsidR="00F76E3E">
              <w:rPr>
                <w:sz w:val="20"/>
                <w:szCs w:val="20"/>
              </w:rPr>
              <w:t>analys</w:t>
            </w:r>
            <w:r w:rsidR="00D272ED">
              <w:rPr>
                <w:sz w:val="20"/>
                <w:szCs w:val="20"/>
              </w:rPr>
              <w:t>ed</w:t>
            </w:r>
            <w:r w:rsidR="00F76E3E">
              <w:rPr>
                <w:sz w:val="20"/>
                <w:szCs w:val="20"/>
              </w:rPr>
              <w:t xml:space="preserve"> using</w:t>
            </w:r>
            <w:r w:rsidR="00F55969">
              <w:rPr>
                <w:sz w:val="20"/>
                <w:szCs w:val="20"/>
              </w:rPr>
              <w:t xml:space="preserve"> </w:t>
            </w:r>
            <w:r w:rsidR="00F55969" w:rsidRPr="00F55969">
              <w:rPr>
                <w:sz w:val="20"/>
                <w:szCs w:val="20"/>
              </w:rPr>
              <w:t xml:space="preserve">GenStat </w:t>
            </w:r>
            <w:r w:rsidR="00F76E3E">
              <w:rPr>
                <w:sz w:val="20"/>
                <w:szCs w:val="20"/>
              </w:rPr>
              <w:t>(</w:t>
            </w:r>
            <w:r w:rsidR="00F55969" w:rsidRPr="00F55969">
              <w:rPr>
                <w:sz w:val="20"/>
                <w:szCs w:val="20"/>
              </w:rPr>
              <w:t>2</w:t>
            </w:r>
            <w:r w:rsidR="00EB6568">
              <w:rPr>
                <w:sz w:val="20"/>
                <w:szCs w:val="20"/>
              </w:rPr>
              <w:t>1</w:t>
            </w:r>
            <w:r w:rsidR="00F76E3E" w:rsidRPr="00F76E3E">
              <w:rPr>
                <w:sz w:val="20"/>
                <w:szCs w:val="20"/>
                <w:vertAlign w:val="superscript"/>
              </w:rPr>
              <w:t>st</w:t>
            </w:r>
            <w:r w:rsidR="00F76E3E">
              <w:rPr>
                <w:sz w:val="20"/>
                <w:szCs w:val="20"/>
              </w:rPr>
              <w:t xml:space="preserve"> </w:t>
            </w:r>
            <w:r w:rsidR="00F55969" w:rsidRPr="00F55969">
              <w:rPr>
                <w:sz w:val="20"/>
                <w:szCs w:val="20"/>
              </w:rPr>
              <w:t>ed</w:t>
            </w:r>
            <w:r w:rsidR="007B7948">
              <w:rPr>
                <w:sz w:val="20"/>
                <w:szCs w:val="20"/>
              </w:rPr>
              <w:t>.</w:t>
            </w:r>
            <w:r w:rsidR="00880D60">
              <w:rPr>
                <w:sz w:val="20"/>
                <w:szCs w:val="20"/>
              </w:rPr>
              <w:t>, VSN</w:t>
            </w:r>
            <w:r w:rsidR="007B7948">
              <w:rPr>
                <w:sz w:val="20"/>
                <w:szCs w:val="20"/>
              </w:rPr>
              <w:t xml:space="preserve">I </w:t>
            </w:r>
            <w:r w:rsidR="00880D60">
              <w:rPr>
                <w:sz w:val="20"/>
                <w:szCs w:val="20"/>
              </w:rPr>
              <w:t>Ltd</w:t>
            </w:r>
            <w:r w:rsidR="00F55969">
              <w:rPr>
                <w:sz w:val="20"/>
                <w:szCs w:val="20"/>
              </w:rPr>
              <w:t>)</w:t>
            </w:r>
            <w:r w:rsidR="008D0B89" w:rsidRPr="00643E35">
              <w:rPr>
                <w:sz w:val="20"/>
                <w:szCs w:val="20"/>
              </w:rPr>
              <w:t>.</w:t>
            </w:r>
          </w:p>
          <w:p w14:paraId="47F0A2FC" w14:textId="77777777" w:rsidR="008D0B89" w:rsidRPr="00D41726" w:rsidRDefault="008D0B89" w:rsidP="0062478E">
            <w:pPr>
              <w:ind w:left="37"/>
              <w:jc w:val="both"/>
              <w:rPr>
                <w:sz w:val="8"/>
                <w:szCs w:val="8"/>
              </w:rPr>
            </w:pPr>
          </w:p>
          <w:p w14:paraId="19BEC0FF" w14:textId="0EF31829" w:rsidR="005B4FEF" w:rsidRPr="005B4FEF" w:rsidRDefault="002C3463" w:rsidP="005B4FEF">
            <w:pPr>
              <w:ind w:left="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Results</w:t>
            </w:r>
            <w:r w:rsidR="00A444DC">
              <w:rPr>
                <w:b/>
                <w:sz w:val="20"/>
                <w:szCs w:val="20"/>
              </w:rPr>
              <w:t xml:space="preserve"> </w:t>
            </w:r>
            <w:r w:rsidR="001A35E2" w:rsidRPr="001A35E2">
              <w:rPr>
                <w:bCs/>
                <w:sz w:val="20"/>
                <w:szCs w:val="20"/>
              </w:rPr>
              <w:t>Plantain</w:t>
            </w:r>
            <w:r w:rsidR="001A35E2">
              <w:rPr>
                <w:b/>
                <w:sz w:val="20"/>
                <w:szCs w:val="20"/>
              </w:rPr>
              <w:t xml:space="preserve"> </w:t>
            </w:r>
            <w:r w:rsidR="001A35E2" w:rsidRPr="001A35E2">
              <w:rPr>
                <w:bCs/>
                <w:sz w:val="20"/>
                <w:szCs w:val="20"/>
              </w:rPr>
              <w:t>inclusion</w:t>
            </w:r>
            <w:r w:rsidR="00710DA3">
              <w:rPr>
                <w:bCs/>
                <w:sz w:val="20"/>
                <w:szCs w:val="20"/>
              </w:rPr>
              <w:t xml:space="preserve"> rates</w:t>
            </w:r>
            <w:r w:rsidR="001A35E2" w:rsidRPr="001A35E2">
              <w:rPr>
                <w:bCs/>
                <w:sz w:val="20"/>
                <w:szCs w:val="20"/>
              </w:rPr>
              <w:t xml:space="preserve"> </w:t>
            </w:r>
            <w:r w:rsidR="001A35E2">
              <w:rPr>
                <w:sz w:val="20"/>
                <w:szCs w:val="20"/>
              </w:rPr>
              <w:t xml:space="preserve">didn’t affect </w:t>
            </w:r>
            <w:r w:rsidR="00710DA3">
              <w:rPr>
                <w:sz w:val="20"/>
                <w:szCs w:val="20"/>
              </w:rPr>
              <w:t xml:space="preserve">feed intake or </w:t>
            </w:r>
            <w:r w:rsidR="00384996">
              <w:rPr>
                <w:sz w:val="20"/>
                <w:szCs w:val="20"/>
              </w:rPr>
              <w:t>milk yield</w:t>
            </w:r>
            <w:r w:rsidR="00632F90">
              <w:rPr>
                <w:sz w:val="20"/>
                <w:szCs w:val="20"/>
              </w:rPr>
              <w:t xml:space="preserve"> (Table 1)</w:t>
            </w:r>
            <w:r w:rsidR="00384996">
              <w:rPr>
                <w:sz w:val="20"/>
                <w:szCs w:val="20"/>
              </w:rPr>
              <w:t>.</w:t>
            </w:r>
            <w:r w:rsidR="002B1843">
              <w:rPr>
                <w:sz w:val="20"/>
                <w:szCs w:val="20"/>
              </w:rPr>
              <w:t xml:space="preserve"> </w:t>
            </w:r>
            <w:r w:rsidR="00B8026F">
              <w:rPr>
                <w:sz w:val="20"/>
                <w:szCs w:val="20"/>
              </w:rPr>
              <w:t xml:space="preserve">The plantain inclusion significantly reduced N </w:t>
            </w:r>
            <w:r w:rsidR="008F6E93">
              <w:rPr>
                <w:sz w:val="20"/>
                <w:szCs w:val="20"/>
              </w:rPr>
              <w:t>intake but</w:t>
            </w:r>
            <w:r w:rsidR="00B8026F">
              <w:rPr>
                <w:sz w:val="20"/>
                <w:szCs w:val="20"/>
              </w:rPr>
              <w:t xml:space="preserve"> had no significant effect on N excretion in faeces, urine or milk or N retention. </w:t>
            </w:r>
            <w:r w:rsidR="00BF508E" w:rsidRPr="00BF508E">
              <w:rPr>
                <w:sz w:val="20"/>
                <w:szCs w:val="20"/>
              </w:rPr>
              <w:t xml:space="preserve">Nitrogen losses from urine and manure, when expressed as a proportion of N </w:t>
            </w:r>
            <w:r w:rsidR="00B8026F">
              <w:rPr>
                <w:sz w:val="20"/>
                <w:szCs w:val="20"/>
              </w:rPr>
              <w:t>intake</w:t>
            </w:r>
            <w:r w:rsidR="00BF508E" w:rsidRPr="00BF508E">
              <w:rPr>
                <w:sz w:val="20"/>
                <w:szCs w:val="20"/>
              </w:rPr>
              <w:t xml:space="preserve">, were </w:t>
            </w:r>
            <w:r w:rsidR="002B1843">
              <w:rPr>
                <w:sz w:val="20"/>
                <w:szCs w:val="20"/>
              </w:rPr>
              <w:t>not affected by plantain inclusion</w:t>
            </w:r>
            <w:r w:rsidR="00B8026F">
              <w:rPr>
                <w:sz w:val="20"/>
                <w:szCs w:val="20"/>
              </w:rPr>
              <w:t>s</w:t>
            </w:r>
            <w:r w:rsidR="002B1843">
              <w:rPr>
                <w:sz w:val="20"/>
                <w:szCs w:val="20"/>
              </w:rPr>
              <w:t xml:space="preserve">, whereas </w:t>
            </w:r>
            <w:r w:rsidR="00B8026F">
              <w:rPr>
                <w:sz w:val="20"/>
                <w:szCs w:val="20"/>
              </w:rPr>
              <w:t>plantain inclusions tended to increase faeces N/N intake (</w:t>
            </w:r>
            <w:r w:rsidR="00B8026F" w:rsidRPr="002B1843">
              <w:rPr>
                <w:i/>
                <w:iCs/>
                <w:sz w:val="20"/>
                <w:szCs w:val="20"/>
              </w:rPr>
              <w:t>P</w:t>
            </w:r>
            <w:r w:rsidR="00B8026F">
              <w:rPr>
                <w:sz w:val="20"/>
                <w:szCs w:val="20"/>
              </w:rPr>
              <w:t xml:space="preserve"> = 0.086) and milk N/N intake (</w:t>
            </w:r>
            <w:r w:rsidR="00B8026F" w:rsidRPr="002B1843">
              <w:rPr>
                <w:i/>
                <w:iCs/>
                <w:sz w:val="20"/>
                <w:szCs w:val="20"/>
              </w:rPr>
              <w:t>P</w:t>
            </w:r>
            <w:r w:rsidR="00B8026F">
              <w:rPr>
                <w:sz w:val="20"/>
                <w:szCs w:val="20"/>
              </w:rPr>
              <w:t xml:space="preserve"> = 0.073)</w:t>
            </w:r>
            <w:r w:rsidR="00BF508E" w:rsidRPr="00BF508E">
              <w:rPr>
                <w:sz w:val="20"/>
                <w:szCs w:val="20"/>
              </w:rPr>
              <w:t>.</w:t>
            </w:r>
          </w:p>
          <w:p w14:paraId="56216896" w14:textId="0BDE3049" w:rsidR="005B4FEF" w:rsidRDefault="005B4FEF" w:rsidP="0019457E">
            <w:pPr>
              <w:ind w:left="37"/>
              <w:jc w:val="center"/>
              <w:rPr>
                <w:sz w:val="20"/>
                <w:szCs w:val="20"/>
              </w:rPr>
            </w:pPr>
          </w:p>
          <w:p w14:paraId="77A77E8F" w14:textId="12739316" w:rsidR="00CF343D" w:rsidRDefault="00384996" w:rsidP="00D70503">
            <w:pPr>
              <w:ind w:left="37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</w:t>
            </w:r>
            <w:r w:rsidR="00CF343D" w:rsidRPr="00CF343D">
              <w:rPr>
                <w:b/>
                <w:sz w:val="20"/>
                <w:szCs w:val="20"/>
              </w:rPr>
              <w:t xml:space="preserve"> 1 </w:t>
            </w:r>
            <w:r w:rsidR="00054EC1" w:rsidRPr="00054EC1">
              <w:rPr>
                <w:bCs/>
                <w:sz w:val="20"/>
                <w:szCs w:val="20"/>
              </w:rPr>
              <w:t xml:space="preserve">The </w:t>
            </w:r>
            <w:r w:rsidR="00B8026F">
              <w:rPr>
                <w:bCs/>
                <w:sz w:val="20"/>
                <w:szCs w:val="20"/>
              </w:rPr>
              <w:t xml:space="preserve">effect of dietary inclusion of plantain on feed intake, milk yield and </w:t>
            </w:r>
            <w:r w:rsidR="00054EC1" w:rsidRPr="00054EC1">
              <w:rPr>
                <w:bCs/>
                <w:sz w:val="20"/>
                <w:szCs w:val="20"/>
              </w:rPr>
              <w:t xml:space="preserve">nitrogen utilization </w:t>
            </w:r>
            <w:r w:rsidR="00054EC1">
              <w:rPr>
                <w:bCs/>
                <w:sz w:val="20"/>
                <w:szCs w:val="20"/>
              </w:rPr>
              <w:t>of dairy cow</w:t>
            </w:r>
            <w:r w:rsidR="00B8026F">
              <w:rPr>
                <w:bCs/>
                <w:sz w:val="20"/>
                <w:szCs w:val="20"/>
              </w:rPr>
              <w:t>s</w:t>
            </w:r>
            <w:r w:rsidR="00054EC1">
              <w:rPr>
                <w:bCs/>
                <w:sz w:val="20"/>
                <w:szCs w:val="20"/>
              </w:rPr>
              <w:t xml:space="preserve"> </w:t>
            </w:r>
          </w:p>
          <w:tbl>
            <w:tblPr>
              <w:tblW w:w="9394" w:type="dxa"/>
              <w:tblLayout w:type="fixed"/>
              <w:tblLook w:val="04A0" w:firstRow="1" w:lastRow="0" w:firstColumn="1" w:lastColumn="0" w:noHBand="0" w:noVBand="1"/>
            </w:tblPr>
            <w:tblGrid>
              <w:gridCol w:w="330"/>
              <w:gridCol w:w="3147"/>
              <w:gridCol w:w="994"/>
              <w:gridCol w:w="1360"/>
              <w:gridCol w:w="1296"/>
              <w:gridCol w:w="1134"/>
              <w:gridCol w:w="1133"/>
            </w:tblGrid>
            <w:tr w:rsidR="00953360" w:rsidRPr="00953360" w14:paraId="6C6C7EDC" w14:textId="77777777" w:rsidTr="00953360">
              <w:trPr>
                <w:trHeight w:val="310"/>
              </w:trPr>
              <w:tc>
                <w:tcPr>
                  <w:tcW w:w="347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F55E92" w14:textId="77777777" w:rsidR="00953360" w:rsidRPr="00953360" w:rsidRDefault="00953360" w:rsidP="00025D20">
                  <w:pPr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39C947" w14:textId="55056DC3" w:rsidR="00953360" w:rsidRPr="00953360" w:rsidRDefault="00025D20" w:rsidP="00025D20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Control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EB7225" w14:textId="085F1778" w:rsidR="00953360" w:rsidRPr="00953360" w:rsidRDefault="00025D20" w:rsidP="00025D20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L</w:t>
                  </w:r>
                  <w:r w:rsidR="00B8026F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ow </w:t>
                  </w: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P</w:t>
                  </w:r>
                  <w:r w:rsidR="00B8026F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lantain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B86EEF9" w14:textId="4B41700B" w:rsidR="00953360" w:rsidRPr="00953360" w:rsidRDefault="00025D20" w:rsidP="00025D20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H</w:t>
                  </w:r>
                  <w:r w:rsidR="00B8026F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igh </w:t>
                  </w: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P</w:t>
                  </w:r>
                  <w:r w:rsidR="00B8026F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lantain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CC2BF9" w14:textId="0AECD388" w:rsidR="00953360" w:rsidRPr="00953360" w:rsidRDefault="00953360" w:rsidP="00025D20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SED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BFC16F" w14:textId="77777777" w:rsidR="00953360" w:rsidRPr="00953360" w:rsidRDefault="00953360" w:rsidP="00025D20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953360">
                    <w:rPr>
                      <w:i/>
                      <w:color w:val="000000" w:themeColor="text1"/>
                      <w:sz w:val="20"/>
                      <w:szCs w:val="20"/>
                      <w:lang w:eastAsia="en-GB"/>
                    </w:rPr>
                    <w:t>P</w:t>
                  </w: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-value</w:t>
                  </w:r>
                </w:p>
              </w:tc>
            </w:tr>
            <w:tr w:rsidR="00025D20" w:rsidRPr="00953360" w14:paraId="482E28DC" w14:textId="77777777" w:rsidTr="00953360">
              <w:trPr>
                <w:trHeight w:val="201"/>
              </w:trPr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43861B2" w14:textId="6DBFA8B4" w:rsidR="00025D20" w:rsidRPr="00953360" w:rsidRDefault="00025D20" w:rsidP="00025D20">
                  <w:pPr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Animal </w:t>
                  </w:r>
                  <w:r w:rsidR="003F4D3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and feed intake </w:t>
                  </w: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data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08DB7B" w14:textId="77777777" w:rsidR="00025D20" w:rsidRPr="00953360" w:rsidRDefault="00025D20" w:rsidP="00025D20">
                  <w:pPr>
                    <w:tabs>
                      <w:tab w:val="decimal" w:pos="59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8D8D43A" w14:textId="77777777" w:rsidR="00025D20" w:rsidRPr="00953360" w:rsidRDefault="00025D20" w:rsidP="00025D20">
                  <w:pPr>
                    <w:tabs>
                      <w:tab w:val="decimal" w:pos="602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52870B" w14:textId="77777777" w:rsidR="00025D20" w:rsidRPr="00953360" w:rsidRDefault="00025D20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6137FE5" w14:textId="77777777" w:rsidR="00025D20" w:rsidRPr="00953360" w:rsidRDefault="00025D20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51E584C" w14:textId="77777777" w:rsidR="00025D20" w:rsidRPr="00953360" w:rsidRDefault="00025D20" w:rsidP="00025D20">
                  <w:pPr>
                    <w:tabs>
                      <w:tab w:val="decimal" w:pos="457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025D20" w:rsidRPr="00953360" w14:paraId="7139A1B1" w14:textId="77777777" w:rsidTr="00953360">
              <w:trPr>
                <w:trHeight w:val="201"/>
              </w:trPr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1C46F7F" w14:textId="42486424" w:rsidR="00025D20" w:rsidRPr="00953360" w:rsidRDefault="00025D20" w:rsidP="00025D20">
                  <w:pPr>
                    <w:ind w:firstLine="345"/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Milk yield, kg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F6265D" w14:textId="1B8CD718" w:rsidR="00025D20" w:rsidRPr="00953360" w:rsidRDefault="00E36B86" w:rsidP="00025D20">
                  <w:pPr>
                    <w:tabs>
                      <w:tab w:val="decimal" w:pos="59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25.4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2AA5B7" w14:textId="014A82A9" w:rsidR="00025D20" w:rsidRPr="00953360" w:rsidRDefault="00E36B86" w:rsidP="00025D20">
                  <w:pPr>
                    <w:tabs>
                      <w:tab w:val="decimal" w:pos="602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25.9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240E7D" w14:textId="58162A5A" w:rsidR="00025D20" w:rsidRPr="00953360" w:rsidRDefault="00E36B8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26.2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4C7CF2" w14:textId="4469CDB4" w:rsidR="00025D20" w:rsidRPr="00953360" w:rsidRDefault="00E36B8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1.02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F6217D7" w14:textId="19416D53" w:rsidR="00025D20" w:rsidRPr="00953360" w:rsidRDefault="00E36B86" w:rsidP="00025D20">
                  <w:pPr>
                    <w:tabs>
                      <w:tab w:val="decimal" w:pos="457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0.722</w:t>
                  </w:r>
                </w:p>
              </w:tc>
            </w:tr>
            <w:tr w:rsidR="00025D20" w:rsidRPr="00953360" w14:paraId="028ADC98" w14:textId="77777777" w:rsidTr="00953360">
              <w:trPr>
                <w:trHeight w:val="201"/>
              </w:trPr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AD5B73E" w14:textId="76DE6651" w:rsidR="00025D20" w:rsidRPr="00953360" w:rsidRDefault="00025D20" w:rsidP="00025D20">
                  <w:pPr>
                    <w:ind w:firstLine="345"/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Forage DM</w:t>
                  </w:r>
                  <w:r w:rsidR="00B8026F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intake</w:t>
                  </w: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, kg/d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E38224" w14:textId="32F604EC" w:rsidR="00025D20" w:rsidRPr="00953360" w:rsidRDefault="00E36B86" w:rsidP="00025D20">
                  <w:pPr>
                    <w:tabs>
                      <w:tab w:val="decimal" w:pos="59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15.7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A0476E6" w14:textId="6D9D9667" w:rsidR="00025D20" w:rsidRPr="00953360" w:rsidRDefault="00E36B86" w:rsidP="00025D20">
                  <w:pPr>
                    <w:tabs>
                      <w:tab w:val="decimal" w:pos="602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14.8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520488" w14:textId="7F35E7AD" w:rsidR="00025D20" w:rsidRPr="00953360" w:rsidRDefault="00E36B8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15.5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84D157" w14:textId="505A9414" w:rsidR="00025D20" w:rsidRPr="00953360" w:rsidRDefault="00E36B8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0.58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B5FBAB7" w14:textId="5198A357" w:rsidR="00025D20" w:rsidRPr="00953360" w:rsidRDefault="00E36B86" w:rsidP="00025D20">
                  <w:pPr>
                    <w:tabs>
                      <w:tab w:val="decimal" w:pos="457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0.280</w:t>
                  </w:r>
                </w:p>
              </w:tc>
            </w:tr>
            <w:tr w:rsidR="00025D20" w:rsidRPr="00953360" w14:paraId="5C7AC0C5" w14:textId="77777777" w:rsidTr="00953360">
              <w:trPr>
                <w:trHeight w:val="201"/>
              </w:trPr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3D6C17" w14:textId="4D081B86" w:rsidR="00025D20" w:rsidRPr="00953360" w:rsidRDefault="00025D20" w:rsidP="00025D20">
                  <w:pPr>
                    <w:ind w:firstLine="345"/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Total DM</w:t>
                  </w:r>
                  <w:r w:rsidR="00B8026F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intake</w:t>
                  </w: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, kg/d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3688306" w14:textId="6971318D" w:rsidR="00025D20" w:rsidRPr="00953360" w:rsidRDefault="00E36B86" w:rsidP="00025D20">
                  <w:pPr>
                    <w:tabs>
                      <w:tab w:val="decimal" w:pos="59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22.8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B7777C3" w14:textId="2BA97779" w:rsidR="00025D20" w:rsidRPr="00953360" w:rsidRDefault="00E36B86" w:rsidP="00025D20">
                  <w:pPr>
                    <w:tabs>
                      <w:tab w:val="decimal" w:pos="602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21.9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3A53F8" w14:textId="79CC2FF5" w:rsidR="00025D20" w:rsidRPr="00953360" w:rsidRDefault="00E36B8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22.6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5B45304" w14:textId="69F07839" w:rsidR="00025D20" w:rsidRPr="00953360" w:rsidRDefault="00E36B8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0.58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1E1BF75" w14:textId="2462F5E3" w:rsidR="00025D20" w:rsidRPr="00953360" w:rsidRDefault="00E36B86" w:rsidP="00025D20">
                  <w:pPr>
                    <w:tabs>
                      <w:tab w:val="decimal" w:pos="457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0.280</w:t>
                  </w:r>
                </w:p>
              </w:tc>
            </w:tr>
            <w:tr w:rsidR="00953360" w:rsidRPr="00953360" w14:paraId="2C2E9C2A" w14:textId="77777777" w:rsidTr="00953360">
              <w:trPr>
                <w:trHeight w:val="201"/>
              </w:trPr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4BBF53" w14:textId="77777777" w:rsidR="00953360" w:rsidRPr="00953360" w:rsidRDefault="00953360" w:rsidP="00025D20">
                  <w:pPr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N intake and output, g/d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F7A14E" w14:textId="77777777" w:rsidR="00953360" w:rsidRPr="00953360" w:rsidRDefault="00953360" w:rsidP="00025D20">
                  <w:pPr>
                    <w:tabs>
                      <w:tab w:val="decimal" w:pos="59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F3F21E" w14:textId="77777777" w:rsidR="00953360" w:rsidRPr="00953360" w:rsidRDefault="00953360" w:rsidP="00025D20">
                  <w:pPr>
                    <w:tabs>
                      <w:tab w:val="decimal" w:pos="602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9C5F5C" w14:textId="77777777" w:rsidR="00953360" w:rsidRPr="00953360" w:rsidRDefault="00953360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E25E5F" w14:textId="77777777" w:rsidR="00953360" w:rsidRPr="00953360" w:rsidRDefault="00953360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4B48A4" w14:textId="77777777" w:rsidR="00953360" w:rsidRPr="00953360" w:rsidRDefault="00953360" w:rsidP="00025D20">
                  <w:pPr>
                    <w:tabs>
                      <w:tab w:val="decimal" w:pos="457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3360" w:rsidRPr="00953360" w14:paraId="5A576BF2" w14:textId="77777777" w:rsidTr="00025D20">
              <w:trPr>
                <w:trHeight w:val="191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29AFE8" w14:textId="77777777" w:rsidR="00953360" w:rsidRPr="00953360" w:rsidRDefault="00953360" w:rsidP="00025D20">
                  <w:pPr>
                    <w:jc w:val="right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4E170C" w14:textId="77777777" w:rsidR="00953360" w:rsidRPr="00953360" w:rsidRDefault="00953360" w:rsidP="00025D20">
                  <w:pPr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N intake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D6F0F0" w14:textId="55AC2179" w:rsidR="00953360" w:rsidRPr="00953360" w:rsidRDefault="00E36B86" w:rsidP="00025D20">
                  <w:pPr>
                    <w:tabs>
                      <w:tab w:val="decimal" w:pos="59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584</w:t>
                  </w:r>
                  <w:r w:rsidRPr="00331BED">
                    <w:rPr>
                      <w:color w:val="000000" w:themeColor="text1"/>
                      <w:sz w:val="20"/>
                      <w:szCs w:val="20"/>
                      <w:vertAlign w:val="superscript"/>
                      <w:lang w:eastAsia="en-GB"/>
                    </w:rPr>
                    <w:t>b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E60F44" w14:textId="13664685" w:rsidR="00953360" w:rsidRPr="00953360" w:rsidRDefault="00E36B86" w:rsidP="00025D20">
                  <w:pPr>
                    <w:tabs>
                      <w:tab w:val="decimal" w:pos="602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540</w:t>
                  </w:r>
                  <w:r w:rsidRPr="00331BED">
                    <w:rPr>
                      <w:color w:val="000000" w:themeColor="text1"/>
                      <w:sz w:val="20"/>
                      <w:szCs w:val="20"/>
                      <w:vertAlign w:val="superscript"/>
                      <w:lang w:eastAsia="en-GB"/>
                    </w:rPr>
                    <w:t>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E462B8" w14:textId="5EF90CA0" w:rsidR="00953360" w:rsidRPr="00953360" w:rsidRDefault="00E36B8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541</w:t>
                  </w:r>
                  <w:r w:rsidRPr="00331BED">
                    <w:rPr>
                      <w:color w:val="000000" w:themeColor="text1"/>
                      <w:sz w:val="20"/>
                      <w:szCs w:val="20"/>
                      <w:vertAlign w:val="superscript"/>
                      <w:lang w:eastAsia="en-GB"/>
                    </w:rPr>
                    <w:t>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427A928" w14:textId="77CF73B7" w:rsidR="00953360" w:rsidRPr="00953360" w:rsidRDefault="00E36B8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12.8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911ECE" w14:textId="07B8FE1B" w:rsidR="00953360" w:rsidRPr="00953360" w:rsidRDefault="00E36B86" w:rsidP="00025D20">
                  <w:pPr>
                    <w:tabs>
                      <w:tab w:val="decimal" w:pos="457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0.005</w:t>
                  </w:r>
                </w:p>
              </w:tc>
            </w:tr>
            <w:tr w:rsidR="00953360" w:rsidRPr="00953360" w14:paraId="31672288" w14:textId="77777777" w:rsidTr="00025D20">
              <w:trPr>
                <w:trHeight w:val="61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D51C12" w14:textId="77777777" w:rsidR="00953360" w:rsidRPr="00953360" w:rsidRDefault="00953360" w:rsidP="00025D20">
                  <w:pPr>
                    <w:jc w:val="right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A2DF32" w14:textId="7BBB0475" w:rsidR="00953360" w:rsidRPr="00953360" w:rsidRDefault="00953360" w:rsidP="00025D20">
                  <w:pPr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F</w:t>
                  </w:r>
                  <w:r w:rsidR="00025D2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a</w:t>
                  </w: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ecal N output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B592FEC" w14:textId="018B126C" w:rsidR="00953360" w:rsidRPr="00953360" w:rsidRDefault="00E36B86" w:rsidP="00025D20">
                  <w:pPr>
                    <w:tabs>
                      <w:tab w:val="decimal" w:pos="59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171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7903165" w14:textId="460DB2FC" w:rsidR="00953360" w:rsidRPr="00953360" w:rsidRDefault="00E36B86" w:rsidP="00025D20">
                  <w:pPr>
                    <w:tabs>
                      <w:tab w:val="decimal" w:pos="602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168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C3E688" w14:textId="6CB80204" w:rsidR="00953360" w:rsidRPr="00953360" w:rsidRDefault="00E36B8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175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D414458" w14:textId="473E7783" w:rsidR="00953360" w:rsidRPr="00953360" w:rsidRDefault="00E36B8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8.2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E7A9BA" w14:textId="2FBE200F" w:rsidR="00953360" w:rsidRPr="00953360" w:rsidRDefault="00E36B86" w:rsidP="00025D20">
                  <w:pPr>
                    <w:tabs>
                      <w:tab w:val="decimal" w:pos="457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0.697</w:t>
                  </w:r>
                </w:p>
              </w:tc>
            </w:tr>
            <w:tr w:rsidR="00953360" w:rsidRPr="00953360" w14:paraId="6ABC3FB0" w14:textId="77777777" w:rsidTr="00025D20">
              <w:trPr>
                <w:trHeight w:val="61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A48CDA" w14:textId="77777777" w:rsidR="00953360" w:rsidRPr="00953360" w:rsidRDefault="00953360" w:rsidP="00025D20">
                  <w:pPr>
                    <w:jc w:val="right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BC720B" w14:textId="77777777" w:rsidR="00953360" w:rsidRPr="00953360" w:rsidRDefault="00953360" w:rsidP="00025D20">
                  <w:pPr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Urinary N output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B6FEA95" w14:textId="431EBA50" w:rsidR="00953360" w:rsidRPr="00953360" w:rsidRDefault="00E36B86" w:rsidP="00025D20">
                  <w:pPr>
                    <w:tabs>
                      <w:tab w:val="decimal" w:pos="59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168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87471F" w14:textId="247939EB" w:rsidR="00953360" w:rsidRPr="00953360" w:rsidRDefault="00E36B86" w:rsidP="00025D20">
                  <w:pPr>
                    <w:tabs>
                      <w:tab w:val="decimal" w:pos="602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132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C046CE" w14:textId="4FF0C591" w:rsidR="00953360" w:rsidRPr="00953360" w:rsidRDefault="00E36B8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146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CFBA19" w14:textId="17CDFC79" w:rsidR="00953360" w:rsidRPr="00953360" w:rsidRDefault="00E36B8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20.9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233530" w14:textId="20C1E40D" w:rsidR="00953360" w:rsidRPr="00953360" w:rsidRDefault="00E36B86" w:rsidP="00025D20">
                  <w:pPr>
                    <w:tabs>
                      <w:tab w:val="decimal" w:pos="457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0.262</w:t>
                  </w:r>
                </w:p>
              </w:tc>
            </w:tr>
            <w:tr w:rsidR="00953360" w:rsidRPr="00953360" w14:paraId="447DD4BF" w14:textId="77777777" w:rsidTr="00025D20">
              <w:trPr>
                <w:trHeight w:val="73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E42731" w14:textId="77777777" w:rsidR="00953360" w:rsidRPr="00953360" w:rsidRDefault="00953360" w:rsidP="00025D20">
                  <w:pPr>
                    <w:jc w:val="right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C05DFE" w14:textId="77777777" w:rsidR="00953360" w:rsidRPr="00953360" w:rsidRDefault="00953360" w:rsidP="00025D20">
                  <w:pPr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Manure N output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E28EED" w14:textId="0B7F6BBC" w:rsidR="00953360" w:rsidRPr="00953360" w:rsidRDefault="00E36B86" w:rsidP="00025D20">
                  <w:pPr>
                    <w:tabs>
                      <w:tab w:val="decimal" w:pos="59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339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191CFAD" w14:textId="3E9EAD1F" w:rsidR="00953360" w:rsidRPr="00953360" w:rsidRDefault="00E36B86" w:rsidP="00025D20">
                  <w:pPr>
                    <w:tabs>
                      <w:tab w:val="decimal" w:pos="602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300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D8CE74" w14:textId="7657E607" w:rsidR="00953360" w:rsidRPr="00953360" w:rsidRDefault="00E36B8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322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22E89C" w14:textId="604DC5E8" w:rsidR="00953360" w:rsidRPr="00953360" w:rsidRDefault="00E36B8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17.8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42A342" w14:textId="50DE8A0E" w:rsidR="00953360" w:rsidRPr="00953360" w:rsidRDefault="00E36B86" w:rsidP="00025D20">
                  <w:pPr>
                    <w:tabs>
                      <w:tab w:val="decimal" w:pos="457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0.130</w:t>
                  </w:r>
                </w:p>
              </w:tc>
            </w:tr>
            <w:tr w:rsidR="00953360" w:rsidRPr="00953360" w14:paraId="203C1B41" w14:textId="77777777" w:rsidTr="00953360">
              <w:trPr>
                <w:trHeight w:val="61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A577EF3" w14:textId="77777777" w:rsidR="00953360" w:rsidRPr="00953360" w:rsidRDefault="00953360" w:rsidP="00025D20">
                  <w:pPr>
                    <w:jc w:val="right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AE08C4" w14:textId="77777777" w:rsidR="00953360" w:rsidRPr="00953360" w:rsidRDefault="00953360" w:rsidP="00025D20">
                  <w:pPr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Milk N output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9334E6" w14:textId="0E46910A" w:rsidR="00953360" w:rsidRPr="00953360" w:rsidRDefault="00E36B86" w:rsidP="00025D20">
                  <w:pPr>
                    <w:tabs>
                      <w:tab w:val="decimal" w:pos="59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151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E613266" w14:textId="50842334" w:rsidR="00953360" w:rsidRPr="00953360" w:rsidRDefault="00E36B86" w:rsidP="00025D20">
                  <w:pPr>
                    <w:tabs>
                      <w:tab w:val="decimal" w:pos="602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154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D73A8A" w14:textId="0BBC4A75" w:rsidR="00953360" w:rsidRPr="00953360" w:rsidRDefault="00E36B8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156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A1CA676" w14:textId="5B2C07C2" w:rsidR="00953360" w:rsidRPr="00953360" w:rsidRDefault="00E36B8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6.08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82AE264" w14:textId="53D45DC4" w:rsidR="00953360" w:rsidRPr="00953360" w:rsidRDefault="00E36B86" w:rsidP="00025D20">
                  <w:pPr>
                    <w:tabs>
                      <w:tab w:val="decimal" w:pos="457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0.722</w:t>
                  </w:r>
                </w:p>
              </w:tc>
            </w:tr>
            <w:tr w:rsidR="00953360" w:rsidRPr="00953360" w14:paraId="427F32A1" w14:textId="77777777" w:rsidTr="00025D20">
              <w:trPr>
                <w:trHeight w:val="61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EE4915" w14:textId="77777777" w:rsidR="00953360" w:rsidRPr="00953360" w:rsidRDefault="00953360" w:rsidP="00025D20">
                  <w:pPr>
                    <w:jc w:val="right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767483" w14:textId="77777777" w:rsidR="00953360" w:rsidRPr="00953360" w:rsidRDefault="00953360" w:rsidP="00025D20">
                  <w:pPr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Retained N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7607CD1" w14:textId="1D93686B" w:rsidR="00953360" w:rsidRPr="00953360" w:rsidRDefault="00E36B86" w:rsidP="00025D20">
                  <w:pPr>
                    <w:tabs>
                      <w:tab w:val="decimal" w:pos="59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94.6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BA10C62" w14:textId="5D39F415" w:rsidR="00953360" w:rsidRPr="00953360" w:rsidRDefault="00E36B86" w:rsidP="00025D20">
                  <w:pPr>
                    <w:tabs>
                      <w:tab w:val="decimal" w:pos="602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85.6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64D6C2" w14:textId="0A9E4CA2" w:rsidR="00953360" w:rsidRPr="00953360" w:rsidRDefault="00E36B8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63.5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4D70D08" w14:textId="0A6F0355" w:rsidR="00953360" w:rsidRPr="00953360" w:rsidRDefault="00E36B8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16.88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1B9711" w14:textId="3E97ABD7" w:rsidR="00953360" w:rsidRPr="00953360" w:rsidRDefault="00E36B86" w:rsidP="00025D20">
                  <w:pPr>
                    <w:tabs>
                      <w:tab w:val="decimal" w:pos="457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0.202</w:t>
                  </w:r>
                </w:p>
              </w:tc>
            </w:tr>
            <w:tr w:rsidR="00953360" w:rsidRPr="00953360" w14:paraId="6FA5AEC1" w14:textId="77777777" w:rsidTr="00025D20">
              <w:trPr>
                <w:trHeight w:val="61"/>
              </w:trPr>
              <w:tc>
                <w:tcPr>
                  <w:tcW w:w="34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C620F5" w14:textId="77777777" w:rsidR="00953360" w:rsidRPr="00953360" w:rsidRDefault="00953360" w:rsidP="00025D20">
                  <w:pPr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N utilization efficiency, g/g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FEB2201" w14:textId="77777777" w:rsidR="00953360" w:rsidRPr="00953360" w:rsidRDefault="00953360" w:rsidP="00025D20">
                  <w:pPr>
                    <w:tabs>
                      <w:tab w:val="decimal" w:pos="59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A8479BF" w14:textId="77777777" w:rsidR="00953360" w:rsidRPr="00953360" w:rsidRDefault="00953360" w:rsidP="00025D20">
                  <w:pPr>
                    <w:tabs>
                      <w:tab w:val="decimal" w:pos="602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3F781E" w14:textId="77777777" w:rsidR="00953360" w:rsidRPr="00953360" w:rsidRDefault="00953360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69783FB" w14:textId="77777777" w:rsidR="00953360" w:rsidRPr="00953360" w:rsidRDefault="00953360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AF0D7F" w14:textId="77777777" w:rsidR="00953360" w:rsidRPr="00953360" w:rsidRDefault="00953360" w:rsidP="00025D20">
                  <w:pPr>
                    <w:tabs>
                      <w:tab w:val="decimal" w:pos="457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953360" w:rsidRPr="00953360" w14:paraId="09BFC6F0" w14:textId="77777777" w:rsidTr="00E36B86">
              <w:trPr>
                <w:trHeight w:val="61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2E186D" w14:textId="77777777" w:rsidR="00953360" w:rsidRPr="00953360" w:rsidRDefault="00953360" w:rsidP="00025D20">
                  <w:pPr>
                    <w:jc w:val="right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6BE03D" w14:textId="4D1AC414" w:rsidR="00953360" w:rsidRPr="00953360" w:rsidRDefault="00953360" w:rsidP="00025D20">
                  <w:pPr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F</w:t>
                  </w:r>
                  <w:r w:rsidR="00025D2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a</w:t>
                  </w: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ecal </w:t>
                  </w:r>
                  <w:proofErr w:type="gramStart"/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N</w:t>
                  </w:r>
                  <w:r w:rsidR="00AF674C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:</w:t>
                  </w:r>
                  <w:proofErr w:type="gramEnd"/>
                  <w:r w:rsidR="00AF674C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N intake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E8691C7" w14:textId="005927B9" w:rsidR="00953360" w:rsidRPr="00953360" w:rsidRDefault="00A95F0C" w:rsidP="00025D20">
                  <w:pPr>
                    <w:tabs>
                      <w:tab w:val="decimal" w:pos="59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0.293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B933E74" w14:textId="560A41DC" w:rsidR="00953360" w:rsidRPr="00953360" w:rsidRDefault="00A95F0C" w:rsidP="00025D20">
                  <w:pPr>
                    <w:tabs>
                      <w:tab w:val="decimal" w:pos="602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0.311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CFED10" w14:textId="5A68BF79" w:rsidR="00953360" w:rsidRPr="00953360" w:rsidRDefault="00A95F0C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0.323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9CC0D2" w14:textId="33185827" w:rsidR="00953360" w:rsidRPr="00953360" w:rsidRDefault="00A95F0C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0.0089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9E1606" w14:textId="6B9730E7" w:rsidR="00953360" w:rsidRPr="00953360" w:rsidRDefault="00A95F0C" w:rsidP="00025D20">
                  <w:pPr>
                    <w:tabs>
                      <w:tab w:val="decimal" w:pos="457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0.086</w:t>
                  </w:r>
                </w:p>
              </w:tc>
            </w:tr>
            <w:tr w:rsidR="00953360" w:rsidRPr="00953360" w14:paraId="3FB421B1" w14:textId="77777777" w:rsidTr="00E36B86">
              <w:trPr>
                <w:trHeight w:val="61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3FA81A" w14:textId="77777777" w:rsidR="00953360" w:rsidRPr="00953360" w:rsidRDefault="00953360" w:rsidP="00025D20">
                  <w:pPr>
                    <w:jc w:val="right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20A8CA" w14:textId="53B20B9E" w:rsidR="00953360" w:rsidRPr="00953360" w:rsidRDefault="00953360" w:rsidP="00025D20">
                  <w:pPr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Urinary </w:t>
                  </w:r>
                  <w:proofErr w:type="gramStart"/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N</w:t>
                  </w:r>
                  <w:r w:rsidR="00AF674C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:</w:t>
                  </w:r>
                  <w:proofErr w:type="gramEnd"/>
                  <w:r w:rsidR="00AF674C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N intake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5F821D4" w14:textId="02A44CF7" w:rsidR="00953360" w:rsidRPr="00953360" w:rsidRDefault="00A95F0C" w:rsidP="00025D20">
                  <w:pPr>
                    <w:tabs>
                      <w:tab w:val="decimal" w:pos="59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0.286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3690B2" w14:textId="6FB46C84" w:rsidR="00953360" w:rsidRPr="00953360" w:rsidRDefault="00A95F0C" w:rsidP="00025D20">
                  <w:pPr>
                    <w:tabs>
                      <w:tab w:val="decimal" w:pos="602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0.245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59A580" w14:textId="7B459925" w:rsidR="00953360" w:rsidRPr="00953360" w:rsidRDefault="00A95F0C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0.273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617B0AB" w14:textId="6AEF144E" w:rsidR="00953360" w:rsidRPr="00953360" w:rsidRDefault="00A95F0C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0.0368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E14F82" w14:textId="36D1BD56" w:rsidR="00953360" w:rsidRPr="00953360" w:rsidRDefault="00A95F0C" w:rsidP="00025D20">
                  <w:pPr>
                    <w:tabs>
                      <w:tab w:val="decimal" w:pos="457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0.537</w:t>
                  </w:r>
                </w:p>
              </w:tc>
            </w:tr>
            <w:tr w:rsidR="00953360" w:rsidRPr="00953360" w14:paraId="099171CD" w14:textId="77777777" w:rsidTr="00E36B86">
              <w:trPr>
                <w:trHeight w:val="61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7D599D" w14:textId="77777777" w:rsidR="00953360" w:rsidRPr="00953360" w:rsidRDefault="00953360" w:rsidP="00025D20">
                  <w:pPr>
                    <w:jc w:val="right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E3E5D3" w14:textId="411AE629" w:rsidR="00953360" w:rsidRPr="00953360" w:rsidRDefault="00953360" w:rsidP="00025D20">
                  <w:pPr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Manure </w:t>
                  </w:r>
                  <w:proofErr w:type="gramStart"/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N</w:t>
                  </w:r>
                  <w:r w:rsidR="00AF674C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:</w:t>
                  </w:r>
                  <w:proofErr w:type="gramEnd"/>
                  <w:r w:rsidR="00AF674C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N intake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4F4D15B" w14:textId="7C18F194" w:rsidR="00953360" w:rsidRPr="00953360" w:rsidRDefault="001A0FC6" w:rsidP="00025D20">
                  <w:pPr>
                    <w:tabs>
                      <w:tab w:val="decimal" w:pos="59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0.579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1053B9" w14:textId="437F15C9" w:rsidR="00953360" w:rsidRPr="00953360" w:rsidRDefault="001A0FC6" w:rsidP="00025D20">
                  <w:pPr>
                    <w:tabs>
                      <w:tab w:val="decimal" w:pos="602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0.556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689483" w14:textId="5B1BED19" w:rsidR="00953360" w:rsidRPr="00953360" w:rsidRDefault="001A0FC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0.596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4904113" w14:textId="21C09CA3" w:rsidR="00953360" w:rsidRPr="00953360" w:rsidRDefault="001A0FC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0.0299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D1D56A3" w14:textId="02C89331" w:rsidR="00953360" w:rsidRPr="00953360" w:rsidRDefault="001A0FC6" w:rsidP="00025D20">
                  <w:pPr>
                    <w:tabs>
                      <w:tab w:val="decimal" w:pos="457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0.423</w:t>
                  </w:r>
                </w:p>
              </w:tc>
            </w:tr>
            <w:tr w:rsidR="00953360" w:rsidRPr="00953360" w14:paraId="619E567B" w14:textId="77777777" w:rsidTr="00953360">
              <w:trPr>
                <w:trHeight w:val="61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C77CFF" w14:textId="77777777" w:rsidR="00953360" w:rsidRPr="00953360" w:rsidRDefault="00953360" w:rsidP="00025D20">
                  <w:pPr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F130CF8" w14:textId="563CDF24" w:rsidR="00953360" w:rsidRPr="00953360" w:rsidRDefault="00953360" w:rsidP="00025D20">
                  <w:pPr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Milk </w:t>
                  </w:r>
                  <w:proofErr w:type="gramStart"/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N</w:t>
                  </w:r>
                  <w:r w:rsidR="00AF674C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:</w:t>
                  </w:r>
                  <w:proofErr w:type="gramEnd"/>
                  <w:r w:rsidR="00AF674C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N intake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8E540C3" w14:textId="64298D0E" w:rsidR="00953360" w:rsidRPr="00953360" w:rsidRDefault="001A0FC6" w:rsidP="00025D20">
                  <w:pPr>
                    <w:tabs>
                      <w:tab w:val="decimal" w:pos="59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0.259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DF25B4C" w14:textId="05628B6A" w:rsidR="00953360" w:rsidRPr="00953360" w:rsidRDefault="001A0FC6" w:rsidP="00025D20">
                  <w:pPr>
                    <w:tabs>
                      <w:tab w:val="decimal" w:pos="602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0.285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A54002" w14:textId="5F9CEC31" w:rsidR="00953360" w:rsidRPr="00953360" w:rsidRDefault="001A0FC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0.288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32D050" w14:textId="44CE5043" w:rsidR="00953360" w:rsidRPr="00953360" w:rsidRDefault="001A0FC6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0.0130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6E9030" w14:textId="451FA0E6" w:rsidR="00953360" w:rsidRPr="00953360" w:rsidRDefault="001A0FC6" w:rsidP="00025D20">
                  <w:pPr>
                    <w:tabs>
                      <w:tab w:val="decimal" w:pos="457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0.073</w:t>
                  </w:r>
                </w:p>
              </w:tc>
            </w:tr>
            <w:tr w:rsidR="00953360" w:rsidRPr="00953360" w14:paraId="7B57C43C" w14:textId="77777777" w:rsidTr="00953360">
              <w:trPr>
                <w:trHeight w:val="61"/>
              </w:trPr>
              <w:tc>
                <w:tcPr>
                  <w:tcW w:w="3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0D92FC4" w14:textId="77777777" w:rsidR="00953360" w:rsidRPr="00953360" w:rsidRDefault="00953360" w:rsidP="00025D20">
                  <w:pPr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70A5CAE" w14:textId="2F16532A" w:rsidR="00953360" w:rsidRPr="00953360" w:rsidRDefault="00953360" w:rsidP="00025D20">
                  <w:pPr>
                    <w:jc w:val="both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Urinary </w:t>
                  </w:r>
                  <w:proofErr w:type="gramStart"/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N</w:t>
                  </w:r>
                  <w:r w:rsidR="00AF674C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:</w:t>
                  </w:r>
                  <w:proofErr w:type="gramEnd"/>
                  <w:r w:rsidR="00AF674C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 xml:space="preserve"> </w:t>
                  </w:r>
                  <w:r w:rsidRPr="00953360"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Manure N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39236F5" w14:textId="155AAA02" w:rsidR="00953360" w:rsidRPr="00953360" w:rsidRDefault="002F572D" w:rsidP="00025D20">
                  <w:pPr>
                    <w:tabs>
                      <w:tab w:val="decimal" w:pos="59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0.486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B53343E" w14:textId="10E5557C" w:rsidR="00953360" w:rsidRPr="00953360" w:rsidRDefault="002F572D" w:rsidP="00025D20">
                  <w:pPr>
                    <w:tabs>
                      <w:tab w:val="decimal" w:pos="602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0.440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207DCD5" w14:textId="066A6562" w:rsidR="00953360" w:rsidRPr="00953360" w:rsidRDefault="002F572D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0.453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4E4746B" w14:textId="42F5A2C0" w:rsidR="00953360" w:rsidRPr="00953360" w:rsidRDefault="002F572D" w:rsidP="00025D20">
                  <w:pPr>
                    <w:tabs>
                      <w:tab w:val="decimal" w:pos="256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0.0413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B53079C" w14:textId="1E51A512" w:rsidR="00953360" w:rsidRPr="00953360" w:rsidRDefault="00BF508E" w:rsidP="00025D20">
                  <w:pPr>
                    <w:tabs>
                      <w:tab w:val="decimal" w:pos="457"/>
                    </w:tabs>
                    <w:jc w:val="center"/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en-GB"/>
                    </w:rPr>
                    <w:t>0.542</w:t>
                  </w:r>
                </w:p>
              </w:tc>
            </w:tr>
          </w:tbl>
          <w:p w14:paraId="6AECAA48" w14:textId="77777777" w:rsidR="00B8026F" w:rsidRDefault="00B8026F" w:rsidP="006255B5">
            <w:pPr>
              <w:ind w:left="37"/>
              <w:rPr>
                <w:b/>
                <w:sz w:val="20"/>
                <w:szCs w:val="20"/>
              </w:rPr>
            </w:pPr>
          </w:p>
          <w:p w14:paraId="32E5C741" w14:textId="6716AFDD" w:rsidR="006255B5" w:rsidRDefault="001A3F3B" w:rsidP="006255B5">
            <w:pPr>
              <w:ind w:left="3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Conclusions</w:t>
            </w:r>
            <w:r w:rsidR="00FA2783">
              <w:rPr>
                <w:sz w:val="20"/>
                <w:szCs w:val="20"/>
              </w:rPr>
              <w:t xml:space="preserve"> </w:t>
            </w:r>
            <w:r w:rsidR="00A43AAA">
              <w:rPr>
                <w:sz w:val="20"/>
                <w:szCs w:val="20"/>
              </w:rPr>
              <w:t>I</w:t>
            </w:r>
            <w:r w:rsidR="002B1843">
              <w:rPr>
                <w:sz w:val="20"/>
                <w:szCs w:val="20"/>
              </w:rPr>
              <w:t>nclusion</w:t>
            </w:r>
            <w:r w:rsidR="00A43AAA">
              <w:rPr>
                <w:sz w:val="20"/>
                <w:szCs w:val="20"/>
              </w:rPr>
              <w:t xml:space="preserve"> of plantain in ryegrass swards</w:t>
            </w:r>
            <w:r w:rsidR="002B1843">
              <w:rPr>
                <w:sz w:val="20"/>
                <w:szCs w:val="20"/>
              </w:rPr>
              <w:t xml:space="preserve"> </w:t>
            </w:r>
            <w:r w:rsidR="000D3880">
              <w:rPr>
                <w:sz w:val="20"/>
                <w:szCs w:val="20"/>
              </w:rPr>
              <w:t xml:space="preserve">significantly reduced N intake, but had no effects on feed intake, milk yield or N </w:t>
            </w:r>
            <w:r w:rsidR="002670CB">
              <w:rPr>
                <w:sz w:val="20"/>
                <w:szCs w:val="20"/>
              </w:rPr>
              <w:t xml:space="preserve">partitioning </w:t>
            </w:r>
            <w:r w:rsidR="000D3880">
              <w:rPr>
                <w:sz w:val="20"/>
                <w:szCs w:val="20"/>
              </w:rPr>
              <w:t xml:space="preserve">rates in faeces, </w:t>
            </w:r>
            <w:proofErr w:type="gramStart"/>
            <w:r w:rsidR="000D3880">
              <w:rPr>
                <w:sz w:val="20"/>
                <w:szCs w:val="20"/>
              </w:rPr>
              <w:t>urine</w:t>
            </w:r>
            <w:proofErr w:type="gramEnd"/>
            <w:r w:rsidR="000D3880">
              <w:rPr>
                <w:sz w:val="20"/>
                <w:szCs w:val="20"/>
              </w:rPr>
              <w:t xml:space="preserve"> or milk</w:t>
            </w:r>
            <w:r w:rsidR="00A43AAA">
              <w:rPr>
                <w:sz w:val="20"/>
                <w:szCs w:val="20"/>
              </w:rPr>
              <w:t xml:space="preserve"> in dairy cow</w:t>
            </w:r>
            <w:r w:rsidR="000D3880">
              <w:rPr>
                <w:sz w:val="20"/>
                <w:szCs w:val="20"/>
              </w:rPr>
              <w:t>s</w:t>
            </w:r>
            <w:r w:rsidR="00A43AAA">
              <w:rPr>
                <w:sz w:val="20"/>
                <w:szCs w:val="20"/>
              </w:rPr>
              <w:t>.</w:t>
            </w:r>
            <w:r w:rsidR="005B4FEF" w:rsidRPr="005B4FEF">
              <w:rPr>
                <w:sz w:val="20"/>
                <w:szCs w:val="20"/>
              </w:rPr>
              <w:t xml:space="preserve"> </w:t>
            </w:r>
          </w:p>
          <w:p w14:paraId="5CF511A2" w14:textId="77777777" w:rsidR="006255B5" w:rsidRPr="00D41726" w:rsidRDefault="006255B5" w:rsidP="006255B5">
            <w:pPr>
              <w:ind w:left="37"/>
              <w:rPr>
                <w:b/>
                <w:sz w:val="8"/>
                <w:szCs w:val="18"/>
              </w:rPr>
            </w:pPr>
          </w:p>
          <w:p w14:paraId="3C514205" w14:textId="65D7549A" w:rsidR="006255B5" w:rsidRDefault="001A3F3B" w:rsidP="00AD2D12">
            <w:pPr>
              <w:ind w:left="3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Acknowledgments</w:t>
            </w:r>
            <w:r w:rsidR="00973066">
              <w:t xml:space="preserve"> </w:t>
            </w:r>
            <w:r w:rsidR="00D92CD7" w:rsidRPr="0062478E">
              <w:rPr>
                <w:sz w:val="20"/>
                <w:szCs w:val="20"/>
              </w:rPr>
              <w:t>This project was funded by Department of Agriculture, Enviro</w:t>
            </w:r>
            <w:r w:rsidR="00D92CD7">
              <w:rPr>
                <w:sz w:val="20"/>
                <w:szCs w:val="20"/>
              </w:rPr>
              <w:t>nment and Rural Affairs</w:t>
            </w:r>
            <w:r w:rsidR="002E5D0B">
              <w:rPr>
                <w:sz w:val="20"/>
                <w:szCs w:val="20"/>
              </w:rPr>
              <w:t>.</w:t>
            </w:r>
          </w:p>
          <w:p w14:paraId="067E0BAB" w14:textId="77777777" w:rsidR="00D92CD7" w:rsidRPr="00D41726" w:rsidRDefault="00D92CD7" w:rsidP="00AD2D12">
            <w:pPr>
              <w:ind w:left="37"/>
              <w:rPr>
                <w:sz w:val="8"/>
                <w:szCs w:val="16"/>
              </w:rPr>
            </w:pPr>
          </w:p>
          <w:p w14:paraId="2D3AC286" w14:textId="468499F6" w:rsidR="001A3F3B" w:rsidRDefault="001A3F3B" w:rsidP="001A3F3B">
            <w:pPr>
              <w:ind w:left="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</w:t>
            </w:r>
            <w:r w:rsidR="0062478E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nces</w:t>
            </w:r>
          </w:p>
          <w:p w14:paraId="2B80968A" w14:textId="122CF818" w:rsidR="003C014D" w:rsidRPr="002C3463" w:rsidRDefault="00500972" w:rsidP="00FF27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0972">
              <w:rPr>
                <w:sz w:val="20"/>
                <w:szCs w:val="20"/>
              </w:rPr>
              <w:t>Navarrete, S.</w:t>
            </w:r>
            <w:r>
              <w:rPr>
                <w:sz w:val="20"/>
                <w:szCs w:val="20"/>
              </w:rPr>
              <w:t>,</w:t>
            </w:r>
            <w:r w:rsidRPr="00500972">
              <w:rPr>
                <w:sz w:val="20"/>
                <w:szCs w:val="20"/>
              </w:rPr>
              <w:t xml:space="preserve"> Rodriguez, M.</w:t>
            </w:r>
            <w:r>
              <w:rPr>
                <w:sz w:val="20"/>
                <w:szCs w:val="20"/>
              </w:rPr>
              <w:t>,</w:t>
            </w:r>
            <w:r w:rsidRPr="00500972">
              <w:rPr>
                <w:sz w:val="20"/>
                <w:szCs w:val="20"/>
              </w:rPr>
              <w:t xml:space="preserve"> Horne, D.</w:t>
            </w:r>
            <w:r>
              <w:rPr>
                <w:sz w:val="20"/>
                <w:szCs w:val="20"/>
              </w:rPr>
              <w:t>,</w:t>
            </w:r>
            <w:r w:rsidRPr="00500972">
              <w:rPr>
                <w:sz w:val="20"/>
                <w:szCs w:val="20"/>
              </w:rPr>
              <w:t xml:space="preserve"> Hanly, J.</w:t>
            </w:r>
            <w:r>
              <w:rPr>
                <w:sz w:val="20"/>
                <w:szCs w:val="20"/>
              </w:rPr>
              <w:t>,</w:t>
            </w:r>
            <w:r w:rsidRPr="00500972">
              <w:rPr>
                <w:sz w:val="20"/>
                <w:szCs w:val="20"/>
              </w:rPr>
              <w:t xml:space="preserve"> Hedley, M.</w:t>
            </w:r>
            <w:r>
              <w:rPr>
                <w:sz w:val="20"/>
                <w:szCs w:val="20"/>
              </w:rPr>
              <w:t xml:space="preserve"> and</w:t>
            </w:r>
            <w:r w:rsidRPr="00500972">
              <w:rPr>
                <w:sz w:val="20"/>
                <w:szCs w:val="20"/>
              </w:rPr>
              <w:t xml:space="preserve"> Kemp, P. </w:t>
            </w:r>
            <w:r>
              <w:rPr>
                <w:sz w:val="20"/>
                <w:szCs w:val="20"/>
              </w:rPr>
              <w:t>(2022)</w:t>
            </w:r>
            <w:r w:rsidRPr="00500972">
              <w:rPr>
                <w:sz w:val="20"/>
                <w:szCs w:val="20"/>
              </w:rPr>
              <w:t>. Animals</w:t>
            </w:r>
            <w:r>
              <w:rPr>
                <w:sz w:val="20"/>
                <w:szCs w:val="20"/>
              </w:rPr>
              <w:t>, 1</w:t>
            </w:r>
            <w:r w:rsidRPr="00500972">
              <w:rPr>
                <w:sz w:val="20"/>
                <w:szCs w:val="20"/>
              </w:rPr>
              <w:t>2(4):</w:t>
            </w:r>
            <w:r>
              <w:rPr>
                <w:sz w:val="20"/>
                <w:szCs w:val="20"/>
              </w:rPr>
              <w:t xml:space="preserve"> </w:t>
            </w:r>
            <w:r w:rsidRPr="00500972">
              <w:rPr>
                <w:sz w:val="20"/>
                <w:szCs w:val="20"/>
              </w:rPr>
              <w:t>469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BF96E5C" w14:textId="2C9240B1" w:rsidR="00631EB0" w:rsidRDefault="00631EB0" w:rsidP="0018687D"/>
    <w:sectPr w:rsidR="00631EB0" w:rsidSect="00E14333">
      <w:headerReference w:type="default" r:id="rId8"/>
      <w:pgSz w:w="11906" w:h="16838" w:code="9"/>
      <w:pgMar w:top="284" w:right="964" w:bottom="567" w:left="96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C7A0A" w14:textId="77777777" w:rsidR="00CA22E2" w:rsidRDefault="00CA22E2" w:rsidP="00E14333">
      <w:r>
        <w:separator/>
      </w:r>
    </w:p>
  </w:endnote>
  <w:endnote w:type="continuationSeparator" w:id="0">
    <w:p w14:paraId="5A0BC6FD" w14:textId="77777777" w:rsidR="00CA22E2" w:rsidRDefault="00CA22E2" w:rsidP="00E1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EAC1" w14:textId="77777777" w:rsidR="00CA22E2" w:rsidRDefault="00CA22E2" w:rsidP="00E14333">
      <w:r>
        <w:separator/>
      </w:r>
    </w:p>
  </w:footnote>
  <w:footnote w:type="continuationSeparator" w:id="0">
    <w:p w14:paraId="7BAEB49C" w14:textId="77777777" w:rsidR="00CA22E2" w:rsidRDefault="00CA22E2" w:rsidP="00E1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BFCC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DB49E8">
      <w:rPr>
        <w:color w:val="FF0000"/>
        <w:u w:val="single"/>
      </w:rPr>
      <w:t>I</w:t>
    </w:r>
    <w:r w:rsidRPr="000F31AE">
      <w:rPr>
        <w:color w:val="FF0000"/>
        <w:sz w:val="20"/>
        <w:szCs w:val="20"/>
        <w:u w:val="single"/>
      </w:rPr>
      <w:t>mportant notes</w:t>
    </w:r>
    <w:r w:rsidRPr="000F31AE">
      <w:rPr>
        <w:color w:val="FF0000"/>
        <w:sz w:val="20"/>
        <w:szCs w:val="20"/>
      </w:rPr>
      <w:t>:</w:t>
    </w:r>
  </w:p>
  <w:p w14:paraId="4079EF18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0F31AE">
      <w:rPr>
        <w:color w:val="FF0000"/>
        <w:sz w:val="20"/>
        <w:szCs w:val="20"/>
      </w:rPr>
      <w:t>Do NOT enter author and affiliation information on this document. You will be able to enter this information online when you submit the abstract.</w:t>
    </w:r>
  </w:p>
  <w:p w14:paraId="20D63A78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0F31AE">
      <w:rPr>
        <w:color w:val="FF0000"/>
        <w:sz w:val="20"/>
        <w:szCs w:val="20"/>
      </w:rPr>
      <w:t xml:space="preserve">Do NOT write outside the boxes. Any text or images outside the boxes </w:t>
    </w:r>
    <w:r w:rsidRPr="000F31AE">
      <w:rPr>
        <w:b/>
        <w:color w:val="FF0000"/>
        <w:sz w:val="20"/>
        <w:szCs w:val="20"/>
        <w:u w:val="single"/>
      </w:rPr>
      <w:t>will be deleted</w:t>
    </w:r>
    <w:r w:rsidRPr="000F31AE">
      <w:rPr>
        <w:color w:val="FF0000"/>
        <w:sz w:val="20"/>
        <w:szCs w:val="20"/>
      </w:rPr>
      <w:t>.</w:t>
    </w:r>
  </w:p>
  <w:p w14:paraId="558DE3C3" w14:textId="77777777" w:rsidR="00E14333" w:rsidRPr="000F31AE" w:rsidRDefault="00E14333" w:rsidP="00E14333">
    <w:pPr>
      <w:pStyle w:val="Header"/>
      <w:rPr>
        <w:color w:val="FF0000"/>
        <w:sz w:val="20"/>
        <w:szCs w:val="20"/>
      </w:rPr>
    </w:pPr>
    <w:r w:rsidRPr="000F31AE">
      <w:rPr>
        <w:color w:val="FF0000"/>
        <w:sz w:val="20"/>
        <w:szCs w:val="20"/>
      </w:rPr>
      <w:t xml:space="preserve">Do NOT alter the structure of this document. Simply enter your title and abstract in the </w:t>
    </w:r>
    <w:proofErr w:type="spellStart"/>
    <w:r w:rsidRPr="000F31AE">
      <w:rPr>
        <w:color w:val="FF0000"/>
        <w:sz w:val="20"/>
        <w:szCs w:val="20"/>
      </w:rPr>
      <w:t>gray</w:t>
    </w:r>
    <w:proofErr w:type="spellEnd"/>
    <w:r w:rsidRPr="000F31AE">
      <w:rPr>
        <w:color w:val="FF0000"/>
        <w:sz w:val="20"/>
        <w:szCs w:val="20"/>
      </w:rPr>
      <w:t xml:space="preserve"> boxes. The document will be automatically processed – if you alter its structure your submission will not be processed correctly.</w:t>
    </w:r>
  </w:p>
  <w:p w14:paraId="3F678555" w14:textId="77777777" w:rsidR="00E14333" w:rsidRDefault="00E143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1F68"/>
    <w:multiLevelType w:val="hybridMultilevel"/>
    <w:tmpl w:val="FBDE12AE"/>
    <w:lvl w:ilvl="0" w:tplc="167626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E817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41677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0DA92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5FA96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768E44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6ACCE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952104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D0A87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22A01"/>
    <w:multiLevelType w:val="hybridMultilevel"/>
    <w:tmpl w:val="01E6286C"/>
    <w:lvl w:ilvl="0" w:tplc="74287C40">
      <w:start w:val="3"/>
      <w:numFmt w:val="bullet"/>
      <w:lvlText w:val=""/>
      <w:lvlJc w:val="left"/>
      <w:pPr>
        <w:ind w:left="39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76CE1068"/>
    <w:multiLevelType w:val="hybridMultilevel"/>
    <w:tmpl w:val="5088ED86"/>
    <w:lvl w:ilvl="0" w:tplc="B952FD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482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4C3A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2CD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1200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3239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E82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B0E8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067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9614713">
    <w:abstractNumId w:val="2"/>
  </w:num>
  <w:num w:numId="2" w16cid:durableId="1134912003">
    <w:abstractNumId w:val="0"/>
  </w:num>
  <w:num w:numId="3" w16cid:durableId="111393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333"/>
    <w:rsid w:val="0000373E"/>
    <w:rsid w:val="000141BF"/>
    <w:rsid w:val="00017C7C"/>
    <w:rsid w:val="0002096C"/>
    <w:rsid w:val="00023E99"/>
    <w:rsid w:val="00025C53"/>
    <w:rsid w:val="00025D20"/>
    <w:rsid w:val="00027412"/>
    <w:rsid w:val="000306DE"/>
    <w:rsid w:val="00030CE2"/>
    <w:rsid w:val="00044BDB"/>
    <w:rsid w:val="00054EC1"/>
    <w:rsid w:val="0005535F"/>
    <w:rsid w:val="0005642A"/>
    <w:rsid w:val="00057287"/>
    <w:rsid w:val="00060112"/>
    <w:rsid w:val="00067D82"/>
    <w:rsid w:val="00070E58"/>
    <w:rsid w:val="00071B7B"/>
    <w:rsid w:val="000A6FB9"/>
    <w:rsid w:val="000B09D2"/>
    <w:rsid w:val="000B1E88"/>
    <w:rsid w:val="000B39DE"/>
    <w:rsid w:val="000B69D7"/>
    <w:rsid w:val="000C3920"/>
    <w:rsid w:val="000C5A54"/>
    <w:rsid w:val="000D3880"/>
    <w:rsid w:val="000E36EC"/>
    <w:rsid w:val="000E4FB3"/>
    <w:rsid w:val="000E73E4"/>
    <w:rsid w:val="000F1CBA"/>
    <w:rsid w:val="000F58D4"/>
    <w:rsid w:val="00101F3B"/>
    <w:rsid w:val="00110B17"/>
    <w:rsid w:val="001147C1"/>
    <w:rsid w:val="001416D4"/>
    <w:rsid w:val="00145941"/>
    <w:rsid w:val="00156EF6"/>
    <w:rsid w:val="0017176C"/>
    <w:rsid w:val="00177F4C"/>
    <w:rsid w:val="001804F3"/>
    <w:rsid w:val="00180698"/>
    <w:rsid w:val="001807C4"/>
    <w:rsid w:val="00183C81"/>
    <w:rsid w:val="00183DBD"/>
    <w:rsid w:val="0018687D"/>
    <w:rsid w:val="0019457E"/>
    <w:rsid w:val="00195178"/>
    <w:rsid w:val="00195279"/>
    <w:rsid w:val="001A0FC6"/>
    <w:rsid w:val="001A35E2"/>
    <w:rsid w:val="001A3E59"/>
    <w:rsid w:val="001A3F3B"/>
    <w:rsid w:val="001A497F"/>
    <w:rsid w:val="001A6611"/>
    <w:rsid w:val="001D0AE5"/>
    <w:rsid w:val="001D6CFF"/>
    <w:rsid w:val="001E0EA8"/>
    <w:rsid w:val="001E4B33"/>
    <w:rsid w:val="001E50A8"/>
    <w:rsid w:val="00213FBA"/>
    <w:rsid w:val="00220BE3"/>
    <w:rsid w:val="002468E6"/>
    <w:rsid w:val="002472BC"/>
    <w:rsid w:val="00260801"/>
    <w:rsid w:val="002630B4"/>
    <w:rsid w:val="00266C0E"/>
    <w:rsid w:val="002670CB"/>
    <w:rsid w:val="00270ABA"/>
    <w:rsid w:val="00270B9B"/>
    <w:rsid w:val="0027428D"/>
    <w:rsid w:val="00280F8B"/>
    <w:rsid w:val="00282159"/>
    <w:rsid w:val="002832FB"/>
    <w:rsid w:val="0028447F"/>
    <w:rsid w:val="002844A0"/>
    <w:rsid w:val="002A6ED8"/>
    <w:rsid w:val="002B0331"/>
    <w:rsid w:val="002B1843"/>
    <w:rsid w:val="002B2556"/>
    <w:rsid w:val="002B3660"/>
    <w:rsid w:val="002B584C"/>
    <w:rsid w:val="002C1940"/>
    <w:rsid w:val="002C340D"/>
    <w:rsid w:val="002C3463"/>
    <w:rsid w:val="002C73D2"/>
    <w:rsid w:val="002D6391"/>
    <w:rsid w:val="002E268D"/>
    <w:rsid w:val="002E5D0B"/>
    <w:rsid w:val="002F54EE"/>
    <w:rsid w:val="002F572D"/>
    <w:rsid w:val="002F68A3"/>
    <w:rsid w:val="002F6ECE"/>
    <w:rsid w:val="002F7164"/>
    <w:rsid w:val="0030227A"/>
    <w:rsid w:val="00310EA8"/>
    <w:rsid w:val="003166DF"/>
    <w:rsid w:val="00321211"/>
    <w:rsid w:val="00323A1D"/>
    <w:rsid w:val="003300A8"/>
    <w:rsid w:val="00330A3D"/>
    <w:rsid w:val="00331BED"/>
    <w:rsid w:val="00335A2B"/>
    <w:rsid w:val="00341FE4"/>
    <w:rsid w:val="00374BE5"/>
    <w:rsid w:val="003758EF"/>
    <w:rsid w:val="0037628A"/>
    <w:rsid w:val="00384996"/>
    <w:rsid w:val="00390A36"/>
    <w:rsid w:val="003A556F"/>
    <w:rsid w:val="003C014D"/>
    <w:rsid w:val="003C3A2D"/>
    <w:rsid w:val="003D3A43"/>
    <w:rsid w:val="003F4D30"/>
    <w:rsid w:val="003F59CC"/>
    <w:rsid w:val="003F75F3"/>
    <w:rsid w:val="004013D9"/>
    <w:rsid w:val="00401E95"/>
    <w:rsid w:val="00403BC6"/>
    <w:rsid w:val="00405A09"/>
    <w:rsid w:val="00405B53"/>
    <w:rsid w:val="00406B58"/>
    <w:rsid w:val="004170BC"/>
    <w:rsid w:val="00420A44"/>
    <w:rsid w:val="00434111"/>
    <w:rsid w:val="00436001"/>
    <w:rsid w:val="00436B18"/>
    <w:rsid w:val="00445707"/>
    <w:rsid w:val="00447905"/>
    <w:rsid w:val="0046271C"/>
    <w:rsid w:val="00465AF8"/>
    <w:rsid w:val="00465E99"/>
    <w:rsid w:val="00466865"/>
    <w:rsid w:val="004775A7"/>
    <w:rsid w:val="004A1B53"/>
    <w:rsid w:val="004B20E6"/>
    <w:rsid w:val="004B3381"/>
    <w:rsid w:val="004C5FF1"/>
    <w:rsid w:val="004C74C8"/>
    <w:rsid w:val="004F0B1F"/>
    <w:rsid w:val="004F4C03"/>
    <w:rsid w:val="00500972"/>
    <w:rsid w:val="00501853"/>
    <w:rsid w:val="005124D4"/>
    <w:rsid w:val="00513176"/>
    <w:rsid w:val="00516695"/>
    <w:rsid w:val="005211E6"/>
    <w:rsid w:val="005262B6"/>
    <w:rsid w:val="005316FF"/>
    <w:rsid w:val="00533701"/>
    <w:rsid w:val="00534310"/>
    <w:rsid w:val="0053613A"/>
    <w:rsid w:val="005519B4"/>
    <w:rsid w:val="005617E4"/>
    <w:rsid w:val="00562240"/>
    <w:rsid w:val="00571FDB"/>
    <w:rsid w:val="00581556"/>
    <w:rsid w:val="005879FE"/>
    <w:rsid w:val="00591816"/>
    <w:rsid w:val="00597F60"/>
    <w:rsid w:val="005A13D2"/>
    <w:rsid w:val="005A3C33"/>
    <w:rsid w:val="005A4E43"/>
    <w:rsid w:val="005B3011"/>
    <w:rsid w:val="005B4FEF"/>
    <w:rsid w:val="005C039B"/>
    <w:rsid w:val="005D15CB"/>
    <w:rsid w:val="005D2C1F"/>
    <w:rsid w:val="005D35CF"/>
    <w:rsid w:val="005E21B3"/>
    <w:rsid w:val="005E33F6"/>
    <w:rsid w:val="005E5060"/>
    <w:rsid w:val="005E70AF"/>
    <w:rsid w:val="005F363D"/>
    <w:rsid w:val="005F5D94"/>
    <w:rsid w:val="00601008"/>
    <w:rsid w:val="00602FC4"/>
    <w:rsid w:val="0060631C"/>
    <w:rsid w:val="0061518B"/>
    <w:rsid w:val="006171B4"/>
    <w:rsid w:val="00620324"/>
    <w:rsid w:val="0062478E"/>
    <w:rsid w:val="006255B5"/>
    <w:rsid w:val="00631EB0"/>
    <w:rsid w:val="00632F90"/>
    <w:rsid w:val="00635AEF"/>
    <w:rsid w:val="0063730B"/>
    <w:rsid w:val="00641E88"/>
    <w:rsid w:val="00661720"/>
    <w:rsid w:val="00661E6D"/>
    <w:rsid w:val="00675805"/>
    <w:rsid w:val="0068382E"/>
    <w:rsid w:val="006912D2"/>
    <w:rsid w:val="0069563E"/>
    <w:rsid w:val="006A0721"/>
    <w:rsid w:val="006A278D"/>
    <w:rsid w:val="006A396D"/>
    <w:rsid w:val="006A4FDD"/>
    <w:rsid w:val="006A71C0"/>
    <w:rsid w:val="006B4EE6"/>
    <w:rsid w:val="006B7E6C"/>
    <w:rsid w:val="006C32D4"/>
    <w:rsid w:val="006C33D4"/>
    <w:rsid w:val="006C6583"/>
    <w:rsid w:val="006C7344"/>
    <w:rsid w:val="006D51FD"/>
    <w:rsid w:val="006D5F88"/>
    <w:rsid w:val="006E1182"/>
    <w:rsid w:val="006E58EE"/>
    <w:rsid w:val="006F0B92"/>
    <w:rsid w:val="006F4F49"/>
    <w:rsid w:val="007054A2"/>
    <w:rsid w:val="00710DA3"/>
    <w:rsid w:val="00713856"/>
    <w:rsid w:val="007351E8"/>
    <w:rsid w:val="007408F9"/>
    <w:rsid w:val="00747C6C"/>
    <w:rsid w:val="00753E74"/>
    <w:rsid w:val="0075734E"/>
    <w:rsid w:val="0075766D"/>
    <w:rsid w:val="00770130"/>
    <w:rsid w:val="0077138C"/>
    <w:rsid w:val="00771C2E"/>
    <w:rsid w:val="0077624A"/>
    <w:rsid w:val="00781951"/>
    <w:rsid w:val="00793607"/>
    <w:rsid w:val="00795D4B"/>
    <w:rsid w:val="007A08B8"/>
    <w:rsid w:val="007A7CD3"/>
    <w:rsid w:val="007B2614"/>
    <w:rsid w:val="007B7616"/>
    <w:rsid w:val="007B7948"/>
    <w:rsid w:val="007C0F25"/>
    <w:rsid w:val="007C2503"/>
    <w:rsid w:val="007C26D7"/>
    <w:rsid w:val="007D251F"/>
    <w:rsid w:val="007D76E8"/>
    <w:rsid w:val="007E1111"/>
    <w:rsid w:val="0080435E"/>
    <w:rsid w:val="008107F1"/>
    <w:rsid w:val="008122B2"/>
    <w:rsid w:val="00812DE2"/>
    <w:rsid w:val="008157B7"/>
    <w:rsid w:val="00821A60"/>
    <w:rsid w:val="00831085"/>
    <w:rsid w:val="00842539"/>
    <w:rsid w:val="00851BCD"/>
    <w:rsid w:val="00852AC8"/>
    <w:rsid w:val="00863C8A"/>
    <w:rsid w:val="008674A8"/>
    <w:rsid w:val="00872CD0"/>
    <w:rsid w:val="008738E7"/>
    <w:rsid w:val="00880D60"/>
    <w:rsid w:val="008921B8"/>
    <w:rsid w:val="00892EC8"/>
    <w:rsid w:val="00893E63"/>
    <w:rsid w:val="00895EA2"/>
    <w:rsid w:val="008A7245"/>
    <w:rsid w:val="008D0B89"/>
    <w:rsid w:val="008E3F6B"/>
    <w:rsid w:val="008F4C98"/>
    <w:rsid w:val="008F6E93"/>
    <w:rsid w:val="009001C2"/>
    <w:rsid w:val="009004F9"/>
    <w:rsid w:val="009017F8"/>
    <w:rsid w:val="0090191D"/>
    <w:rsid w:val="00902A9E"/>
    <w:rsid w:val="009064E0"/>
    <w:rsid w:val="00911C32"/>
    <w:rsid w:val="00912098"/>
    <w:rsid w:val="00912ABD"/>
    <w:rsid w:val="00920198"/>
    <w:rsid w:val="00921F95"/>
    <w:rsid w:val="009413BA"/>
    <w:rsid w:val="0094227F"/>
    <w:rsid w:val="00953360"/>
    <w:rsid w:val="00953DA5"/>
    <w:rsid w:val="0095590F"/>
    <w:rsid w:val="00955CD7"/>
    <w:rsid w:val="0096165A"/>
    <w:rsid w:val="00962E37"/>
    <w:rsid w:val="00965639"/>
    <w:rsid w:val="00972819"/>
    <w:rsid w:val="00973066"/>
    <w:rsid w:val="0097597E"/>
    <w:rsid w:val="00977849"/>
    <w:rsid w:val="009847D7"/>
    <w:rsid w:val="009855E4"/>
    <w:rsid w:val="00997420"/>
    <w:rsid w:val="009A060D"/>
    <w:rsid w:val="009A2D2E"/>
    <w:rsid w:val="009B3C81"/>
    <w:rsid w:val="009C567C"/>
    <w:rsid w:val="009C6060"/>
    <w:rsid w:val="009C6B91"/>
    <w:rsid w:val="009D6BE5"/>
    <w:rsid w:val="009E70F9"/>
    <w:rsid w:val="009F14D8"/>
    <w:rsid w:val="009F2002"/>
    <w:rsid w:val="009F3027"/>
    <w:rsid w:val="009F4D9D"/>
    <w:rsid w:val="009F525C"/>
    <w:rsid w:val="00A14E38"/>
    <w:rsid w:val="00A22129"/>
    <w:rsid w:val="00A235F3"/>
    <w:rsid w:val="00A330D6"/>
    <w:rsid w:val="00A4193C"/>
    <w:rsid w:val="00A43AAA"/>
    <w:rsid w:val="00A444DC"/>
    <w:rsid w:val="00A47B6D"/>
    <w:rsid w:val="00A5364C"/>
    <w:rsid w:val="00A864E5"/>
    <w:rsid w:val="00A95C34"/>
    <w:rsid w:val="00A95F0C"/>
    <w:rsid w:val="00AA07F6"/>
    <w:rsid w:val="00AA3040"/>
    <w:rsid w:val="00AA3745"/>
    <w:rsid w:val="00AA77BD"/>
    <w:rsid w:val="00AB1C68"/>
    <w:rsid w:val="00AB58BF"/>
    <w:rsid w:val="00AC194C"/>
    <w:rsid w:val="00AC2704"/>
    <w:rsid w:val="00AC44ED"/>
    <w:rsid w:val="00AD1246"/>
    <w:rsid w:val="00AD180D"/>
    <w:rsid w:val="00AD2D12"/>
    <w:rsid w:val="00AE3AD9"/>
    <w:rsid w:val="00AF49DB"/>
    <w:rsid w:val="00AF4B79"/>
    <w:rsid w:val="00AF674C"/>
    <w:rsid w:val="00B0764E"/>
    <w:rsid w:val="00B14833"/>
    <w:rsid w:val="00B15A82"/>
    <w:rsid w:val="00B22ECD"/>
    <w:rsid w:val="00B23F80"/>
    <w:rsid w:val="00B25926"/>
    <w:rsid w:val="00B36618"/>
    <w:rsid w:val="00B3693F"/>
    <w:rsid w:val="00B40369"/>
    <w:rsid w:val="00B52D92"/>
    <w:rsid w:val="00B569FD"/>
    <w:rsid w:val="00B64C8E"/>
    <w:rsid w:val="00B669E4"/>
    <w:rsid w:val="00B70AC9"/>
    <w:rsid w:val="00B7168F"/>
    <w:rsid w:val="00B73201"/>
    <w:rsid w:val="00B8026F"/>
    <w:rsid w:val="00B83E13"/>
    <w:rsid w:val="00B9350A"/>
    <w:rsid w:val="00BA016A"/>
    <w:rsid w:val="00BA4C41"/>
    <w:rsid w:val="00BA740B"/>
    <w:rsid w:val="00BB31F9"/>
    <w:rsid w:val="00BB39C2"/>
    <w:rsid w:val="00BC3CCA"/>
    <w:rsid w:val="00BC489F"/>
    <w:rsid w:val="00BD3592"/>
    <w:rsid w:val="00BD3EFF"/>
    <w:rsid w:val="00BD6461"/>
    <w:rsid w:val="00BE1335"/>
    <w:rsid w:val="00BF3F1B"/>
    <w:rsid w:val="00BF508E"/>
    <w:rsid w:val="00BF7EEE"/>
    <w:rsid w:val="00C04D70"/>
    <w:rsid w:val="00C13825"/>
    <w:rsid w:val="00C213D4"/>
    <w:rsid w:val="00C31336"/>
    <w:rsid w:val="00C315B7"/>
    <w:rsid w:val="00C348C7"/>
    <w:rsid w:val="00C415CD"/>
    <w:rsid w:val="00C46BE8"/>
    <w:rsid w:val="00C46DE9"/>
    <w:rsid w:val="00C4791D"/>
    <w:rsid w:val="00C53831"/>
    <w:rsid w:val="00C555B0"/>
    <w:rsid w:val="00C61204"/>
    <w:rsid w:val="00C612E5"/>
    <w:rsid w:val="00C70EDB"/>
    <w:rsid w:val="00C908A6"/>
    <w:rsid w:val="00C96618"/>
    <w:rsid w:val="00CA2199"/>
    <w:rsid w:val="00CA22E2"/>
    <w:rsid w:val="00CA6645"/>
    <w:rsid w:val="00CB3D8B"/>
    <w:rsid w:val="00CB5E83"/>
    <w:rsid w:val="00CB77E9"/>
    <w:rsid w:val="00CD5AEA"/>
    <w:rsid w:val="00CE1A14"/>
    <w:rsid w:val="00CE51EE"/>
    <w:rsid w:val="00CF1045"/>
    <w:rsid w:val="00CF17C4"/>
    <w:rsid w:val="00CF343D"/>
    <w:rsid w:val="00CF39CA"/>
    <w:rsid w:val="00CF64FA"/>
    <w:rsid w:val="00D07FF7"/>
    <w:rsid w:val="00D272ED"/>
    <w:rsid w:val="00D27F9C"/>
    <w:rsid w:val="00D303B2"/>
    <w:rsid w:val="00D3058B"/>
    <w:rsid w:val="00D3204D"/>
    <w:rsid w:val="00D41726"/>
    <w:rsid w:val="00D425FD"/>
    <w:rsid w:val="00D43CB2"/>
    <w:rsid w:val="00D450CB"/>
    <w:rsid w:val="00D468BF"/>
    <w:rsid w:val="00D574E7"/>
    <w:rsid w:val="00D609A0"/>
    <w:rsid w:val="00D61AD3"/>
    <w:rsid w:val="00D62E06"/>
    <w:rsid w:val="00D676BC"/>
    <w:rsid w:val="00D70503"/>
    <w:rsid w:val="00D72212"/>
    <w:rsid w:val="00D85300"/>
    <w:rsid w:val="00D86DA7"/>
    <w:rsid w:val="00D9073B"/>
    <w:rsid w:val="00D92CD7"/>
    <w:rsid w:val="00D96957"/>
    <w:rsid w:val="00DA05B4"/>
    <w:rsid w:val="00DB3502"/>
    <w:rsid w:val="00DB7070"/>
    <w:rsid w:val="00DB71D5"/>
    <w:rsid w:val="00DD5365"/>
    <w:rsid w:val="00DD6A1F"/>
    <w:rsid w:val="00DE63C9"/>
    <w:rsid w:val="00DF184E"/>
    <w:rsid w:val="00E063CB"/>
    <w:rsid w:val="00E110AD"/>
    <w:rsid w:val="00E14333"/>
    <w:rsid w:val="00E22B1E"/>
    <w:rsid w:val="00E349E0"/>
    <w:rsid w:val="00E36B86"/>
    <w:rsid w:val="00E41BBC"/>
    <w:rsid w:val="00E43570"/>
    <w:rsid w:val="00E51341"/>
    <w:rsid w:val="00E540E3"/>
    <w:rsid w:val="00E5640E"/>
    <w:rsid w:val="00E64141"/>
    <w:rsid w:val="00E678D2"/>
    <w:rsid w:val="00E73E8A"/>
    <w:rsid w:val="00E75FAA"/>
    <w:rsid w:val="00E86C82"/>
    <w:rsid w:val="00E87FD7"/>
    <w:rsid w:val="00E9275E"/>
    <w:rsid w:val="00E94D43"/>
    <w:rsid w:val="00E95D2C"/>
    <w:rsid w:val="00EA02EB"/>
    <w:rsid w:val="00EA0F26"/>
    <w:rsid w:val="00EA62F6"/>
    <w:rsid w:val="00EA7C8E"/>
    <w:rsid w:val="00EB398A"/>
    <w:rsid w:val="00EB6568"/>
    <w:rsid w:val="00EC3579"/>
    <w:rsid w:val="00EC78A7"/>
    <w:rsid w:val="00EE0940"/>
    <w:rsid w:val="00F04945"/>
    <w:rsid w:val="00F04F5D"/>
    <w:rsid w:val="00F055DF"/>
    <w:rsid w:val="00F16411"/>
    <w:rsid w:val="00F2639B"/>
    <w:rsid w:val="00F31D5C"/>
    <w:rsid w:val="00F36AB6"/>
    <w:rsid w:val="00F41B13"/>
    <w:rsid w:val="00F55969"/>
    <w:rsid w:val="00F648BD"/>
    <w:rsid w:val="00F67896"/>
    <w:rsid w:val="00F74774"/>
    <w:rsid w:val="00F7616B"/>
    <w:rsid w:val="00F76E3E"/>
    <w:rsid w:val="00F8260E"/>
    <w:rsid w:val="00F845AD"/>
    <w:rsid w:val="00F900E3"/>
    <w:rsid w:val="00F970EA"/>
    <w:rsid w:val="00FA1EAD"/>
    <w:rsid w:val="00FA2783"/>
    <w:rsid w:val="00FA4A4D"/>
    <w:rsid w:val="00FA5C7A"/>
    <w:rsid w:val="00FA7B57"/>
    <w:rsid w:val="00FB6C8A"/>
    <w:rsid w:val="00FC3ADB"/>
    <w:rsid w:val="00FC7240"/>
    <w:rsid w:val="00FD29F6"/>
    <w:rsid w:val="00FE1F1C"/>
    <w:rsid w:val="00FE7200"/>
    <w:rsid w:val="00FF27CE"/>
    <w:rsid w:val="00FF60ED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93E3D"/>
  <w15:docId w15:val="{B102C03F-5FE2-4991-9A68-ECB4C436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433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4333"/>
  </w:style>
  <w:style w:type="paragraph" w:styleId="Footer">
    <w:name w:val="footer"/>
    <w:basedOn w:val="Normal"/>
    <w:link w:val="FooterChar"/>
    <w:uiPriority w:val="99"/>
    <w:unhideWhenUsed/>
    <w:rsid w:val="00E1433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14333"/>
  </w:style>
  <w:style w:type="paragraph" w:styleId="BalloonText">
    <w:name w:val="Balloon Text"/>
    <w:basedOn w:val="Normal"/>
    <w:link w:val="BalloonTextChar"/>
    <w:uiPriority w:val="99"/>
    <w:semiHidden/>
    <w:unhideWhenUsed/>
    <w:rsid w:val="00E1433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3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13D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st">
    <w:name w:val="st"/>
    <w:basedOn w:val="DefaultParagraphFont"/>
    <w:rsid w:val="000F58D4"/>
  </w:style>
  <w:style w:type="character" w:styleId="Emphasis">
    <w:name w:val="Emphasis"/>
    <w:basedOn w:val="DefaultParagraphFont"/>
    <w:uiPriority w:val="20"/>
    <w:qFormat/>
    <w:rsid w:val="000F58D4"/>
    <w:rPr>
      <w:i/>
      <w:iCs/>
    </w:rPr>
  </w:style>
  <w:style w:type="character" w:styleId="Hyperlink">
    <w:name w:val="Hyperlink"/>
    <w:basedOn w:val="DefaultParagraphFont"/>
    <w:uiPriority w:val="99"/>
    <w:unhideWhenUsed/>
    <w:rsid w:val="0053431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2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2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28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AC2704"/>
    <w:pPr>
      <w:spacing w:after="160"/>
    </w:pPr>
    <w:rPr>
      <w:rFonts w:ascii="Calibri" w:eastAsiaTheme="minorHAnsi" w:hAnsi="Calibri" w:cstheme="minorBidi"/>
      <w:noProof/>
      <w:sz w:val="22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C2704"/>
    <w:rPr>
      <w:rFonts w:ascii="Calibri" w:hAnsi="Calibri"/>
      <w:noProof/>
      <w:lang w:val="en-US"/>
    </w:rPr>
  </w:style>
  <w:style w:type="paragraph" w:styleId="ListParagraph">
    <w:name w:val="List Paragraph"/>
    <w:basedOn w:val="Normal"/>
    <w:uiPriority w:val="34"/>
    <w:qFormat/>
    <w:rsid w:val="004B3381"/>
    <w:pPr>
      <w:ind w:left="720"/>
      <w:contextualSpacing/>
    </w:pPr>
  </w:style>
  <w:style w:type="paragraph" w:styleId="Revision">
    <w:name w:val="Revision"/>
    <w:hidden/>
    <w:uiPriority w:val="99"/>
    <w:semiHidden/>
    <w:rsid w:val="00023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1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2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D8FB2-DEAB-4E3B-A841-5767CD0B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BSAS</dc:creator>
  <cp:lastModifiedBy>Chen. Xianjiang</cp:lastModifiedBy>
  <cp:revision>2</cp:revision>
  <dcterms:created xsi:type="dcterms:W3CDTF">2023-11-16T21:12:00Z</dcterms:created>
  <dcterms:modified xsi:type="dcterms:W3CDTF">2023-11-16T21:12:00Z</dcterms:modified>
</cp:coreProperties>
</file>