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0" w:type="pct"/>
        <w:tblLook w:val="0000" w:firstRow="0" w:lastRow="0" w:firstColumn="0" w:lastColumn="0" w:noHBand="0" w:noVBand="0"/>
      </w:tblPr>
      <w:tblGrid>
        <w:gridCol w:w="9978"/>
      </w:tblGrid>
      <w:tr w:rsidR="00E14333" w:rsidRPr="00317B4C" w:rsidTr="002852A0">
        <w:tc>
          <w:tcPr>
            <w:tcW w:w="5000" w:type="pct"/>
            <w:tcBorders>
              <w:bottom w:val="single" w:sz="4" w:space="0" w:color="auto"/>
            </w:tcBorders>
          </w:tcPr>
          <w:p w:rsidR="00E14333" w:rsidRPr="000D3D5B" w:rsidRDefault="00E14333" w:rsidP="00317B4C">
            <w:pPr>
              <w:rPr>
                <w:b/>
                <w:bCs/>
                <w:sz w:val="18"/>
                <w:szCs w:val="18"/>
              </w:rPr>
            </w:pPr>
            <w:r w:rsidRPr="000D3D5B">
              <w:rPr>
                <w:b/>
                <w:bCs/>
                <w:sz w:val="18"/>
                <w:szCs w:val="18"/>
              </w:rPr>
              <w:t xml:space="preserve">Title: </w:t>
            </w:r>
          </w:p>
        </w:tc>
      </w:tr>
      <w:tr w:rsidR="00E14333" w:rsidRPr="00317B4C" w:rsidTr="00F344EC">
        <w:trPr>
          <w:trHeight w:val="369"/>
        </w:trPr>
        <w:tc>
          <w:tcPr>
            <w:tcW w:w="5000" w:type="pct"/>
            <w:tcBorders>
              <w:top w:val="single" w:sz="4" w:space="0" w:color="auto"/>
              <w:left w:val="single" w:sz="4" w:space="0" w:color="auto"/>
              <w:bottom w:val="single" w:sz="4" w:space="0" w:color="auto"/>
              <w:right w:val="single" w:sz="4" w:space="0" w:color="auto"/>
            </w:tcBorders>
            <w:shd w:val="clear" w:color="auto" w:fill="F3F3F3"/>
          </w:tcPr>
          <w:p w:rsidR="00E14333" w:rsidRPr="00A676FF" w:rsidRDefault="00681DFB" w:rsidP="00317B4C">
            <w:pPr>
              <w:rPr>
                <w:b/>
                <w:sz w:val="18"/>
                <w:szCs w:val="18"/>
              </w:rPr>
            </w:pPr>
            <w:r w:rsidRPr="00A676FF">
              <w:rPr>
                <w:b/>
                <w:sz w:val="18"/>
                <w:szCs w:val="18"/>
              </w:rPr>
              <w:t xml:space="preserve">Summer scour syndrome in </w:t>
            </w:r>
            <w:r w:rsidR="003742DE" w:rsidRPr="00A676FF">
              <w:rPr>
                <w:b/>
                <w:sz w:val="18"/>
                <w:szCs w:val="18"/>
              </w:rPr>
              <w:t>weaned</w:t>
            </w:r>
            <w:r w:rsidRPr="00A676FF">
              <w:rPr>
                <w:b/>
                <w:sz w:val="18"/>
                <w:szCs w:val="18"/>
              </w:rPr>
              <w:t xml:space="preserve"> dairy </w:t>
            </w:r>
            <w:r w:rsidR="003742DE" w:rsidRPr="00A676FF">
              <w:rPr>
                <w:b/>
                <w:sz w:val="18"/>
                <w:szCs w:val="18"/>
              </w:rPr>
              <w:t>calves</w:t>
            </w:r>
            <w:r w:rsidRPr="00A676FF">
              <w:rPr>
                <w:b/>
                <w:sz w:val="18"/>
                <w:szCs w:val="18"/>
              </w:rPr>
              <w:t>: case series</w:t>
            </w:r>
          </w:p>
        </w:tc>
      </w:tr>
      <w:tr w:rsidR="00E14333" w:rsidRPr="00317B4C" w:rsidTr="002852A0">
        <w:tc>
          <w:tcPr>
            <w:tcW w:w="5000" w:type="pct"/>
            <w:tcBorders>
              <w:top w:val="single" w:sz="4" w:space="0" w:color="auto"/>
              <w:bottom w:val="single" w:sz="4" w:space="0" w:color="auto"/>
            </w:tcBorders>
          </w:tcPr>
          <w:p w:rsidR="00E14333" w:rsidRPr="000D3D5B" w:rsidRDefault="00E14333" w:rsidP="00317B4C">
            <w:pPr>
              <w:rPr>
                <w:b/>
                <w:bCs/>
                <w:sz w:val="18"/>
                <w:szCs w:val="18"/>
              </w:rPr>
            </w:pPr>
          </w:p>
          <w:p w:rsidR="00E14333" w:rsidRPr="000D3D5B" w:rsidRDefault="00E14333" w:rsidP="00317B4C">
            <w:pPr>
              <w:rPr>
                <w:sz w:val="18"/>
                <w:szCs w:val="18"/>
              </w:rPr>
            </w:pPr>
            <w:r w:rsidRPr="000D3D5B">
              <w:rPr>
                <w:b/>
                <w:bCs/>
                <w:sz w:val="18"/>
                <w:szCs w:val="18"/>
              </w:rPr>
              <w:t xml:space="preserve">Summary:  </w:t>
            </w:r>
          </w:p>
        </w:tc>
      </w:tr>
      <w:tr w:rsidR="00E14333" w:rsidRPr="00317B4C" w:rsidTr="00211869">
        <w:trPr>
          <w:trHeight w:hRule="exact" w:val="12719"/>
        </w:trPr>
        <w:tc>
          <w:tcPr>
            <w:tcW w:w="5000" w:type="pct"/>
            <w:tcBorders>
              <w:top w:val="single" w:sz="4" w:space="0" w:color="auto"/>
              <w:left w:val="single" w:sz="4" w:space="0" w:color="auto"/>
              <w:bottom w:val="single" w:sz="4" w:space="0" w:color="auto"/>
              <w:right w:val="single" w:sz="4" w:space="0" w:color="auto"/>
            </w:tcBorders>
            <w:shd w:val="clear" w:color="auto" w:fill="F3F3F3"/>
          </w:tcPr>
          <w:p w:rsidR="00E97ECD" w:rsidRPr="00E129AD" w:rsidRDefault="000E36EC" w:rsidP="000D3D5B">
            <w:pPr>
              <w:jc w:val="both"/>
              <w:rPr>
                <w:sz w:val="18"/>
                <w:szCs w:val="18"/>
              </w:rPr>
            </w:pPr>
            <w:r w:rsidRPr="00E129AD">
              <w:rPr>
                <w:b/>
                <w:sz w:val="18"/>
                <w:szCs w:val="18"/>
              </w:rPr>
              <w:t>Application</w:t>
            </w:r>
            <w:r w:rsidR="00BD2013" w:rsidRPr="00E129AD">
              <w:rPr>
                <w:b/>
                <w:sz w:val="18"/>
                <w:szCs w:val="18"/>
              </w:rPr>
              <w:t>:</w:t>
            </w:r>
            <w:r w:rsidR="00EC30FC" w:rsidRPr="00E129AD">
              <w:rPr>
                <w:sz w:val="18"/>
                <w:szCs w:val="18"/>
              </w:rPr>
              <w:t xml:space="preserve"> </w:t>
            </w:r>
            <w:r w:rsidR="00AD4685" w:rsidRPr="00E129AD">
              <w:rPr>
                <w:sz w:val="18"/>
                <w:szCs w:val="18"/>
              </w:rPr>
              <w:t>T</w:t>
            </w:r>
            <w:r w:rsidR="00304029" w:rsidRPr="00E129AD">
              <w:rPr>
                <w:sz w:val="18"/>
                <w:szCs w:val="18"/>
              </w:rPr>
              <w:t>he data</w:t>
            </w:r>
            <w:r w:rsidR="00317B4C" w:rsidRPr="00E129AD">
              <w:rPr>
                <w:sz w:val="18"/>
                <w:szCs w:val="18"/>
              </w:rPr>
              <w:t xml:space="preserve"> from this </w:t>
            </w:r>
            <w:r w:rsidR="007B561F" w:rsidRPr="00E129AD">
              <w:rPr>
                <w:sz w:val="18"/>
                <w:szCs w:val="18"/>
              </w:rPr>
              <w:t>study</w:t>
            </w:r>
            <w:r w:rsidR="00317B4C" w:rsidRPr="00E129AD">
              <w:rPr>
                <w:sz w:val="18"/>
                <w:szCs w:val="18"/>
              </w:rPr>
              <w:t xml:space="preserve"> </w:t>
            </w:r>
            <w:r w:rsidR="00DE6974" w:rsidRPr="00E129AD">
              <w:rPr>
                <w:sz w:val="18"/>
                <w:szCs w:val="18"/>
              </w:rPr>
              <w:t xml:space="preserve">can </w:t>
            </w:r>
            <w:r w:rsidR="00935816" w:rsidRPr="00E129AD">
              <w:rPr>
                <w:sz w:val="18"/>
                <w:szCs w:val="18"/>
              </w:rPr>
              <w:t xml:space="preserve">be used to </w:t>
            </w:r>
            <w:r w:rsidR="007B561F" w:rsidRPr="00E129AD">
              <w:rPr>
                <w:sz w:val="18"/>
                <w:szCs w:val="18"/>
              </w:rPr>
              <w:t>inform</w:t>
            </w:r>
            <w:r w:rsidR="00317B4C" w:rsidRPr="00E129AD">
              <w:rPr>
                <w:sz w:val="18"/>
                <w:szCs w:val="18"/>
              </w:rPr>
              <w:t xml:space="preserve"> future studies aimed at </w:t>
            </w:r>
            <w:r w:rsidR="00AD1988" w:rsidRPr="00E129AD">
              <w:rPr>
                <w:sz w:val="18"/>
                <w:szCs w:val="18"/>
              </w:rPr>
              <w:t>finding</w:t>
            </w:r>
            <w:r w:rsidR="006F5C7D" w:rsidRPr="00E129AD">
              <w:rPr>
                <w:sz w:val="18"/>
                <w:szCs w:val="18"/>
              </w:rPr>
              <w:t xml:space="preserve"> </w:t>
            </w:r>
            <w:r w:rsidR="00317B4C" w:rsidRPr="00E129AD">
              <w:rPr>
                <w:sz w:val="18"/>
                <w:szCs w:val="18"/>
              </w:rPr>
              <w:t>definitive cause</w:t>
            </w:r>
            <w:r w:rsidR="00935816" w:rsidRPr="00E129AD">
              <w:rPr>
                <w:sz w:val="18"/>
                <w:szCs w:val="18"/>
              </w:rPr>
              <w:t>s</w:t>
            </w:r>
            <w:r w:rsidR="00317B4C" w:rsidRPr="00E129AD">
              <w:rPr>
                <w:sz w:val="18"/>
                <w:szCs w:val="18"/>
              </w:rPr>
              <w:t xml:space="preserve"> of </w:t>
            </w:r>
            <w:r w:rsidR="00F344EC" w:rsidRPr="00E129AD">
              <w:rPr>
                <w:sz w:val="18"/>
                <w:szCs w:val="18"/>
              </w:rPr>
              <w:t>the</w:t>
            </w:r>
            <w:r w:rsidR="00317B4C" w:rsidRPr="00E129AD">
              <w:rPr>
                <w:sz w:val="18"/>
                <w:szCs w:val="18"/>
              </w:rPr>
              <w:t xml:space="preserve"> </w:t>
            </w:r>
            <w:r w:rsidR="00AD4685" w:rsidRPr="00E129AD">
              <w:rPr>
                <w:sz w:val="18"/>
                <w:szCs w:val="18"/>
              </w:rPr>
              <w:t xml:space="preserve">summer scour </w:t>
            </w:r>
            <w:r w:rsidR="00304029" w:rsidRPr="00E129AD">
              <w:rPr>
                <w:sz w:val="18"/>
                <w:szCs w:val="18"/>
              </w:rPr>
              <w:t>syndrome</w:t>
            </w:r>
            <w:r w:rsidR="00AD4685" w:rsidRPr="00E129AD">
              <w:rPr>
                <w:sz w:val="18"/>
                <w:szCs w:val="18"/>
              </w:rPr>
              <w:t xml:space="preserve"> (SSS)</w:t>
            </w:r>
            <w:r w:rsidR="007D5B6A" w:rsidRPr="00E129AD">
              <w:rPr>
                <w:sz w:val="18"/>
                <w:szCs w:val="18"/>
              </w:rPr>
              <w:t xml:space="preserve"> in post-weaned calves</w:t>
            </w:r>
            <w:r w:rsidR="00304029" w:rsidRPr="00E129AD">
              <w:rPr>
                <w:sz w:val="18"/>
                <w:szCs w:val="18"/>
              </w:rPr>
              <w:t xml:space="preserve">. </w:t>
            </w:r>
          </w:p>
          <w:p w:rsidR="000D3D5B" w:rsidRPr="00E129AD" w:rsidRDefault="000D3D5B" w:rsidP="000D3D5B">
            <w:pPr>
              <w:jc w:val="both"/>
              <w:rPr>
                <w:sz w:val="18"/>
                <w:szCs w:val="18"/>
              </w:rPr>
            </w:pPr>
          </w:p>
          <w:p w:rsidR="00F344EC" w:rsidRPr="00E129AD" w:rsidRDefault="00F344EC" w:rsidP="000D3D5B">
            <w:pPr>
              <w:jc w:val="both"/>
              <w:rPr>
                <w:sz w:val="18"/>
                <w:szCs w:val="18"/>
              </w:rPr>
            </w:pPr>
            <w:r w:rsidRPr="00E129AD">
              <w:rPr>
                <w:b/>
                <w:sz w:val="18"/>
                <w:szCs w:val="18"/>
              </w:rPr>
              <w:t>Introduction</w:t>
            </w:r>
            <w:r w:rsidR="00BD2013" w:rsidRPr="00E129AD">
              <w:rPr>
                <w:b/>
                <w:sz w:val="18"/>
                <w:szCs w:val="18"/>
              </w:rPr>
              <w:t>:</w:t>
            </w:r>
            <w:r w:rsidRPr="00E129AD">
              <w:rPr>
                <w:sz w:val="18"/>
                <w:szCs w:val="18"/>
              </w:rPr>
              <w:t xml:space="preserve"> Summer scour syndrome (SSS) is a recently identified pathological condition affecting first-grazing dairy calves in Ireland</w:t>
            </w:r>
            <w:r w:rsidR="00304029" w:rsidRPr="00E129AD">
              <w:rPr>
                <w:sz w:val="18"/>
                <w:szCs w:val="18"/>
              </w:rPr>
              <w:t xml:space="preserve"> </w:t>
            </w:r>
            <w:r w:rsidR="00304029" w:rsidRPr="00E129AD">
              <w:rPr>
                <w:sz w:val="18"/>
                <w:szCs w:val="18"/>
              </w:rPr>
              <w:fldChar w:fldCharType="begin" w:fldLock="1"/>
            </w:r>
            <w:r w:rsidR="000D3D5B" w:rsidRPr="00E129AD">
              <w:rPr>
                <w:sz w:val="18"/>
                <w:szCs w:val="18"/>
              </w:rPr>
              <w:instrText>ADDIN CSL_CITATION {"citationItems":[{"id":"ITEM-1","itemData":{"abstract":"Objective: To review the current knowledge and identify gross and histopathological changes of Summer Scour Syndrome (SSS). Additionally, we aim to review clinical case definition and sampling protocols. Materials and Methods: Twenty-five cases of suspected SSS were identified in the DAFM database based on the clinical history, age, gross findings, and lack of atiological agents. The cases were reviewed and scored based on the histopathological changes by 5 independent pathologists. This was preceded by discussions with stakeholders from Teagasc, UCD, Veterinary Ireland, Volac (Dairy Nutrition) and the Regional Veterinary Laboratories (RVs) as well as experts from the UK, New Zealand, and Australia to incorporate their experience/knowledge. Results: Case Definition: SSS may be defined clinically by diarrhoea and upper alimentary tract ulceration in at least some animals in a group of weaned dairy calves less than 12 months of age on a grass-based diet. This is a diagnosis of exclusion. To exclude other common causes of these clinical signs individual faecal and blood samples should be collected from 10-12 affected animals in the affected group to exclude coccidiosis, parasitic gastroenteritis, infectious agents (BVD, MCF, fungi, others) and copper- molybdenum imbalances. Grass sampling for mineral and trace element analysis is also recommended. Histopathological Findings: Mucosal lesions were seen in the buccal mucosa/oesophagus and rumen. Commonly identified lesions include apoptosis/dyskeratosis, cellular and intercellular oedema, colour patterning affecting all layers of the epithelium. Furthermore, some cases exhibited a degree of basal cell necrosis. Conclusions: A clinical case definition, with recommended sampling, will improve diagnostic agreement and reliability. The histopathological profiling of Irish SSS cases will allow trans-national comparisons of cases to confirm/refute their similarities and hence possible common atiologies and preventive measures.","author":[{"dropping-particle":"","family":"Sheehan","given":"M","non-dropping-particle":"","parse-names":false,"suffix":""},{"dropping-particle":"","family":"Faganz","given":"S","non-dropping-particle":"","parse-names":false,"suffix":""},{"dropping-particle":"","family":"Hayes","given":"C","non-dropping-particle":"","parse-names":false,"suffix":""},{"dropping-particle":"","family":"Murphy","given":"D","non-dropping-particle":"","parse-names":false,"suffix":""},{"dropping-particle":"","family":"Lynch","given":"D","non-dropping-particle":"","parse-names":false,"suffix":""},{"dropping-particle":"","family":"Ryan","given":"E","non-dropping-particle":"","parse-names":false,"suffix":""},{"dropping-particle":"","family":"Bochynska","given":"D","non-dropping-particle":"","parse-names":false,"suffix":""},{"dropping-particle":"","family":"McElroys","given":"M","non-dropping-particle":"","parse-names":false,"suffix":""},{"dropping-particle":"","family":"McGettrick","given":"S","non-dropping-particle":"","parse-names":false,"suffix":""},{"dropping-particle":"","family":"Mee","given":"J.F","non-dropping-particle":"","parse-names":false,"suffix":""}],"container-title":"VET23 Conference","id":"ITEM-1","issued":{"date-parts":[["2023"]]},"page":"10","publisher-place":"Co. Cork, Ireland","title":"A clinicopathological review of summer scour syndrome: case definition and histopathological lesions","type":"paper-conference"},"uris":["http://www.mendeley.com/documents/?uuid=3ba31f20-2bfe-4e30-9f9f-3ce6758bfd56"]}],"mendeley":{"formattedCitation":"(Sheehan et al., 2023)","plainTextFormattedCitation":"(Sheehan et al., 2023)","previouslyFormattedCitation":"(Sheehan et al., 2023)"},"properties":{"noteIndex":0},"schema":"https://github.com/citation-style-language/schema/raw/master/csl-citation.json"}</w:instrText>
            </w:r>
            <w:r w:rsidR="00304029" w:rsidRPr="00E129AD">
              <w:rPr>
                <w:sz w:val="18"/>
                <w:szCs w:val="18"/>
              </w:rPr>
              <w:fldChar w:fldCharType="separate"/>
            </w:r>
            <w:r w:rsidR="00304029" w:rsidRPr="00E129AD">
              <w:rPr>
                <w:noProof/>
                <w:sz w:val="18"/>
                <w:szCs w:val="18"/>
              </w:rPr>
              <w:t>(Sheehan et al., 2023)</w:t>
            </w:r>
            <w:r w:rsidR="00304029" w:rsidRPr="00E129AD">
              <w:rPr>
                <w:sz w:val="18"/>
                <w:szCs w:val="18"/>
              </w:rPr>
              <w:fldChar w:fldCharType="end"/>
            </w:r>
            <w:r w:rsidRPr="00E129AD">
              <w:rPr>
                <w:sz w:val="18"/>
                <w:szCs w:val="18"/>
              </w:rPr>
              <w:t>, the United Kingdom</w:t>
            </w:r>
            <w:r w:rsidR="005E2A1B" w:rsidRPr="00E129AD">
              <w:rPr>
                <w:sz w:val="18"/>
                <w:szCs w:val="18"/>
              </w:rPr>
              <w:t xml:space="preserve"> </w:t>
            </w:r>
            <w:r w:rsidR="005E2A1B" w:rsidRPr="00E129AD">
              <w:rPr>
                <w:sz w:val="18"/>
                <w:szCs w:val="18"/>
              </w:rPr>
              <w:fldChar w:fldCharType="begin" w:fldLock="1"/>
            </w:r>
            <w:r w:rsidR="000D3D5B" w:rsidRPr="00E129AD">
              <w:rPr>
                <w:sz w:val="18"/>
                <w:szCs w:val="18"/>
              </w:rPr>
              <w:instrText>ADDIN CSL_CITATION {"citationItems":[{"id":"ITEM-1","itemData":{"DOI":"10.1002/vetr.2918","ISSN":"0042-4900","abstract":"This focus article has been prepared by Vanessa Swinson , veterinary lead of the APHA Cattle Expert Group, Liz Nabb , of APHA Starcross, Katrina Henderson , of SRUC Dumfries, and Mick Millar , of the University of Bristol Veterinary School.","author":[{"dropping-particle":"","family":"Swinson","given":"Vanessa","non-dropping-particle":"","parse-names":false,"suffix":""},{"dropping-particle":"","family":"Nabb","given":"Liz","non-dropping-particle":"","parse-names":false,"suffix":""},{"dropping-particle":"","family":"Henderson","given":"Katrina","non-dropping-particle":"","parse-names":false,"suffix":""},{"dropping-particle":"","family":"Millar","given":"Mick","non-dropping-particle":"","parse-names":false,"suffix":""}],"container-title":"Veterinary Record","id":"ITEM-1","issue":"7","issued":{"date-parts":[["2023","4"]]},"page":"285-287","title":"Update on severe summer scour syndrome in cattle","type":"article-journal","volume":"192"},"uris":["http://www.mendeley.com/documents/?uuid=b67be870-c70b-4eeb-a9c1-6fc4d867f42c"]}],"mendeley":{"formattedCitation":"(Swinson et al., 2023)","plainTextFormattedCitation":"(Swinson et al., 2023)","previouslyFormattedCitation":"(Swinson et al., 2023)"},"properties":{"noteIndex":0},"schema":"https://github.com/citation-style-language/schema/raw/master/csl-citation.json"}</w:instrText>
            </w:r>
            <w:r w:rsidR="005E2A1B" w:rsidRPr="00E129AD">
              <w:rPr>
                <w:sz w:val="18"/>
                <w:szCs w:val="18"/>
              </w:rPr>
              <w:fldChar w:fldCharType="separate"/>
            </w:r>
            <w:r w:rsidR="005E2A1B" w:rsidRPr="00E129AD">
              <w:rPr>
                <w:noProof/>
                <w:sz w:val="18"/>
                <w:szCs w:val="18"/>
              </w:rPr>
              <w:t>(Swinson et al., 2023)</w:t>
            </w:r>
            <w:r w:rsidR="005E2A1B" w:rsidRPr="00E129AD">
              <w:rPr>
                <w:sz w:val="18"/>
                <w:szCs w:val="18"/>
              </w:rPr>
              <w:fldChar w:fldCharType="end"/>
            </w:r>
            <w:r w:rsidRPr="00E129AD">
              <w:rPr>
                <w:sz w:val="18"/>
                <w:szCs w:val="18"/>
              </w:rPr>
              <w:t>, and Australia</w:t>
            </w:r>
            <w:r w:rsidR="005E2A1B" w:rsidRPr="00E129AD">
              <w:rPr>
                <w:sz w:val="18"/>
                <w:szCs w:val="18"/>
              </w:rPr>
              <w:t xml:space="preserve"> </w:t>
            </w:r>
            <w:r w:rsidR="005E2A1B" w:rsidRPr="00E129AD">
              <w:rPr>
                <w:sz w:val="18"/>
                <w:szCs w:val="18"/>
              </w:rPr>
              <w:fldChar w:fldCharType="begin" w:fldLock="1"/>
            </w:r>
            <w:r w:rsidR="00824409" w:rsidRPr="00E129AD">
              <w:rPr>
                <w:sz w:val="18"/>
                <w:szCs w:val="18"/>
              </w:rPr>
              <w:instrText>ADDIN CSL_CITATION {"citationItems":[{"id":"ITEM-1","itemData":{"DOI":"10.1111/tbed.13930","ISSN":"18651682","PMID":"33207044","abstract":"An idiopathic clinical syndrome had been described in weaned dairy calves in the state of Victoria, Australia, where affected animals presented with diarrhoea, ill-thrift, enteritis and ulceration of the upper alimentary tract, with occasional oral/nasal ulcers. Between 7 November 2016 and 31 March 2019, 34 Victorian cattle herds were investigated, after each reported five or more weaned calves with diarrhoea and/or ill-thrift, or at least one calf with oral/nasal ulceration. Primary study objectives included the development of a detailed case definition for the clinical syndrome, termed upper alimentary tract ulcerative syndrome (UAUS) and the identification of potential causative virus(es) using metagenomics. A diagnosis of UAUS could not be made based solely on clinical signs and required histopathological assessment of post-mortem samples. Specifically, this included the identification of multifocal to coalescing areas of mucosal epithelial necrosis at all depths of the stratified squamous epithelium of the oesophagus, along with exclusion of bovine viral diarrhoea virus. Based on this case definition, twelve herds were diagnosed with clinical UAUS across the three dairying regions of Victoria, while thirteen were ruled UAUS-negative. The status of the nine remaining herds was unresolved due to a lack of required post-mortem samples. Metatranscriptomic analysis on oral swabs and oesopharyngeal samples from confirmed UAUS cases did not detect a virus common to the cross-sectional sample collection.","author":[{"dropping-particle":"","family":"Hunnam","given":"Jaimie Catherine","non-dropping-particle":"","parse-names":false,"suffix":""},{"dropping-particle":"","family":"Jerrett","given":"Ian Vincent","non-dropping-particle":"","parse-names":false,"suffix":""},{"dropping-particle":"","family":"Mee","given":"Peter Thomas","non-dropping-particle":"","parse-names":false,"suffix":""},{"dropping-particle":"","family":"Moore","given":"Karen","non-dropping-particle":"","parse-names":false,"suffix":""},{"dropping-particle":"","family":"Lynch","given":"Stacey Emma","non-dropping-particle":"","parse-names":false,"suffix":""},{"dropping-particle":"","family":"Rawlin","given":"Grant Thomas","non-dropping-particle":"","parse-names":false,"suffix":""},{"dropping-particle":"","family":"Salmon","given":"Sally Elizabeth","non-dropping-particle":"","parse-names":false,"suffix":""}],"container-title":"Transboundary and Emerging Diseases","id":"ITEM-1","issue":"6","issued":{"date-parts":[["2021"]]},"page":"3277-3287","title":"An idiopathic upper alimentary tract ulcerative syndrome in weaned dairy calves in Victoria, Australia","type":"article-journal","volume":"68"},"uris":["http://www.mendeley.com/documents/?uuid=c988d83a-60f9-4ceb-a7cc-4cf167eeb842"]}],"mendeley":{"formattedCitation":"(Hunnam et al., 2021)","plainTextFormattedCitation":"(Hunnam et al., 2021)","previouslyFormattedCitation":"(Hunnam et al., 2021)"},"properties":{"noteIndex":0},"schema":"https://github.com/citation-style-language/schema/raw/master/csl-citation.json"}</w:instrText>
            </w:r>
            <w:r w:rsidR="005E2A1B" w:rsidRPr="00E129AD">
              <w:rPr>
                <w:sz w:val="18"/>
                <w:szCs w:val="18"/>
              </w:rPr>
              <w:fldChar w:fldCharType="separate"/>
            </w:r>
            <w:r w:rsidR="005E2A1B" w:rsidRPr="00E129AD">
              <w:rPr>
                <w:noProof/>
                <w:sz w:val="18"/>
                <w:szCs w:val="18"/>
              </w:rPr>
              <w:t>(Hunnam et al., 2021)</w:t>
            </w:r>
            <w:r w:rsidR="005E2A1B" w:rsidRPr="00E129AD">
              <w:rPr>
                <w:sz w:val="18"/>
                <w:szCs w:val="18"/>
              </w:rPr>
              <w:fldChar w:fldCharType="end"/>
            </w:r>
            <w:r w:rsidRPr="00E129AD">
              <w:rPr>
                <w:sz w:val="18"/>
                <w:szCs w:val="18"/>
              </w:rPr>
              <w:t>. The syndrome is characterised by diarrhoea that is unresponsive to treatment, weakness</w:t>
            </w:r>
            <w:r w:rsidR="00225773" w:rsidRPr="00E129AD">
              <w:rPr>
                <w:sz w:val="18"/>
                <w:szCs w:val="18"/>
              </w:rPr>
              <w:t xml:space="preserve">, </w:t>
            </w:r>
            <w:r w:rsidRPr="00E129AD">
              <w:rPr>
                <w:sz w:val="18"/>
                <w:szCs w:val="18"/>
              </w:rPr>
              <w:t>weight loss</w:t>
            </w:r>
            <w:r w:rsidR="00225773" w:rsidRPr="00E129AD">
              <w:rPr>
                <w:sz w:val="18"/>
                <w:szCs w:val="18"/>
              </w:rPr>
              <w:t xml:space="preserve"> and death. O</w:t>
            </w:r>
            <w:r w:rsidRPr="00E129AD">
              <w:rPr>
                <w:sz w:val="18"/>
                <w:szCs w:val="18"/>
              </w:rPr>
              <w:t>ral and oesophageal ulcerations are observed in some cases</w:t>
            </w:r>
            <w:r w:rsidR="00225773" w:rsidRPr="00E129AD">
              <w:rPr>
                <w:sz w:val="18"/>
                <w:szCs w:val="18"/>
              </w:rPr>
              <w:t>.</w:t>
            </w:r>
            <w:r w:rsidRPr="00E129AD">
              <w:rPr>
                <w:sz w:val="18"/>
                <w:szCs w:val="18"/>
              </w:rPr>
              <w:t xml:space="preserve"> </w:t>
            </w:r>
            <w:r w:rsidR="00F555C1" w:rsidRPr="00E129AD">
              <w:rPr>
                <w:sz w:val="18"/>
                <w:szCs w:val="18"/>
              </w:rPr>
              <w:t>The syndrome is reported to occur in weaned calves within one month post turnout to grass or after moving to new pasture</w:t>
            </w:r>
            <w:r w:rsidR="00F55155" w:rsidRPr="00E129AD">
              <w:rPr>
                <w:sz w:val="18"/>
                <w:szCs w:val="18"/>
              </w:rPr>
              <w:t>s</w:t>
            </w:r>
            <w:r w:rsidR="00F555C1" w:rsidRPr="00E129AD">
              <w:rPr>
                <w:sz w:val="18"/>
                <w:szCs w:val="18"/>
              </w:rPr>
              <w:t xml:space="preserve">. </w:t>
            </w:r>
            <w:r w:rsidRPr="00E129AD">
              <w:rPr>
                <w:sz w:val="18"/>
                <w:szCs w:val="18"/>
              </w:rPr>
              <w:t xml:space="preserve">The primary cause of the syndrome remains unclear, and diagnosis is often made after the common causes of calf diarrhoea at grass (e.g., coccidiosis, parasitic gastroenteritis, bovine viral diarrhoea virus (BVDV), malignant catarrhal fever (MCF), </w:t>
            </w:r>
            <w:r w:rsidRPr="00E129AD">
              <w:rPr>
                <w:i/>
                <w:sz w:val="18"/>
                <w:szCs w:val="18"/>
              </w:rPr>
              <w:t>Salmonella</w:t>
            </w:r>
            <w:r w:rsidRPr="00E129AD">
              <w:rPr>
                <w:sz w:val="18"/>
                <w:szCs w:val="18"/>
              </w:rPr>
              <w:t>,</w:t>
            </w:r>
            <w:r w:rsidRPr="00E129AD">
              <w:rPr>
                <w:i/>
                <w:sz w:val="18"/>
                <w:szCs w:val="18"/>
              </w:rPr>
              <w:t xml:space="preserve"> </w:t>
            </w:r>
            <w:r w:rsidR="005E2A1B" w:rsidRPr="00E129AD">
              <w:rPr>
                <w:sz w:val="18"/>
                <w:szCs w:val="18"/>
              </w:rPr>
              <w:t xml:space="preserve">rumen acidosis, </w:t>
            </w:r>
            <w:r w:rsidRPr="00E129AD">
              <w:rPr>
                <w:sz w:val="18"/>
                <w:szCs w:val="18"/>
              </w:rPr>
              <w:t xml:space="preserve">and </w:t>
            </w:r>
            <w:r w:rsidRPr="00E129AD">
              <w:rPr>
                <w:sz w:val="18"/>
                <w:szCs w:val="22"/>
              </w:rPr>
              <w:t xml:space="preserve">copper or molybdenum toxicities) </w:t>
            </w:r>
            <w:r w:rsidR="00225773" w:rsidRPr="00E129AD">
              <w:rPr>
                <w:sz w:val="18"/>
                <w:szCs w:val="22"/>
              </w:rPr>
              <w:t xml:space="preserve">are </w:t>
            </w:r>
            <w:r w:rsidRPr="00E129AD">
              <w:rPr>
                <w:sz w:val="18"/>
                <w:szCs w:val="22"/>
              </w:rPr>
              <w:t>excluded. The aim</w:t>
            </w:r>
            <w:r w:rsidR="00C9163F" w:rsidRPr="00E129AD">
              <w:rPr>
                <w:sz w:val="18"/>
                <w:szCs w:val="22"/>
              </w:rPr>
              <w:t>s</w:t>
            </w:r>
            <w:r w:rsidRPr="00E129AD">
              <w:rPr>
                <w:sz w:val="18"/>
                <w:szCs w:val="22"/>
              </w:rPr>
              <w:t xml:space="preserve"> of this study </w:t>
            </w:r>
            <w:r w:rsidR="00C9163F" w:rsidRPr="00E129AD">
              <w:rPr>
                <w:sz w:val="18"/>
                <w:szCs w:val="22"/>
              </w:rPr>
              <w:t xml:space="preserve">were to </w:t>
            </w:r>
            <w:r w:rsidR="00C9163F" w:rsidRPr="00E129AD">
              <w:rPr>
                <w:bCs/>
                <w:sz w:val="18"/>
                <w:szCs w:val="22"/>
              </w:rPr>
              <w:t>characterize SSS in weaned dairy calves and determine the conditions under which SSS occurs on Irish commercial farms</w:t>
            </w:r>
          </w:p>
          <w:p w:rsidR="000D3D5B" w:rsidRPr="00E129AD" w:rsidRDefault="000D3D5B" w:rsidP="000D3D5B">
            <w:pPr>
              <w:jc w:val="both"/>
              <w:rPr>
                <w:sz w:val="18"/>
                <w:szCs w:val="18"/>
              </w:rPr>
            </w:pPr>
          </w:p>
          <w:p w:rsidR="00F726F7" w:rsidRPr="00E129AD" w:rsidRDefault="00E14333" w:rsidP="000D3D5B">
            <w:pPr>
              <w:jc w:val="both"/>
              <w:rPr>
                <w:sz w:val="18"/>
                <w:szCs w:val="18"/>
              </w:rPr>
            </w:pPr>
            <w:r w:rsidRPr="00E129AD">
              <w:rPr>
                <w:b/>
                <w:sz w:val="18"/>
                <w:szCs w:val="18"/>
              </w:rPr>
              <w:t>Material and methods</w:t>
            </w:r>
            <w:r w:rsidR="00BD2013" w:rsidRPr="00E129AD">
              <w:rPr>
                <w:b/>
                <w:sz w:val="18"/>
                <w:szCs w:val="18"/>
              </w:rPr>
              <w:t>:</w:t>
            </w:r>
            <w:r w:rsidR="00280D31" w:rsidRPr="00E129AD">
              <w:rPr>
                <w:b/>
                <w:sz w:val="18"/>
                <w:szCs w:val="18"/>
              </w:rPr>
              <w:t xml:space="preserve"> </w:t>
            </w:r>
            <w:r w:rsidR="00317B4C" w:rsidRPr="00E129AD">
              <w:rPr>
                <w:sz w:val="18"/>
                <w:szCs w:val="18"/>
              </w:rPr>
              <w:t>In June 2023, five farms (three dairy farms, one dairy-beef farm, and one mixed dairy and dairy-beef farm) were visited</w:t>
            </w:r>
            <w:r w:rsidR="00F555C1" w:rsidRPr="00E129AD">
              <w:rPr>
                <w:sz w:val="18"/>
                <w:szCs w:val="18"/>
              </w:rPr>
              <w:t>,</w:t>
            </w:r>
            <w:r w:rsidR="00317B4C" w:rsidRPr="00E129AD">
              <w:rPr>
                <w:sz w:val="18"/>
                <w:szCs w:val="18"/>
              </w:rPr>
              <w:t xml:space="preserve"> after </w:t>
            </w:r>
            <w:r w:rsidR="00F555C1" w:rsidRPr="00E129AD">
              <w:rPr>
                <w:sz w:val="18"/>
                <w:szCs w:val="18"/>
              </w:rPr>
              <w:t xml:space="preserve">referral </w:t>
            </w:r>
            <w:r w:rsidR="00317B4C" w:rsidRPr="00E129AD">
              <w:rPr>
                <w:sz w:val="18"/>
                <w:szCs w:val="18"/>
              </w:rPr>
              <w:t>by private veterinary practitioners</w:t>
            </w:r>
            <w:r w:rsidR="00F55155" w:rsidRPr="00E129AD">
              <w:rPr>
                <w:sz w:val="18"/>
                <w:szCs w:val="18"/>
              </w:rPr>
              <w:t xml:space="preserve"> with s</w:t>
            </w:r>
            <w:r w:rsidR="00317B4C" w:rsidRPr="00E129AD">
              <w:rPr>
                <w:sz w:val="18"/>
                <w:szCs w:val="18"/>
              </w:rPr>
              <w:t>uspected SSS cases</w:t>
            </w:r>
            <w:r w:rsidR="00F55155" w:rsidRPr="00E129AD">
              <w:rPr>
                <w:sz w:val="18"/>
                <w:szCs w:val="18"/>
              </w:rPr>
              <w:t>.</w:t>
            </w:r>
            <w:r w:rsidR="00317B4C" w:rsidRPr="00E129AD">
              <w:rPr>
                <w:sz w:val="18"/>
                <w:szCs w:val="18"/>
              </w:rPr>
              <w:t xml:space="preserve"> </w:t>
            </w:r>
            <w:r w:rsidR="000A0567" w:rsidRPr="00E129AD">
              <w:rPr>
                <w:sz w:val="18"/>
                <w:szCs w:val="18"/>
              </w:rPr>
              <w:t>C</w:t>
            </w:r>
            <w:r w:rsidR="00317B4C" w:rsidRPr="00E129AD">
              <w:rPr>
                <w:sz w:val="18"/>
                <w:szCs w:val="18"/>
              </w:rPr>
              <w:t>linical examination</w:t>
            </w:r>
            <w:r w:rsidR="00F555C1" w:rsidRPr="00E129AD">
              <w:rPr>
                <w:sz w:val="18"/>
                <w:szCs w:val="18"/>
              </w:rPr>
              <w:t>s</w:t>
            </w:r>
            <w:r w:rsidR="00317B4C" w:rsidRPr="00E129AD">
              <w:rPr>
                <w:sz w:val="18"/>
                <w:szCs w:val="18"/>
              </w:rPr>
              <w:t xml:space="preserve"> and</w:t>
            </w:r>
            <w:r w:rsidR="00107DAE" w:rsidRPr="00E129AD">
              <w:rPr>
                <w:sz w:val="18"/>
                <w:szCs w:val="18"/>
              </w:rPr>
              <w:t xml:space="preserve"> thoracic ultrasonography </w:t>
            </w:r>
            <w:r w:rsidR="00C23B84" w:rsidRPr="00E129AD">
              <w:rPr>
                <w:sz w:val="18"/>
                <w:szCs w:val="18"/>
              </w:rPr>
              <w:t xml:space="preserve">(TUS) </w:t>
            </w:r>
            <w:r w:rsidR="00317B4C" w:rsidRPr="00E129AD">
              <w:rPr>
                <w:sz w:val="18"/>
                <w:szCs w:val="18"/>
              </w:rPr>
              <w:t xml:space="preserve">were performed on </w:t>
            </w:r>
            <w:r w:rsidR="00A95281" w:rsidRPr="00E129AD">
              <w:rPr>
                <w:sz w:val="18"/>
                <w:szCs w:val="18"/>
              </w:rPr>
              <w:t xml:space="preserve">a total of </w:t>
            </w:r>
            <w:r w:rsidR="00317B4C" w:rsidRPr="00E129AD">
              <w:rPr>
                <w:sz w:val="18"/>
                <w:szCs w:val="18"/>
              </w:rPr>
              <w:t>46 calves (8 to 10 calves per farm) displaying symptoms</w:t>
            </w:r>
            <w:r w:rsidR="00A95281" w:rsidRPr="00E129AD">
              <w:rPr>
                <w:sz w:val="18"/>
                <w:szCs w:val="18"/>
              </w:rPr>
              <w:t>. B</w:t>
            </w:r>
            <w:r w:rsidR="00317B4C" w:rsidRPr="00E129AD">
              <w:rPr>
                <w:sz w:val="18"/>
                <w:szCs w:val="18"/>
              </w:rPr>
              <w:t>iological samples including blood, feces, and rumen fluid were collected. Blood samples were analysed for ammonia concentrations immediately after collection using a point-of-care analyser (</w:t>
            </w:r>
            <w:proofErr w:type="spellStart"/>
            <w:r w:rsidR="00317B4C" w:rsidRPr="00E129AD">
              <w:rPr>
                <w:sz w:val="18"/>
                <w:szCs w:val="18"/>
              </w:rPr>
              <w:t>Pocketchem</w:t>
            </w:r>
            <w:proofErr w:type="spellEnd"/>
            <w:r w:rsidR="00317B4C" w:rsidRPr="00E129AD">
              <w:rPr>
                <w:sz w:val="18"/>
                <w:szCs w:val="18"/>
              </w:rPr>
              <w:t xml:space="preserve"> BA, </w:t>
            </w:r>
            <w:proofErr w:type="spellStart"/>
            <w:r w:rsidR="00317B4C" w:rsidRPr="00E129AD">
              <w:rPr>
                <w:sz w:val="18"/>
                <w:szCs w:val="18"/>
              </w:rPr>
              <w:t>Arkray</w:t>
            </w:r>
            <w:proofErr w:type="spellEnd"/>
            <w:r w:rsidR="00317B4C" w:rsidRPr="00E129AD">
              <w:rPr>
                <w:sz w:val="18"/>
                <w:szCs w:val="18"/>
              </w:rPr>
              <w:t xml:space="preserve">, Japan) and for </w:t>
            </w:r>
            <w:r w:rsidR="00470D28" w:rsidRPr="00E129AD">
              <w:rPr>
                <w:sz w:val="18"/>
                <w:szCs w:val="18"/>
              </w:rPr>
              <w:t xml:space="preserve">haematology </w:t>
            </w:r>
            <w:r w:rsidR="00317B4C" w:rsidRPr="00E129AD">
              <w:rPr>
                <w:sz w:val="18"/>
                <w:szCs w:val="18"/>
              </w:rPr>
              <w:t>profiles, biochemistry, and mineral</w:t>
            </w:r>
            <w:r w:rsidR="00470D28" w:rsidRPr="00E129AD">
              <w:rPr>
                <w:sz w:val="18"/>
                <w:szCs w:val="18"/>
              </w:rPr>
              <w:t xml:space="preserve"> content</w:t>
            </w:r>
            <w:r w:rsidR="00107DAE" w:rsidRPr="00E129AD">
              <w:rPr>
                <w:sz w:val="18"/>
                <w:szCs w:val="18"/>
              </w:rPr>
              <w:t xml:space="preserve">, </w:t>
            </w:r>
            <w:r w:rsidR="009C31F1" w:rsidRPr="00E129AD">
              <w:rPr>
                <w:sz w:val="18"/>
                <w:szCs w:val="18"/>
              </w:rPr>
              <w:t>and r</w:t>
            </w:r>
            <w:r w:rsidR="00107DAE" w:rsidRPr="00E129AD">
              <w:rPr>
                <w:sz w:val="18"/>
                <w:szCs w:val="18"/>
              </w:rPr>
              <w:t>umen samples were analysed for ammonia and lactic acid concentrations</w:t>
            </w:r>
            <w:r w:rsidR="009C31F1" w:rsidRPr="00E129AD">
              <w:rPr>
                <w:sz w:val="18"/>
                <w:szCs w:val="18"/>
              </w:rPr>
              <w:t xml:space="preserve">, using automated analysers. </w:t>
            </w:r>
            <w:r w:rsidR="00317B4C" w:rsidRPr="00E129AD">
              <w:rPr>
                <w:sz w:val="18"/>
                <w:szCs w:val="18"/>
              </w:rPr>
              <w:t xml:space="preserve">Faecal samples were processed for </w:t>
            </w:r>
            <w:r w:rsidR="00F344EC" w:rsidRPr="00E129AD">
              <w:rPr>
                <w:sz w:val="18"/>
                <w:szCs w:val="18"/>
              </w:rPr>
              <w:t xml:space="preserve">parasitology analysis using </w:t>
            </w:r>
            <w:r w:rsidR="00F555C1" w:rsidRPr="00E129AD">
              <w:rPr>
                <w:sz w:val="18"/>
                <w:szCs w:val="18"/>
              </w:rPr>
              <w:t xml:space="preserve">the </w:t>
            </w:r>
            <w:r w:rsidR="00317B4C" w:rsidRPr="00E129AD">
              <w:rPr>
                <w:sz w:val="18"/>
                <w:szCs w:val="18"/>
              </w:rPr>
              <w:t xml:space="preserve">McMaster technique. </w:t>
            </w:r>
            <w:r w:rsidR="00107DAE" w:rsidRPr="00E129AD">
              <w:rPr>
                <w:sz w:val="18"/>
                <w:szCs w:val="18"/>
              </w:rPr>
              <w:t xml:space="preserve">A </w:t>
            </w:r>
            <w:r w:rsidR="00317B4C" w:rsidRPr="00E129AD">
              <w:rPr>
                <w:sz w:val="18"/>
                <w:szCs w:val="18"/>
              </w:rPr>
              <w:t xml:space="preserve">questionnaire </w:t>
            </w:r>
            <w:r w:rsidR="00107DAE" w:rsidRPr="00E129AD">
              <w:rPr>
                <w:sz w:val="18"/>
                <w:szCs w:val="18"/>
              </w:rPr>
              <w:t xml:space="preserve">by means of </w:t>
            </w:r>
            <w:r w:rsidR="00317B4C" w:rsidRPr="00E129AD">
              <w:rPr>
                <w:sz w:val="18"/>
                <w:szCs w:val="18"/>
              </w:rPr>
              <w:t xml:space="preserve">interview was conducted with each farmer to record on-farm management practices. Grass and concentrate samples were collected from each farm and analysed for chemical composition, </w:t>
            </w:r>
            <w:r w:rsidR="00F555C1" w:rsidRPr="00E129AD">
              <w:rPr>
                <w:sz w:val="18"/>
                <w:szCs w:val="18"/>
              </w:rPr>
              <w:t xml:space="preserve">and </w:t>
            </w:r>
            <w:r w:rsidR="00F344EC" w:rsidRPr="00E129AD">
              <w:rPr>
                <w:sz w:val="18"/>
                <w:szCs w:val="18"/>
              </w:rPr>
              <w:t>grass trace mineral analysis</w:t>
            </w:r>
            <w:r w:rsidR="00317B4C" w:rsidRPr="00E129AD">
              <w:rPr>
                <w:sz w:val="18"/>
                <w:szCs w:val="18"/>
              </w:rPr>
              <w:t xml:space="preserve">. Descriptive statistics (PROC FREQ and PROC MEANS) in SAS 9.4 were used to summarize the distribution of </w:t>
            </w:r>
            <w:r w:rsidR="00107DAE" w:rsidRPr="00E129AD">
              <w:rPr>
                <w:sz w:val="18"/>
                <w:szCs w:val="18"/>
              </w:rPr>
              <w:t>data</w:t>
            </w:r>
            <w:r w:rsidR="00107F7A" w:rsidRPr="00E129AD">
              <w:rPr>
                <w:sz w:val="18"/>
                <w:szCs w:val="18"/>
              </w:rPr>
              <w:t xml:space="preserve"> </w:t>
            </w:r>
            <w:r w:rsidR="009C31F1" w:rsidRPr="00E129AD">
              <w:rPr>
                <w:sz w:val="18"/>
                <w:szCs w:val="18"/>
              </w:rPr>
              <w:t xml:space="preserve">collected </w:t>
            </w:r>
            <w:r w:rsidR="00F555C1" w:rsidRPr="00E129AD">
              <w:rPr>
                <w:sz w:val="18"/>
                <w:szCs w:val="18"/>
              </w:rPr>
              <w:t xml:space="preserve">per farm. </w:t>
            </w:r>
            <w:r w:rsidR="00317B4C" w:rsidRPr="00E129AD">
              <w:rPr>
                <w:sz w:val="18"/>
                <w:szCs w:val="18"/>
              </w:rPr>
              <w:t> </w:t>
            </w:r>
          </w:p>
          <w:p w:rsidR="000D3D5B" w:rsidRPr="00E129AD" w:rsidRDefault="000D3D5B" w:rsidP="000D3D5B">
            <w:pPr>
              <w:jc w:val="both"/>
              <w:rPr>
                <w:b/>
                <w:sz w:val="18"/>
                <w:szCs w:val="18"/>
              </w:rPr>
            </w:pPr>
          </w:p>
          <w:p w:rsidR="00BD0568" w:rsidRPr="00E129AD" w:rsidRDefault="00E14333" w:rsidP="000D3D5B">
            <w:pPr>
              <w:pStyle w:val="NormalWeb"/>
              <w:spacing w:before="0" w:beforeAutospacing="0" w:after="0" w:afterAutospacing="0"/>
              <w:jc w:val="both"/>
              <w:rPr>
                <w:color w:val="252525"/>
                <w:sz w:val="18"/>
                <w:szCs w:val="18"/>
              </w:rPr>
            </w:pPr>
            <w:r w:rsidRPr="00E129AD">
              <w:rPr>
                <w:b/>
                <w:sz w:val="18"/>
                <w:szCs w:val="18"/>
              </w:rPr>
              <w:t>Results</w:t>
            </w:r>
            <w:r w:rsidR="00BD2013" w:rsidRPr="00E129AD">
              <w:rPr>
                <w:b/>
                <w:sz w:val="18"/>
                <w:szCs w:val="18"/>
              </w:rPr>
              <w:t>:</w:t>
            </w:r>
            <w:r w:rsidR="00D71655" w:rsidRPr="00E129AD">
              <w:rPr>
                <w:sz w:val="18"/>
                <w:szCs w:val="18"/>
              </w:rPr>
              <w:t xml:space="preserve"> </w:t>
            </w:r>
            <w:r w:rsidR="00BD0568" w:rsidRPr="00E129AD">
              <w:rPr>
                <w:color w:val="252525"/>
                <w:sz w:val="18"/>
                <w:szCs w:val="18"/>
              </w:rPr>
              <w:t>Two farms (dairy-beef and mixed dairy and dairy-beef) were positive for coccidiosis and/or had chronic pneumonia and were design</w:t>
            </w:r>
            <w:r w:rsidR="007B561F" w:rsidRPr="00E129AD">
              <w:rPr>
                <w:color w:val="252525"/>
                <w:sz w:val="18"/>
                <w:szCs w:val="18"/>
              </w:rPr>
              <w:t>ated as non-</w:t>
            </w:r>
            <w:r w:rsidR="00D03F5D" w:rsidRPr="00E129AD">
              <w:rPr>
                <w:color w:val="252525"/>
                <w:sz w:val="18"/>
                <w:szCs w:val="18"/>
              </w:rPr>
              <w:t xml:space="preserve">SSS </w:t>
            </w:r>
            <w:r w:rsidR="007B561F" w:rsidRPr="00E129AD">
              <w:rPr>
                <w:color w:val="252525"/>
                <w:sz w:val="18"/>
                <w:szCs w:val="18"/>
              </w:rPr>
              <w:t>case farms (NCF), and</w:t>
            </w:r>
            <w:r w:rsidR="00BD0568" w:rsidRPr="00E129AD">
              <w:rPr>
                <w:color w:val="252525"/>
                <w:sz w:val="18"/>
                <w:szCs w:val="18"/>
              </w:rPr>
              <w:t xml:space="preserve"> the remaining farms were designated as</w:t>
            </w:r>
            <w:r w:rsidR="00D03F5D" w:rsidRPr="00E129AD">
              <w:rPr>
                <w:color w:val="252525"/>
                <w:sz w:val="18"/>
                <w:szCs w:val="18"/>
              </w:rPr>
              <w:t xml:space="preserve"> SSS</w:t>
            </w:r>
            <w:r w:rsidR="00BD0568" w:rsidRPr="00E129AD">
              <w:rPr>
                <w:color w:val="252525"/>
                <w:sz w:val="18"/>
                <w:szCs w:val="18"/>
              </w:rPr>
              <w:t xml:space="preserve"> case farms (CF). </w:t>
            </w:r>
            <w:r w:rsidR="00820769" w:rsidRPr="00E129AD">
              <w:rPr>
                <w:color w:val="252525"/>
                <w:sz w:val="18"/>
                <w:szCs w:val="18"/>
              </w:rPr>
              <w:t xml:space="preserve">All farms applied gradual (step-down) weaning procedures and calves were fully weaned at 70 – 84 days of age. Calves on all farms received water </w:t>
            </w:r>
            <w:r w:rsidR="00820769" w:rsidRPr="00E129AD">
              <w:rPr>
                <w:i/>
                <w:color w:val="252525"/>
                <w:sz w:val="18"/>
                <w:szCs w:val="18"/>
              </w:rPr>
              <w:t>ad libitum</w:t>
            </w:r>
            <w:r w:rsidR="00820769" w:rsidRPr="00E129AD">
              <w:rPr>
                <w:color w:val="252525"/>
                <w:sz w:val="18"/>
                <w:szCs w:val="18"/>
              </w:rPr>
              <w:t xml:space="preserve">, concentrate supplementation, and forage provision during the pre-weaning period. </w:t>
            </w:r>
            <w:r w:rsidR="00BD0568" w:rsidRPr="00E129AD">
              <w:rPr>
                <w:color w:val="252525"/>
                <w:sz w:val="18"/>
                <w:szCs w:val="18"/>
              </w:rPr>
              <w:t>Calf characteristics and clinical data of calves on CF and NCF</w:t>
            </w:r>
            <w:r w:rsidR="007971A8" w:rsidRPr="00E129AD">
              <w:rPr>
                <w:color w:val="252525"/>
                <w:sz w:val="18"/>
                <w:szCs w:val="18"/>
              </w:rPr>
              <w:t xml:space="preserve"> </w:t>
            </w:r>
            <w:r w:rsidR="00BD0568" w:rsidRPr="00E129AD">
              <w:rPr>
                <w:color w:val="252525"/>
                <w:sz w:val="18"/>
                <w:szCs w:val="18"/>
              </w:rPr>
              <w:t xml:space="preserve">are shown in Table 1. The mean rumen fluid pH was similar between CF (6.67 – 7.09) and NCF (6.43 – 6.88). Mean ammonia concentrations in rumen fluid ranged from 17.6 – 29.6 mg/L and 17.2 – 45.0 mg/L on </w:t>
            </w:r>
            <w:r w:rsidR="007D5B6A" w:rsidRPr="00E129AD">
              <w:rPr>
                <w:color w:val="252525"/>
                <w:sz w:val="18"/>
                <w:szCs w:val="18"/>
              </w:rPr>
              <w:t>CF</w:t>
            </w:r>
            <w:r w:rsidR="00BD0568" w:rsidRPr="00E129AD">
              <w:rPr>
                <w:color w:val="252525"/>
                <w:sz w:val="18"/>
                <w:szCs w:val="18"/>
              </w:rPr>
              <w:t xml:space="preserve"> and </w:t>
            </w:r>
            <w:r w:rsidR="007D5B6A" w:rsidRPr="00E129AD">
              <w:rPr>
                <w:color w:val="252525"/>
                <w:sz w:val="18"/>
                <w:szCs w:val="18"/>
              </w:rPr>
              <w:t>NCF</w:t>
            </w:r>
            <w:r w:rsidR="00BD0568" w:rsidRPr="00E129AD">
              <w:rPr>
                <w:color w:val="252525"/>
                <w:sz w:val="18"/>
                <w:szCs w:val="18"/>
              </w:rPr>
              <w:t xml:space="preserve">, respectively. Corresponding blood ammonia concentrations were 5 to 10 times higher on calves from CF compared to </w:t>
            </w:r>
            <w:r w:rsidR="007D5B6A" w:rsidRPr="00E129AD">
              <w:rPr>
                <w:color w:val="252525"/>
                <w:sz w:val="18"/>
                <w:szCs w:val="18"/>
              </w:rPr>
              <w:t>NCF</w:t>
            </w:r>
            <w:r w:rsidR="00BD0568" w:rsidRPr="00E129AD">
              <w:rPr>
                <w:color w:val="252525"/>
                <w:sz w:val="18"/>
                <w:szCs w:val="18"/>
              </w:rPr>
              <w:t xml:space="preserve"> (129 – 223 µ</w:t>
            </w:r>
            <w:proofErr w:type="spellStart"/>
            <w:r w:rsidR="00BD0568" w:rsidRPr="00E129AD">
              <w:rPr>
                <w:color w:val="252525"/>
                <w:sz w:val="18"/>
                <w:szCs w:val="18"/>
              </w:rPr>
              <w:t>mol</w:t>
            </w:r>
            <w:proofErr w:type="spellEnd"/>
            <w:r w:rsidR="00BD0568" w:rsidRPr="00E129AD">
              <w:rPr>
                <w:color w:val="252525"/>
                <w:sz w:val="18"/>
                <w:szCs w:val="18"/>
              </w:rPr>
              <w:t xml:space="preserve">/L </w:t>
            </w:r>
            <w:r w:rsidR="00BD0568" w:rsidRPr="00E129AD">
              <w:rPr>
                <w:i/>
                <w:color w:val="252525"/>
                <w:sz w:val="18"/>
                <w:szCs w:val="18"/>
              </w:rPr>
              <w:t>vs</w:t>
            </w:r>
            <w:r w:rsidR="00BD0568" w:rsidRPr="00E129AD">
              <w:rPr>
                <w:color w:val="252525"/>
                <w:sz w:val="18"/>
                <w:szCs w:val="18"/>
              </w:rPr>
              <w:t>. 22 – 25 µ</w:t>
            </w:r>
            <w:proofErr w:type="spellStart"/>
            <w:r w:rsidR="00BD0568" w:rsidRPr="00E129AD">
              <w:rPr>
                <w:color w:val="252525"/>
                <w:sz w:val="18"/>
                <w:szCs w:val="18"/>
              </w:rPr>
              <w:t>mol</w:t>
            </w:r>
            <w:proofErr w:type="spellEnd"/>
            <w:r w:rsidR="00BD0568" w:rsidRPr="00E129AD">
              <w:rPr>
                <w:color w:val="252525"/>
                <w:sz w:val="18"/>
                <w:szCs w:val="18"/>
              </w:rPr>
              <w:t xml:space="preserve">/L). Mean blood molybdenum concentrations on </w:t>
            </w:r>
            <w:r w:rsidR="007D5B6A" w:rsidRPr="00E129AD">
              <w:rPr>
                <w:color w:val="252525"/>
                <w:sz w:val="18"/>
                <w:szCs w:val="18"/>
              </w:rPr>
              <w:t>NCF</w:t>
            </w:r>
            <w:r w:rsidR="00BD0568" w:rsidRPr="00E129AD">
              <w:rPr>
                <w:color w:val="252525"/>
                <w:sz w:val="18"/>
                <w:szCs w:val="18"/>
              </w:rPr>
              <w:t xml:space="preserve"> were </w:t>
            </w:r>
            <w:r w:rsidR="00D03F5D" w:rsidRPr="00E129AD">
              <w:rPr>
                <w:color w:val="252525"/>
                <w:sz w:val="18"/>
                <w:szCs w:val="18"/>
              </w:rPr>
              <w:t>double</w:t>
            </w:r>
            <w:r w:rsidR="00BD0568" w:rsidRPr="00E129AD">
              <w:rPr>
                <w:color w:val="252525"/>
                <w:sz w:val="18"/>
                <w:szCs w:val="18"/>
              </w:rPr>
              <w:t xml:space="preserve"> the concentrations on </w:t>
            </w:r>
            <w:r w:rsidR="007D5B6A" w:rsidRPr="00E129AD">
              <w:rPr>
                <w:color w:val="252525"/>
                <w:sz w:val="18"/>
                <w:szCs w:val="18"/>
              </w:rPr>
              <w:t>CF</w:t>
            </w:r>
            <w:bookmarkStart w:id="0" w:name="_GoBack"/>
            <w:bookmarkEnd w:id="0"/>
            <w:r w:rsidR="00BD0568" w:rsidRPr="00E129AD">
              <w:rPr>
                <w:color w:val="252525"/>
                <w:sz w:val="18"/>
                <w:szCs w:val="18"/>
              </w:rPr>
              <w:t xml:space="preserve"> (12.4 – 13.3 µg/L </w:t>
            </w:r>
            <w:r w:rsidR="00BD0568" w:rsidRPr="00E129AD">
              <w:rPr>
                <w:i/>
                <w:color w:val="252525"/>
                <w:sz w:val="18"/>
                <w:szCs w:val="18"/>
              </w:rPr>
              <w:t>vs.</w:t>
            </w:r>
            <w:r w:rsidR="00BD0568" w:rsidRPr="00E129AD">
              <w:rPr>
                <w:color w:val="252525"/>
                <w:sz w:val="18"/>
                <w:szCs w:val="18"/>
              </w:rPr>
              <w:t xml:space="preserve"> </w:t>
            </w:r>
            <w:r w:rsidR="00D03F5D" w:rsidRPr="00E129AD">
              <w:rPr>
                <w:color w:val="252525"/>
                <w:sz w:val="18"/>
                <w:szCs w:val="18"/>
              </w:rPr>
              <w:t>6.5</w:t>
            </w:r>
            <w:r w:rsidR="00BD0568" w:rsidRPr="00E129AD">
              <w:rPr>
                <w:color w:val="252525"/>
                <w:sz w:val="18"/>
                <w:szCs w:val="18"/>
              </w:rPr>
              <w:t xml:space="preserve"> – </w:t>
            </w:r>
            <w:r w:rsidR="00D03F5D" w:rsidRPr="00E129AD">
              <w:rPr>
                <w:color w:val="252525"/>
                <w:sz w:val="18"/>
                <w:szCs w:val="18"/>
              </w:rPr>
              <w:t>7.5</w:t>
            </w:r>
            <w:r w:rsidR="00BD0568" w:rsidRPr="00E129AD">
              <w:rPr>
                <w:color w:val="252525"/>
                <w:sz w:val="18"/>
                <w:szCs w:val="18"/>
              </w:rPr>
              <w:t xml:space="preserve"> µg/L) but values were within the normal </w:t>
            </w:r>
            <w:r w:rsidR="00F466C2" w:rsidRPr="00E129AD">
              <w:rPr>
                <w:color w:val="252525"/>
                <w:sz w:val="18"/>
                <w:szCs w:val="18"/>
              </w:rPr>
              <w:t>range</w:t>
            </w:r>
            <w:r w:rsidR="00BD0568" w:rsidRPr="00E129AD">
              <w:rPr>
                <w:color w:val="252525"/>
                <w:sz w:val="18"/>
                <w:szCs w:val="18"/>
              </w:rPr>
              <w:t xml:space="preserve">. Mean blood copper concentrations were similar between </w:t>
            </w:r>
            <w:r w:rsidR="007D5B6A" w:rsidRPr="00E129AD">
              <w:rPr>
                <w:color w:val="252525"/>
                <w:sz w:val="18"/>
                <w:szCs w:val="18"/>
              </w:rPr>
              <w:t>CF</w:t>
            </w:r>
            <w:r w:rsidR="00BD0568" w:rsidRPr="00E129AD">
              <w:rPr>
                <w:color w:val="252525"/>
                <w:sz w:val="18"/>
                <w:szCs w:val="18"/>
              </w:rPr>
              <w:t xml:space="preserve"> and </w:t>
            </w:r>
            <w:r w:rsidR="007D5B6A" w:rsidRPr="00E129AD">
              <w:rPr>
                <w:color w:val="252525"/>
                <w:sz w:val="18"/>
                <w:szCs w:val="18"/>
              </w:rPr>
              <w:t>NCF</w:t>
            </w:r>
            <w:r w:rsidR="00BD0568" w:rsidRPr="00E129AD">
              <w:rPr>
                <w:color w:val="252525"/>
                <w:sz w:val="18"/>
                <w:szCs w:val="18"/>
              </w:rPr>
              <w:t xml:space="preserve">. Grass and concentrate from all farms had crude protein below 20 percent per kg dry matter (DM) and neutral detergent fibre above 40 percent per kg DM. On </w:t>
            </w:r>
            <w:r w:rsidR="007D5B6A" w:rsidRPr="00E129AD">
              <w:rPr>
                <w:color w:val="252525"/>
                <w:sz w:val="18"/>
                <w:szCs w:val="18"/>
              </w:rPr>
              <w:t>CF</w:t>
            </w:r>
            <w:r w:rsidR="00BD0568" w:rsidRPr="00E129AD">
              <w:rPr>
                <w:color w:val="252525"/>
                <w:sz w:val="18"/>
                <w:szCs w:val="18"/>
              </w:rPr>
              <w:t xml:space="preserve">, inorganic nitrogen fertiliser was applied 1 to 3 weeks pre-grazing, whereas on the two </w:t>
            </w:r>
            <w:r w:rsidR="007D5B6A" w:rsidRPr="00E129AD">
              <w:rPr>
                <w:color w:val="252525"/>
                <w:sz w:val="18"/>
                <w:szCs w:val="18"/>
              </w:rPr>
              <w:t>NCF</w:t>
            </w:r>
            <w:r w:rsidR="00BD0568" w:rsidRPr="00E129AD">
              <w:rPr>
                <w:color w:val="252525"/>
                <w:sz w:val="18"/>
                <w:szCs w:val="18"/>
              </w:rPr>
              <w:t>, inorganic nitrogen fertiliser was applied 2 to 3 weeks pre-grazing on one farm and no fertiliser was applied on the other.</w:t>
            </w:r>
          </w:p>
          <w:p w:rsidR="002852A0" w:rsidRPr="00E129AD" w:rsidRDefault="002852A0" w:rsidP="000D3D5B">
            <w:pPr>
              <w:shd w:val="clear" w:color="auto" w:fill="F2F2F2"/>
              <w:spacing w:before="60"/>
              <w:rPr>
                <w:sz w:val="18"/>
                <w:szCs w:val="18"/>
              </w:rPr>
            </w:pPr>
            <w:r w:rsidRPr="00E129AD">
              <w:rPr>
                <w:b/>
                <w:sz w:val="18"/>
                <w:szCs w:val="18"/>
              </w:rPr>
              <w:t xml:space="preserve">Table </w:t>
            </w:r>
            <w:r w:rsidRPr="00E129AD">
              <w:rPr>
                <w:b/>
                <w:sz w:val="18"/>
                <w:szCs w:val="18"/>
              </w:rPr>
              <w:fldChar w:fldCharType="begin"/>
            </w:r>
            <w:r w:rsidRPr="00E129AD">
              <w:rPr>
                <w:b/>
                <w:sz w:val="18"/>
                <w:szCs w:val="18"/>
              </w:rPr>
              <w:instrText xml:space="preserve"> SEQ Table \* ARABIC </w:instrText>
            </w:r>
            <w:r w:rsidRPr="00E129AD">
              <w:rPr>
                <w:b/>
                <w:sz w:val="18"/>
                <w:szCs w:val="18"/>
              </w:rPr>
              <w:fldChar w:fldCharType="separate"/>
            </w:r>
            <w:r w:rsidRPr="00E129AD">
              <w:rPr>
                <w:b/>
                <w:noProof/>
                <w:sz w:val="18"/>
                <w:szCs w:val="18"/>
              </w:rPr>
              <w:t>1</w:t>
            </w:r>
            <w:r w:rsidRPr="00E129AD">
              <w:rPr>
                <w:b/>
                <w:sz w:val="18"/>
                <w:szCs w:val="18"/>
              </w:rPr>
              <w:fldChar w:fldCharType="end"/>
            </w:r>
            <w:r w:rsidRPr="00E129AD">
              <w:rPr>
                <w:b/>
                <w:sz w:val="18"/>
                <w:szCs w:val="18"/>
              </w:rPr>
              <w:t xml:space="preserve">. </w:t>
            </w:r>
            <w:r w:rsidRPr="00E129AD">
              <w:rPr>
                <w:bCs/>
                <w:sz w:val="18"/>
                <w:szCs w:val="18"/>
              </w:rPr>
              <w:t xml:space="preserve">Calf characteristics and clinical data </w:t>
            </w:r>
            <w:r w:rsidR="0035253E" w:rsidRPr="00E129AD">
              <w:rPr>
                <w:bCs/>
                <w:sz w:val="18"/>
                <w:szCs w:val="18"/>
              </w:rPr>
              <w:t xml:space="preserve">collected </w:t>
            </w:r>
            <w:r w:rsidRPr="00E129AD">
              <w:rPr>
                <w:bCs/>
                <w:sz w:val="18"/>
                <w:szCs w:val="18"/>
              </w:rPr>
              <w:t xml:space="preserve">on </w:t>
            </w:r>
            <w:r w:rsidR="007D5B6A" w:rsidRPr="00E129AD">
              <w:rPr>
                <w:bCs/>
                <w:sz w:val="18"/>
                <w:szCs w:val="18"/>
              </w:rPr>
              <w:t>CF</w:t>
            </w:r>
            <w:r w:rsidRPr="00E129AD">
              <w:rPr>
                <w:bCs/>
                <w:sz w:val="18"/>
                <w:szCs w:val="18"/>
              </w:rPr>
              <w:t xml:space="preserve"> and </w:t>
            </w:r>
            <w:r w:rsidR="007D5B6A" w:rsidRPr="00E129AD">
              <w:rPr>
                <w:bCs/>
                <w:sz w:val="18"/>
                <w:szCs w:val="18"/>
              </w:rPr>
              <w:t>NCF</w:t>
            </w:r>
          </w:p>
          <w:tbl>
            <w:tblPr>
              <w:tblW w:w="9790" w:type="dxa"/>
              <w:tblBorders>
                <w:top w:val="single" w:sz="4" w:space="0" w:color="auto"/>
                <w:bottom w:val="single" w:sz="4" w:space="0" w:color="auto"/>
              </w:tblBorders>
              <w:tblLook w:val="04A0" w:firstRow="1" w:lastRow="0" w:firstColumn="1" w:lastColumn="0" w:noHBand="0" w:noVBand="1"/>
            </w:tblPr>
            <w:tblGrid>
              <w:gridCol w:w="2253"/>
              <w:gridCol w:w="1265"/>
              <w:gridCol w:w="1880"/>
              <w:gridCol w:w="1400"/>
              <w:gridCol w:w="1721"/>
              <w:gridCol w:w="1271"/>
            </w:tblGrid>
            <w:tr w:rsidR="00C41F95" w:rsidRPr="00E129AD" w:rsidTr="00F344EC">
              <w:trPr>
                <w:trHeight w:val="20"/>
              </w:trPr>
              <w:tc>
                <w:tcPr>
                  <w:tcW w:w="1151" w:type="pct"/>
                  <w:vMerge w:val="restart"/>
                  <w:tcBorders>
                    <w:top w:val="single" w:sz="4" w:space="0" w:color="auto"/>
                    <w:bottom w:val="nil"/>
                  </w:tcBorders>
                  <w:shd w:val="clear" w:color="auto" w:fill="F2F2F2"/>
                  <w:noWrap/>
                  <w:vAlign w:val="center"/>
                  <w:hideMark/>
                </w:tcPr>
                <w:p w:rsidR="00C41F95" w:rsidRPr="00E129AD" w:rsidRDefault="00C41F95" w:rsidP="000D3D5B">
                  <w:pPr>
                    <w:shd w:val="clear" w:color="auto" w:fill="F2F2F2"/>
                    <w:jc w:val="center"/>
                    <w:rPr>
                      <w:b/>
                      <w:bCs/>
                      <w:sz w:val="18"/>
                      <w:szCs w:val="18"/>
                      <w:lang w:eastAsia="en-IE"/>
                    </w:rPr>
                  </w:pPr>
                </w:p>
              </w:tc>
              <w:tc>
                <w:tcPr>
                  <w:tcW w:w="2320" w:type="pct"/>
                  <w:gridSpan w:val="3"/>
                  <w:tcBorders>
                    <w:top w:val="single" w:sz="4" w:space="0" w:color="auto"/>
                    <w:bottom w:val="single" w:sz="4" w:space="0" w:color="auto"/>
                  </w:tcBorders>
                  <w:shd w:val="clear" w:color="auto" w:fill="F2F2F2"/>
                  <w:noWrap/>
                  <w:vAlign w:val="center"/>
                  <w:hideMark/>
                </w:tcPr>
                <w:p w:rsidR="00C41F95" w:rsidRPr="00E129AD" w:rsidRDefault="007D5B6A" w:rsidP="000D3D5B">
                  <w:pPr>
                    <w:shd w:val="clear" w:color="auto" w:fill="F2F2F2"/>
                    <w:jc w:val="center"/>
                    <w:rPr>
                      <w:b/>
                      <w:bCs/>
                      <w:sz w:val="18"/>
                      <w:szCs w:val="18"/>
                      <w:lang w:eastAsia="en-IE"/>
                    </w:rPr>
                  </w:pPr>
                  <w:r w:rsidRPr="00E129AD">
                    <w:rPr>
                      <w:b/>
                      <w:bCs/>
                      <w:sz w:val="18"/>
                      <w:szCs w:val="18"/>
                      <w:lang w:eastAsia="en-IE"/>
                    </w:rPr>
                    <w:t>CF</w:t>
                  </w:r>
                </w:p>
              </w:tc>
              <w:tc>
                <w:tcPr>
                  <w:tcW w:w="1529" w:type="pct"/>
                  <w:gridSpan w:val="2"/>
                  <w:tcBorders>
                    <w:top w:val="single" w:sz="4" w:space="0" w:color="auto"/>
                    <w:bottom w:val="single" w:sz="4" w:space="0" w:color="auto"/>
                  </w:tcBorders>
                  <w:shd w:val="clear" w:color="auto" w:fill="F2F2F2"/>
                  <w:noWrap/>
                  <w:vAlign w:val="center"/>
                  <w:hideMark/>
                </w:tcPr>
                <w:p w:rsidR="00C41F95" w:rsidRPr="00E129AD" w:rsidRDefault="007D5B6A" w:rsidP="000D3D5B">
                  <w:pPr>
                    <w:shd w:val="clear" w:color="auto" w:fill="F2F2F2"/>
                    <w:jc w:val="center"/>
                    <w:rPr>
                      <w:b/>
                      <w:bCs/>
                      <w:sz w:val="18"/>
                      <w:szCs w:val="18"/>
                      <w:lang w:eastAsia="en-IE"/>
                    </w:rPr>
                  </w:pPr>
                  <w:r w:rsidRPr="00E129AD">
                    <w:rPr>
                      <w:b/>
                      <w:bCs/>
                      <w:sz w:val="18"/>
                      <w:szCs w:val="18"/>
                      <w:lang w:eastAsia="en-IE"/>
                    </w:rPr>
                    <w:t>NCF</w:t>
                  </w:r>
                </w:p>
              </w:tc>
            </w:tr>
            <w:tr w:rsidR="00F344EC" w:rsidRPr="00E129AD" w:rsidTr="00D528DE">
              <w:trPr>
                <w:trHeight w:val="20"/>
              </w:trPr>
              <w:tc>
                <w:tcPr>
                  <w:tcW w:w="1151" w:type="pct"/>
                  <w:vMerge/>
                  <w:tcBorders>
                    <w:top w:val="nil"/>
                    <w:bottom w:val="single" w:sz="4" w:space="0" w:color="auto"/>
                  </w:tcBorders>
                  <w:shd w:val="clear" w:color="auto" w:fill="F2F2F2"/>
                  <w:vAlign w:val="center"/>
                  <w:hideMark/>
                </w:tcPr>
                <w:p w:rsidR="00C41F95" w:rsidRPr="00E129AD" w:rsidRDefault="00C41F95" w:rsidP="000D3D5B">
                  <w:pPr>
                    <w:shd w:val="clear" w:color="auto" w:fill="F2F2F2"/>
                    <w:jc w:val="center"/>
                    <w:rPr>
                      <w:b/>
                      <w:bCs/>
                      <w:sz w:val="18"/>
                      <w:szCs w:val="18"/>
                      <w:lang w:eastAsia="en-IE"/>
                    </w:rPr>
                  </w:pPr>
                </w:p>
              </w:tc>
              <w:tc>
                <w:tcPr>
                  <w:tcW w:w="646" w:type="pct"/>
                  <w:tcBorders>
                    <w:top w:val="single" w:sz="4" w:space="0" w:color="auto"/>
                    <w:bottom w:val="single" w:sz="4" w:space="0" w:color="auto"/>
                  </w:tcBorders>
                  <w:shd w:val="clear" w:color="auto" w:fill="F2F2F2"/>
                  <w:vAlign w:val="center"/>
                  <w:hideMark/>
                </w:tcPr>
                <w:p w:rsidR="00C41F95" w:rsidRPr="00E129AD" w:rsidRDefault="00C41F95" w:rsidP="000D3D5B">
                  <w:pPr>
                    <w:shd w:val="clear" w:color="auto" w:fill="F2F2F2"/>
                    <w:jc w:val="center"/>
                    <w:rPr>
                      <w:b/>
                      <w:bCs/>
                      <w:sz w:val="18"/>
                      <w:szCs w:val="18"/>
                      <w:lang w:eastAsia="en-IE"/>
                    </w:rPr>
                  </w:pPr>
                  <w:r w:rsidRPr="00E129AD">
                    <w:rPr>
                      <w:b/>
                      <w:bCs/>
                      <w:sz w:val="18"/>
                      <w:szCs w:val="18"/>
                      <w:lang w:eastAsia="en-IE"/>
                    </w:rPr>
                    <w:t xml:space="preserve">CF 1 </w:t>
                  </w:r>
                  <w:r w:rsidRPr="00E129AD">
                    <w:rPr>
                      <w:b/>
                      <w:bCs/>
                      <w:iCs/>
                      <w:sz w:val="18"/>
                      <w:szCs w:val="18"/>
                      <w:lang w:eastAsia="en-IE"/>
                    </w:rPr>
                    <w:t>(</w:t>
                  </w:r>
                  <w:r w:rsidRPr="00E129AD">
                    <w:rPr>
                      <w:b/>
                      <w:bCs/>
                      <w:i/>
                      <w:iCs/>
                      <w:sz w:val="18"/>
                      <w:szCs w:val="18"/>
                      <w:lang w:eastAsia="en-IE"/>
                    </w:rPr>
                    <w:t>n</w:t>
                  </w:r>
                  <w:r w:rsidRPr="00E129AD">
                    <w:rPr>
                      <w:b/>
                      <w:bCs/>
                      <w:sz w:val="18"/>
                      <w:szCs w:val="18"/>
                      <w:lang w:eastAsia="en-IE"/>
                    </w:rPr>
                    <w:t xml:space="preserve"> = 10)</w:t>
                  </w:r>
                </w:p>
              </w:tc>
              <w:tc>
                <w:tcPr>
                  <w:tcW w:w="960" w:type="pct"/>
                  <w:tcBorders>
                    <w:top w:val="single" w:sz="4" w:space="0" w:color="auto"/>
                    <w:bottom w:val="single" w:sz="4" w:space="0" w:color="auto"/>
                  </w:tcBorders>
                  <w:shd w:val="clear" w:color="auto" w:fill="F2F2F2"/>
                  <w:vAlign w:val="center"/>
                  <w:hideMark/>
                </w:tcPr>
                <w:p w:rsidR="00C41F95" w:rsidRPr="00E129AD" w:rsidRDefault="00C41F95" w:rsidP="000D3D5B">
                  <w:pPr>
                    <w:shd w:val="clear" w:color="auto" w:fill="F2F2F2"/>
                    <w:jc w:val="center"/>
                    <w:rPr>
                      <w:b/>
                      <w:bCs/>
                      <w:sz w:val="18"/>
                      <w:szCs w:val="18"/>
                      <w:lang w:eastAsia="en-IE"/>
                    </w:rPr>
                  </w:pPr>
                  <w:r w:rsidRPr="00E129AD">
                    <w:rPr>
                      <w:b/>
                      <w:bCs/>
                      <w:sz w:val="18"/>
                      <w:szCs w:val="18"/>
                      <w:lang w:eastAsia="en-IE"/>
                    </w:rPr>
                    <w:t>CF 2 (</w:t>
                  </w:r>
                  <w:r w:rsidRPr="00E129AD">
                    <w:rPr>
                      <w:b/>
                      <w:bCs/>
                      <w:i/>
                      <w:iCs/>
                      <w:sz w:val="18"/>
                      <w:szCs w:val="18"/>
                      <w:lang w:eastAsia="en-IE"/>
                    </w:rPr>
                    <w:t xml:space="preserve">n </w:t>
                  </w:r>
                  <w:r w:rsidRPr="00E129AD">
                    <w:rPr>
                      <w:b/>
                      <w:bCs/>
                      <w:sz w:val="18"/>
                      <w:szCs w:val="18"/>
                      <w:lang w:eastAsia="en-IE"/>
                    </w:rPr>
                    <w:t>= 10)</w:t>
                  </w:r>
                </w:p>
              </w:tc>
              <w:tc>
                <w:tcPr>
                  <w:tcW w:w="715" w:type="pct"/>
                  <w:tcBorders>
                    <w:top w:val="single" w:sz="4" w:space="0" w:color="auto"/>
                    <w:bottom w:val="single" w:sz="4" w:space="0" w:color="auto"/>
                  </w:tcBorders>
                  <w:shd w:val="clear" w:color="auto" w:fill="F2F2F2"/>
                  <w:vAlign w:val="center"/>
                  <w:hideMark/>
                </w:tcPr>
                <w:p w:rsidR="00C41F95" w:rsidRPr="00E129AD" w:rsidRDefault="00C41F95" w:rsidP="000D3D5B">
                  <w:pPr>
                    <w:shd w:val="clear" w:color="auto" w:fill="F2F2F2"/>
                    <w:jc w:val="center"/>
                    <w:rPr>
                      <w:b/>
                      <w:bCs/>
                      <w:sz w:val="18"/>
                      <w:szCs w:val="18"/>
                      <w:lang w:eastAsia="en-IE"/>
                    </w:rPr>
                  </w:pPr>
                  <w:r w:rsidRPr="00E129AD">
                    <w:rPr>
                      <w:b/>
                      <w:bCs/>
                      <w:sz w:val="18"/>
                      <w:szCs w:val="18"/>
                      <w:lang w:eastAsia="en-IE"/>
                    </w:rPr>
                    <w:t>CF 3 (</w:t>
                  </w:r>
                  <w:r w:rsidRPr="00E129AD">
                    <w:rPr>
                      <w:b/>
                      <w:bCs/>
                      <w:i/>
                      <w:iCs/>
                      <w:sz w:val="18"/>
                      <w:szCs w:val="18"/>
                      <w:lang w:eastAsia="en-IE"/>
                    </w:rPr>
                    <w:t>n</w:t>
                  </w:r>
                  <w:r w:rsidRPr="00E129AD">
                    <w:rPr>
                      <w:b/>
                      <w:bCs/>
                      <w:sz w:val="18"/>
                      <w:szCs w:val="18"/>
                      <w:lang w:eastAsia="en-IE"/>
                    </w:rPr>
                    <w:t xml:space="preserve"> = 10)</w:t>
                  </w:r>
                </w:p>
              </w:tc>
              <w:tc>
                <w:tcPr>
                  <w:tcW w:w="879" w:type="pct"/>
                  <w:tcBorders>
                    <w:top w:val="single" w:sz="4" w:space="0" w:color="auto"/>
                    <w:bottom w:val="single" w:sz="4" w:space="0" w:color="auto"/>
                  </w:tcBorders>
                  <w:shd w:val="clear" w:color="auto" w:fill="F2F2F2"/>
                  <w:vAlign w:val="center"/>
                  <w:hideMark/>
                </w:tcPr>
                <w:p w:rsidR="00C41F95" w:rsidRPr="00E129AD" w:rsidRDefault="00C41F95" w:rsidP="000D3D5B">
                  <w:pPr>
                    <w:shd w:val="clear" w:color="auto" w:fill="F2F2F2"/>
                    <w:jc w:val="center"/>
                    <w:rPr>
                      <w:b/>
                      <w:bCs/>
                      <w:sz w:val="18"/>
                      <w:szCs w:val="18"/>
                      <w:lang w:eastAsia="en-IE"/>
                    </w:rPr>
                  </w:pPr>
                  <w:r w:rsidRPr="00E129AD">
                    <w:rPr>
                      <w:b/>
                      <w:bCs/>
                      <w:sz w:val="18"/>
                      <w:szCs w:val="18"/>
                      <w:lang w:eastAsia="en-IE"/>
                    </w:rPr>
                    <w:t>NCF 1 (</w:t>
                  </w:r>
                  <w:r w:rsidRPr="00E129AD">
                    <w:rPr>
                      <w:b/>
                      <w:bCs/>
                      <w:i/>
                      <w:iCs/>
                      <w:sz w:val="18"/>
                      <w:szCs w:val="18"/>
                      <w:lang w:eastAsia="en-IE"/>
                    </w:rPr>
                    <w:t>n</w:t>
                  </w:r>
                  <w:r w:rsidRPr="00E129AD">
                    <w:rPr>
                      <w:b/>
                      <w:bCs/>
                      <w:sz w:val="18"/>
                      <w:szCs w:val="18"/>
                      <w:lang w:eastAsia="en-IE"/>
                    </w:rPr>
                    <w:t xml:space="preserve"> = 8)</w:t>
                  </w:r>
                </w:p>
              </w:tc>
              <w:tc>
                <w:tcPr>
                  <w:tcW w:w="650" w:type="pct"/>
                  <w:tcBorders>
                    <w:top w:val="single" w:sz="4" w:space="0" w:color="auto"/>
                    <w:bottom w:val="single" w:sz="4" w:space="0" w:color="auto"/>
                  </w:tcBorders>
                  <w:shd w:val="clear" w:color="auto" w:fill="F2F2F2"/>
                  <w:vAlign w:val="center"/>
                  <w:hideMark/>
                </w:tcPr>
                <w:p w:rsidR="00C41F95" w:rsidRPr="00E129AD" w:rsidRDefault="00C41F95" w:rsidP="000D3D5B">
                  <w:pPr>
                    <w:shd w:val="clear" w:color="auto" w:fill="F2F2F2"/>
                    <w:jc w:val="center"/>
                    <w:rPr>
                      <w:b/>
                      <w:bCs/>
                      <w:sz w:val="18"/>
                      <w:szCs w:val="18"/>
                      <w:lang w:eastAsia="en-IE"/>
                    </w:rPr>
                  </w:pPr>
                  <w:r w:rsidRPr="00E129AD">
                    <w:rPr>
                      <w:b/>
                      <w:bCs/>
                      <w:sz w:val="18"/>
                      <w:szCs w:val="18"/>
                      <w:lang w:eastAsia="en-IE"/>
                    </w:rPr>
                    <w:t>NCF 2 (</w:t>
                  </w:r>
                  <w:r w:rsidRPr="00E129AD">
                    <w:rPr>
                      <w:b/>
                      <w:bCs/>
                      <w:i/>
                      <w:iCs/>
                      <w:sz w:val="18"/>
                      <w:szCs w:val="18"/>
                      <w:lang w:eastAsia="en-IE"/>
                    </w:rPr>
                    <w:t>n</w:t>
                  </w:r>
                  <w:r w:rsidRPr="00E129AD">
                    <w:rPr>
                      <w:b/>
                      <w:bCs/>
                      <w:sz w:val="18"/>
                      <w:szCs w:val="18"/>
                      <w:lang w:eastAsia="en-IE"/>
                    </w:rPr>
                    <w:t xml:space="preserve"> = 8)</w:t>
                  </w:r>
                </w:p>
              </w:tc>
            </w:tr>
            <w:tr w:rsidR="00F344EC" w:rsidRPr="00E129AD" w:rsidTr="00D528DE">
              <w:trPr>
                <w:trHeight w:val="20"/>
              </w:trPr>
              <w:tc>
                <w:tcPr>
                  <w:tcW w:w="1151" w:type="pct"/>
                  <w:shd w:val="clear" w:color="auto" w:fill="F2F2F2"/>
                  <w:vAlign w:val="center"/>
                  <w:hideMark/>
                </w:tcPr>
                <w:p w:rsidR="00C41F95" w:rsidRPr="00E129AD" w:rsidRDefault="00C41F95" w:rsidP="000D3D5B">
                  <w:pPr>
                    <w:shd w:val="clear" w:color="auto" w:fill="F2F2F2"/>
                    <w:rPr>
                      <w:sz w:val="18"/>
                      <w:szCs w:val="18"/>
                      <w:lang w:eastAsia="en-IE"/>
                    </w:rPr>
                  </w:pPr>
                  <w:r w:rsidRPr="00E129AD">
                    <w:rPr>
                      <w:sz w:val="18"/>
                      <w:szCs w:val="18"/>
                      <w:lang w:eastAsia="en-IE"/>
                    </w:rPr>
                    <w:t>Calf sex (number)</w:t>
                  </w:r>
                </w:p>
              </w:tc>
              <w:tc>
                <w:tcPr>
                  <w:tcW w:w="646" w:type="pct"/>
                  <w:shd w:val="clear" w:color="auto" w:fill="F2F2F2"/>
                  <w:noWrap/>
                  <w:vAlign w:val="center"/>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Female (10)</w:t>
                  </w:r>
                </w:p>
              </w:tc>
              <w:tc>
                <w:tcPr>
                  <w:tcW w:w="960" w:type="pct"/>
                  <w:shd w:val="clear" w:color="auto" w:fill="F2F2F2"/>
                  <w:noWrap/>
                  <w:vAlign w:val="center"/>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Female (10)</w:t>
                  </w:r>
                </w:p>
              </w:tc>
              <w:tc>
                <w:tcPr>
                  <w:tcW w:w="715" w:type="pct"/>
                  <w:shd w:val="clear" w:color="auto" w:fill="F2F2F2"/>
                  <w:noWrap/>
                  <w:vAlign w:val="center"/>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Female (10)</w:t>
                  </w:r>
                </w:p>
              </w:tc>
              <w:tc>
                <w:tcPr>
                  <w:tcW w:w="879" w:type="pct"/>
                  <w:shd w:val="clear" w:color="auto" w:fill="F2F2F2"/>
                  <w:noWrap/>
                  <w:vAlign w:val="center"/>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Female (3); Male (5)</w:t>
                  </w:r>
                </w:p>
              </w:tc>
              <w:tc>
                <w:tcPr>
                  <w:tcW w:w="650" w:type="pct"/>
                  <w:shd w:val="clear" w:color="auto" w:fill="F2F2F2"/>
                  <w:noWrap/>
                  <w:vAlign w:val="center"/>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Male (8)</w:t>
                  </w:r>
                </w:p>
              </w:tc>
            </w:tr>
            <w:tr w:rsidR="00F344EC" w:rsidRPr="00E129AD" w:rsidTr="00F344EC">
              <w:trPr>
                <w:trHeight w:val="20"/>
              </w:trPr>
              <w:tc>
                <w:tcPr>
                  <w:tcW w:w="1151" w:type="pct"/>
                  <w:shd w:val="clear" w:color="auto" w:fill="auto"/>
                  <w:vAlign w:val="center"/>
                </w:tcPr>
                <w:p w:rsidR="00C41F95" w:rsidRPr="00E129AD" w:rsidRDefault="00C41F95" w:rsidP="000D3D5B">
                  <w:pPr>
                    <w:shd w:val="clear" w:color="auto" w:fill="F2F2F2"/>
                    <w:rPr>
                      <w:sz w:val="18"/>
                      <w:szCs w:val="18"/>
                      <w:lang w:eastAsia="en-IE"/>
                    </w:rPr>
                  </w:pPr>
                  <w:r w:rsidRPr="00E129AD">
                    <w:rPr>
                      <w:sz w:val="18"/>
                      <w:szCs w:val="18"/>
                      <w:lang w:eastAsia="en-IE"/>
                    </w:rPr>
                    <w:t>Age (SD) in days at turnout</w:t>
                  </w:r>
                </w:p>
              </w:tc>
              <w:tc>
                <w:tcPr>
                  <w:tcW w:w="646" w:type="pct"/>
                  <w:shd w:val="clear" w:color="auto" w:fill="auto"/>
                  <w:noWrap/>
                  <w:vAlign w:val="center"/>
                </w:tcPr>
                <w:p w:rsidR="00C41F95" w:rsidRPr="00E129AD" w:rsidRDefault="00C41F95" w:rsidP="000D3D5B">
                  <w:pPr>
                    <w:shd w:val="clear" w:color="auto" w:fill="F2F2F2"/>
                    <w:jc w:val="center"/>
                    <w:rPr>
                      <w:sz w:val="18"/>
                      <w:szCs w:val="18"/>
                      <w:lang w:eastAsia="en-IE"/>
                    </w:rPr>
                  </w:pPr>
                  <w:r w:rsidRPr="00E129AD">
                    <w:rPr>
                      <w:sz w:val="18"/>
                      <w:szCs w:val="18"/>
                      <w:lang w:eastAsia="en-IE"/>
                    </w:rPr>
                    <w:t>67 (6)</w:t>
                  </w:r>
                </w:p>
              </w:tc>
              <w:tc>
                <w:tcPr>
                  <w:tcW w:w="960" w:type="pct"/>
                  <w:shd w:val="clear" w:color="auto" w:fill="auto"/>
                  <w:noWrap/>
                  <w:vAlign w:val="center"/>
                </w:tcPr>
                <w:p w:rsidR="00C41F95" w:rsidRPr="00E129AD" w:rsidRDefault="00C41F95" w:rsidP="000D3D5B">
                  <w:pPr>
                    <w:shd w:val="clear" w:color="auto" w:fill="F2F2F2"/>
                    <w:jc w:val="center"/>
                    <w:rPr>
                      <w:sz w:val="18"/>
                      <w:szCs w:val="18"/>
                      <w:lang w:eastAsia="en-IE"/>
                    </w:rPr>
                  </w:pPr>
                  <w:r w:rsidRPr="00E129AD">
                    <w:rPr>
                      <w:sz w:val="18"/>
                      <w:szCs w:val="18"/>
                      <w:lang w:eastAsia="en-IE"/>
                    </w:rPr>
                    <w:t>100 (4)</w:t>
                  </w:r>
                </w:p>
              </w:tc>
              <w:tc>
                <w:tcPr>
                  <w:tcW w:w="715" w:type="pct"/>
                  <w:shd w:val="clear" w:color="auto" w:fill="auto"/>
                  <w:noWrap/>
                  <w:vAlign w:val="center"/>
                </w:tcPr>
                <w:p w:rsidR="00C41F95" w:rsidRPr="00E129AD" w:rsidRDefault="00C41F95" w:rsidP="000D3D5B">
                  <w:pPr>
                    <w:shd w:val="clear" w:color="auto" w:fill="F2F2F2"/>
                    <w:jc w:val="center"/>
                    <w:rPr>
                      <w:sz w:val="18"/>
                      <w:szCs w:val="18"/>
                      <w:lang w:eastAsia="en-IE"/>
                    </w:rPr>
                  </w:pPr>
                  <w:r w:rsidRPr="00E129AD">
                    <w:rPr>
                      <w:sz w:val="18"/>
                      <w:szCs w:val="18"/>
                      <w:lang w:eastAsia="en-IE"/>
                    </w:rPr>
                    <w:t>100 (4)</w:t>
                  </w:r>
                </w:p>
              </w:tc>
              <w:tc>
                <w:tcPr>
                  <w:tcW w:w="879" w:type="pct"/>
                  <w:shd w:val="clear" w:color="auto" w:fill="auto"/>
                  <w:noWrap/>
                  <w:vAlign w:val="center"/>
                </w:tcPr>
                <w:p w:rsidR="00C41F95" w:rsidRPr="00E129AD" w:rsidRDefault="00C41F95" w:rsidP="000D3D5B">
                  <w:pPr>
                    <w:shd w:val="clear" w:color="auto" w:fill="F2F2F2"/>
                    <w:jc w:val="center"/>
                    <w:rPr>
                      <w:sz w:val="18"/>
                      <w:szCs w:val="18"/>
                      <w:lang w:eastAsia="en-IE"/>
                    </w:rPr>
                  </w:pPr>
                  <w:r w:rsidRPr="00E129AD">
                    <w:rPr>
                      <w:sz w:val="18"/>
                      <w:szCs w:val="18"/>
                      <w:lang w:eastAsia="en-IE"/>
                    </w:rPr>
                    <w:t>51 (13)</w:t>
                  </w:r>
                </w:p>
              </w:tc>
              <w:tc>
                <w:tcPr>
                  <w:tcW w:w="650" w:type="pct"/>
                  <w:shd w:val="clear" w:color="auto" w:fill="auto"/>
                  <w:noWrap/>
                  <w:vAlign w:val="center"/>
                </w:tcPr>
                <w:p w:rsidR="00C41F95" w:rsidRPr="00E129AD" w:rsidRDefault="00C41F95" w:rsidP="000D3D5B">
                  <w:pPr>
                    <w:shd w:val="clear" w:color="auto" w:fill="F2F2F2"/>
                    <w:jc w:val="center"/>
                    <w:rPr>
                      <w:sz w:val="18"/>
                      <w:szCs w:val="18"/>
                      <w:lang w:eastAsia="en-IE"/>
                    </w:rPr>
                  </w:pPr>
                  <w:r w:rsidRPr="00E129AD">
                    <w:rPr>
                      <w:sz w:val="18"/>
                      <w:szCs w:val="18"/>
                      <w:lang w:eastAsia="en-IE"/>
                    </w:rPr>
                    <w:t>85 (11)</w:t>
                  </w:r>
                </w:p>
              </w:tc>
            </w:tr>
            <w:tr w:rsidR="00F344EC" w:rsidRPr="00E129AD" w:rsidTr="00F344EC">
              <w:trPr>
                <w:trHeight w:val="20"/>
              </w:trPr>
              <w:tc>
                <w:tcPr>
                  <w:tcW w:w="1151" w:type="pct"/>
                  <w:shd w:val="clear" w:color="auto" w:fill="auto"/>
                  <w:vAlign w:val="center"/>
                  <w:hideMark/>
                </w:tcPr>
                <w:p w:rsidR="00C41F95" w:rsidRPr="00E129AD" w:rsidRDefault="00C41F95" w:rsidP="000D3D5B">
                  <w:pPr>
                    <w:shd w:val="clear" w:color="auto" w:fill="F2F2F2"/>
                    <w:rPr>
                      <w:sz w:val="18"/>
                      <w:szCs w:val="18"/>
                      <w:lang w:eastAsia="en-IE"/>
                    </w:rPr>
                  </w:pPr>
                  <w:r w:rsidRPr="00E129AD">
                    <w:rPr>
                      <w:sz w:val="18"/>
                      <w:szCs w:val="18"/>
                      <w:lang w:eastAsia="en-IE"/>
                    </w:rPr>
                    <w:t>Age (SD) in days at visit</w:t>
                  </w:r>
                </w:p>
              </w:tc>
              <w:tc>
                <w:tcPr>
                  <w:tcW w:w="646" w:type="pct"/>
                  <w:shd w:val="clear" w:color="auto" w:fill="auto"/>
                  <w:noWrap/>
                  <w:vAlign w:val="center"/>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127 (6)</w:t>
                  </w:r>
                </w:p>
              </w:tc>
              <w:tc>
                <w:tcPr>
                  <w:tcW w:w="960" w:type="pct"/>
                  <w:shd w:val="clear" w:color="auto" w:fill="auto"/>
                  <w:noWrap/>
                  <w:vAlign w:val="center"/>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135 (4)</w:t>
                  </w:r>
                </w:p>
              </w:tc>
              <w:tc>
                <w:tcPr>
                  <w:tcW w:w="715" w:type="pct"/>
                  <w:shd w:val="clear" w:color="auto" w:fill="auto"/>
                  <w:noWrap/>
                  <w:vAlign w:val="center"/>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129 (4)</w:t>
                  </w:r>
                </w:p>
              </w:tc>
              <w:tc>
                <w:tcPr>
                  <w:tcW w:w="879" w:type="pct"/>
                  <w:shd w:val="clear" w:color="auto" w:fill="auto"/>
                  <w:noWrap/>
                  <w:vAlign w:val="center"/>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113 (13)</w:t>
                  </w:r>
                </w:p>
              </w:tc>
              <w:tc>
                <w:tcPr>
                  <w:tcW w:w="650" w:type="pct"/>
                  <w:shd w:val="clear" w:color="auto" w:fill="auto"/>
                  <w:noWrap/>
                  <w:vAlign w:val="center"/>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128 (11)</w:t>
                  </w:r>
                </w:p>
              </w:tc>
            </w:tr>
            <w:tr w:rsidR="00F344EC" w:rsidRPr="00E129AD" w:rsidTr="00F344EC">
              <w:trPr>
                <w:trHeight w:val="20"/>
              </w:trPr>
              <w:tc>
                <w:tcPr>
                  <w:tcW w:w="1151" w:type="pct"/>
                  <w:shd w:val="clear" w:color="auto" w:fill="auto"/>
                  <w:vAlign w:val="center"/>
                  <w:hideMark/>
                </w:tcPr>
                <w:p w:rsidR="00C41F95" w:rsidRPr="00E129AD" w:rsidRDefault="00C41F95" w:rsidP="000D3D5B">
                  <w:pPr>
                    <w:shd w:val="clear" w:color="auto" w:fill="F2F2F2"/>
                    <w:rPr>
                      <w:sz w:val="18"/>
                      <w:szCs w:val="18"/>
                      <w:lang w:eastAsia="en-IE"/>
                    </w:rPr>
                  </w:pPr>
                  <w:r w:rsidRPr="00E129AD">
                    <w:rPr>
                      <w:sz w:val="18"/>
                      <w:szCs w:val="18"/>
                      <w:lang w:eastAsia="en-IE"/>
                    </w:rPr>
                    <w:t>Body weight (SD) in kg</w:t>
                  </w:r>
                </w:p>
              </w:tc>
              <w:tc>
                <w:tcPr>
                  <w:tcW w:w="646" w:type="pct"/>
                  <w:shd w:val="clear" w:color="auto" w:fill="auto"/>
                  <w:noWrap/>
                  <w:vAlign w:val="center"/>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116 (12.4)</w:t>
                  </w:r>
                </w:p>
              </w:tc>
              <w:tc>
                <w:tcPr>
                  <w:tcW w:w="960" w:type="pct"/>
                  <w:shd w:val="clear" w:color="auto" w:fill="auto"/>
                  <w:noWrap/>
                  <w:vAlign w:val="center"/>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123 (11.7)</w:t>
                  </w:r>
                </w:p>
              </w:tc>
              <w:tc>
                <w:tcPr>
                  <w:tcW w:w="715" w:type="pct"/>
                  <w:shd w:val="clear" w:color="auto" w:fill="auto"/>
                  <w:noWrap/>
                  <w:vAlign w:val="center"/>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129 (10.2)</w:t>
                  </w:r>
                </w:p>
              </w:tc>
              <w:tc>
                <w:tcPr>
                  <w:tcW w:w="879" w:type="pct"/>
                  <w:shd w:val="clear" w:color="auto" w:fill="auto"/>
                  <w:noWrap/>
                  <w:vAlign w:val="center"/>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112 (10.8)</w:t>
                  </w:r>
                </w:p>
              </w:tc>
              <w:tc>
                <w:tcPr>
                  <w:tcW w:w="650" w:type="pct"/>
                  <w:shd w:val="clear" w:color="auto" w:fill="auto"/>
                  <w:noWrap/>
                  <w:vAlign w:val="center"/>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103 (21.4)</w:t>
                  </w:r>
                </w:p>
              </w:tc>
            </w:tr>
            <w:tr w:rsidR="00C41F95" w:rsidRPr="00E129AD" w:rsidTr="00F344EC">
              <w:trPr>
                <w:trHeight w:val="20"/>
              </w:trPr>
              <w:tc>
                <w:tcPr>
                  <w:tcW w:w="1151" w:type="pct"/>
                  <w:shd w:val="clear" w:color="auto" w:fill="auto"/>
                  <w:vAlign w:val="center"/>
                </w:tcPr>
                <w:p w:rsidR="00C41F95" w:rsidRPr="00E129AD" w:rsidRDefault="00C41F95" w:rsidP="000D3D5B">
                  <w:pPr>
                    <w:shd w:val="clear" w:color="auto" w:fill="F2F2F2"/>
                    <w:rPr>
                      <w:sz w:val="18"/>
                      <w:szCs w:val="18"/>
                      <w:lang w:eastAsia="en-IE"/>
                    </w:rPr>
                  </w:pPr>
                </w:p>
              </w:tc>
              <w:tc>
                <w:tcPr>
                  <w:tcW w:w="3849" w:type="pct"/>
                  <w:gridSpan w:val="5"/>
                  <w:shd w:val="clear" w:color="auto" w:fill="auto"/>
                  <w:noWrap/>
                  <w:vAlign w:val="center"/>
                </w:tcPr>
                <w:p w:rsidR="00C41F95" w:rsidRPr="00E129AD" w:rsidRDefault="00C41F95" w:rsidP="000D3D5B">
                  <w:pPr>
                    <w:shd w:val="clear" w:color="auto" w:fill="F2F2F2"/>
                    <w:jc w:val="center"/>
                    <w:rPr>
                      <w:sz w:val="18"/>
                      <w:szCs w:val="18"/>
                      <w:lang w:eastAsia="en-IE"/>
                    </w:rPr>
                  </w:pPr>
                  <w:r w:rsidRPr="00E129AD">
                    <w:rPr>
                      <w:b/>
                      <w:sz w:val="18"/>
                      <w:szCs w:val="18"/>
                      <w:lang w:eastAsia="en-IE"/>
                    </w:rPr>
                    <w:t>(</w:t>
                  </w:r>
                  <w:r w:rsidRPr="00E129AD">
                    <w:rPr>
                      <w:b/>
                      <w:bCs/>
                      <w:sz w:val="18"/>
                      <w:szCs w:val="18"/>
                      <w:lang w:eastAsia="en-IE"/>
                    </w:rPr>
                    <w:t>Number calves, and % of total on each farm)</w:t>
                  </w:r>
                </w:p>
              </w:tc>
            </w:tr>
            <w:tr w:rsidR="00F344EC" w:rsidRPr="00E129AD" w:rsidTr="00F344EC">
              <w:trPr>
                <w:trHeight w:val="20"/>
              </w:trPr>
              <w:tc>
                <w:tcPr>
                  <w:tcW w:w="1151" w:type="pct"/>
                  <w:shd w:val="clear" w:color="auto" w:fill="auto"/>
                  <w:vAlign w:val="bottom"/>
                </w:tcPr>
                <w:p w:rsidR="00C41F95" w:rsidRPr="00E129AD" w:rsidRDefault="00C41F95" w:rsidP="000D3D5B">
                  <w:pPr>
                    <w:shd w:val="clear" w:color="auto" w:fill="F2F2F2"/>
                    <w:rPr>
                      <w:sz w:val="18"/>
                      <w:szCs w:val="18"/>
                      <w:lang w:eastAsia="en-IE"/>
                    </w:rPr>
                  </w:pPr>
                  <w:r w:rsidRPr="00E129AD">
                    <w:rPr>
                      <w:sz w:val="18"/>
                      <w:szCs w:val="18"/>
                      <w:lang w:eastAsia="en-IE"/>
                    </w:rPr>
                    <w:t>Nasal discharge</w:t>
                  </w:r>
                </w:p>
              </w:tc>
              <w:tc>
                <w:tcPr>
                  <w:tcW w:w="646" w:type="pct"/>
                  <w:shd w:val="clear" w:color="auto" w:fill="auto"/>
                  <w:noWrap/>
                  <w:vAlign w:val="bottom"/>
                </w:tcPr>
                <w:p w:rsidR="00C41F95" w:rsidRPr="00E129AD" w:rsidRDefault="00C41F95" w:rsidP="000D3D5B">
                  <w:pPr>
                    <w:shd w:val="clear" w:color="auto" w:fill="F2F2F2"/>
                    <w:jc w:val="center"/>
                    <w:rPr>
                      <w:sz w:val="18"/>
                      <w:szCs w:val="18"/>
                      <w:lang w:eastAsia="en-IE"/>
                    </w:rPr>
                  </w:pPr>
                  <w:r w:rsidRPr="00E129AD">
                    <w:rPr>
                      <w:sz w:val="18"/>
                      <w:szCs w:val="18"/>
                      <w:lang w:eastAsia="en-IE"/>
                    </w:rPr>
                    <w:t>5 (50)</w:t>
                  </w:r>
                </w:p>
              </w:tc>
              <w:tc>
                <w:tcPr>
                  <w:tcW w:w="960" w:type="pct"/>
                  <w:shd w:val="clear" w:color="auto" w:fill="auto"/>
                  <w:noWrap/>
                  <w:vAlign w:val="bottom"/>
                </w:tcPr>
                <w:p w:rsidR="00C41F95" w:rsidRPr="00E129AD" w:rsidRDefault="00C41F95" w:rsidP="000D3D5B">
                  <w:pPr>
                    <w:shd w:val="clear" w:color="auto" w:fill="F2F2F2"/>
                    <w:jc w:val="center"/>
                    <w:rPr>
                      <w:sz w:val="18"/>
                      <w:szCs w:val="18"/>
                      <w:lang w:eastAsia="en-IE"/>
                    </w:rPr>
                  </w:pPr>
                  <w:r w:rsidRPr="00E129AD">
                    <w:rPr>
                      <w:sz w:val="18"/>
                      <w:szCs w:val="18"/>
                      <w:lang w:eastAsia="en-IE"/>
                    </w:rPr>
                    <w:t>2 (20)</w:t>
                  </w:r>
                </w:p>
              </w:tc>
              <w:tc>
                <w:tcPr>
                  <w:tcW w:w="715" w:type="pct"/>
                  <w:shd w:val="clear" w:color="auto" w:fill="auto"/>
                  <w:noWrap/>
                  <w:vAlign w:val="bottom"/>
                </w:tcPr>
                <w:p w:rsidR="00C41F95" w:rsidRPr="00E129AD" w:rsidRDefault="00C41F95" w:rsidP="000D3D5B">
                  <w:pPr>
                    <w:shd w:val="clear" w:color="auto" w:fill="F2F2F2"/>
                    <w:jc w:val="center"/>
                    <w:rPr>
                      <w:sz w:val="18"/>
                      <w:szCs w:val="18"/>
                      <w:lang w:eastAsia="en-IE"/>
                    </w:rPr>
                  </w:pPr>
                  <w:r w:rsidRPr="00E129AD">
                    <w:rPr>
                      <w:sz w:val="18"/>
                      <w:szCs w:val="18"/>
                      <w:lang w:eastAsia="en-IE"/>
                    </w:rPr>
                    <w:t>2 (20)</w:t>
                  </w:r>
                </w:p>
              </w:tc>
              <w:tc>
                <w:tcPr>
                  <w:tcW w:w="879" w:type="pct"/>
                  <w:shd w:val="clear" w:color="auto" w:fill="auto"/>
                  <w:noWrap/>
                  <w:vAlign w:val="bottom"/>
                </w:tcPr>
                <w:p w:rsidR="00C41F95" w:rsidRPr="00E129AD" w:rsidRDefault="00C41F95" w:rsidP="000D3D5B">
                  <w:pPr>
                    <w:shd w:val="clear" w:color="auto" w:fill="F2F2F2"/>
                    <w:jc w:val="center"/>
                    <w:rPr>
                      <w:sz w:val="18"/>
                      <w:szCs w:val="18"/>
                      <w:lang w:eastAsia="en-IE"/>
                    </w:rPr>
                  </w:pPr>
                  <w:r w:rsidRPr="00E129AD">
                    <w:rPr>
                      <w:sz w:val="18"/>
                      <w:szCs w:val="18"/>
                      <w:lang w:eastAsia="en-IE"/>
                    </w:rPr>
                    <w:t>3 (38)</w:t>
                  </w:r>
                </w:p>
              </w:tc>
              <w:tc>
                <w:tcPr>
                  <w:tcW w:w="650" w:type="pct"/>
                  <w:shd w:val="clear" w:color="auto" w:fill="auto"/>
                  <w:noWrap/>
                  <w:vAlign w:val="bottom"/>
                </w:tcPr>
                <w:p w:rsidR="00C41F95" w:rsidRPr="00E129AD" w:rsidRDefault="00C41F95" w:rsidP="000D3D5B">
                  <w:pPr>
                    <w:shd w:val="clear" w:color="auto" w:fill="F2F2F2"/>
                    <w:jc w:val="center"/>
                    <w:rPr>
                      <w:sz w:val="18"/>
                      <w:szCs w:val="18"/>
                      <w:lang w:eastAsia="en-IE"/>
                    </w:rPr>
                  </w:pPr>
                  <w:r w:rsidRPr="00E129AD">
                    <w:rPr>
                      <w:sz w:val="18"/>
                      <w:szCs w:val="18"/>
                      <w:lang w:eastAsia="en-IE"/>
                    </w:rPr>
                    <w:t>6 (75)</w:t>
                  </w:r>
                </w:p>
              </w:tc>
            </w:tr>
            <w:tr w:rsidR="00F344EC" w:rsidRPr="00E129AD" w:rsidTr="00F344EC">
              <w:trPr>
                <w:trHeight w:val="20"/>
              </w:trPr>
              <w:tc>
                <w:tcPr>
                  <w:tcW w:w="1151" w:type="pct"/>
                  <w:shd w:val="clear" w:color="auto" w:fill="auto"/>
                  <w:noWrap/>
                  <w:vAlign w:val="bottom"/>
                  <w:hideMark/>
                </w:tcPr>
                <w:p w:rsidR="00C41F95" w:rsidRPr="00E129AD" w:rsidRDefault="00C41F95" w:rsidP="000D3D5B">
                  <w:pPr>
                    <w:shd w:val="clear" w:color="auto" w:fill="F2F2F2"/>
                    <w:rPr>
                      <w:sz w:val="18"/>
                      <w:szCs w:val="18"/>
                      <w:lang w:eastAsia="en-IE"/>
                    </w:rPr>
                  </w:pPr>
                  <w:r w:rsidRPr="00E129AD">
                    <w:rPr>
                      <w:sz w:val="18"/>
                      <w:szCs w:val="18"/>
                      <w:lang w:eastAsia="en-IE"/>
                    </w:rPr>
                    <w:t>Mouth ulcers</w:t>
                  </w:r>
                </w:p>
              </w:tc>
              <w:tc>
                <w:tcPr>
                  <w:tcW w:w="646"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4 (40)</w:t>
                  </w:r>
                </w:p>
              </w:tc>
              <w:tc>
                <w:tcPr>
                  <w:tcW w:w="960"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1 (10)</w:t>
                  </w:r>
                </w:p>
              </w:tc>
              <w:tc>
                <w:tcPr>
                  <w:tcW w:w="715"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0</w:t>
                  </w:r>
                </w:p>
              </w:tc>
              <w:tc>
                <w:tcPr>
                  <w:tcW w:w="879"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1 (13)</w:t>
                  </w:r>
                </w:p>
              </w:tc>
              <w:tc>
                <w:tcPr>
                  <w:tcW w:w="650"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0</w:t>
                  </w:r>
                </w:p>
              </w:tc>
            </w:tr>
            <w:tr w:rsidR="00F344EC" w:rsidRPr="00E129AD" w:rsidTr="00F344EC">
              <w:trPr>
                <w:trHeight w:val="20"/>
              </w:trPr>
              <w:tc>
                <w:tcPr>
                  <w:tcW w:w="1151" w:type="pct"/>
                  <w:shd w:val="clear" w:color="auto" w:fill="auto"/>
                  <w:noWrap/>
                  <w:vAlign w:val="bottom"/>
                  <w:hideMark/>
                </w:tcPr>
                <w:p w:rsidR="00C41F95" w:rsidRPr="00E129AD" w:rsidRDefault="00C41F95" w:rsidP="000D3D5B">
                  <w:pPr>
                    <w:shd w:val="clear" w:color="auto" w:fill="F2F2F2"/>
                    <w:rPr>
                      <w:sz w:val="18"/>
                      <w:szCs w:val="18"/>
                      <w:lang w:eastAsia="en-IE"/>
                    </w:rPr>
                  </w:pPr>
                  <w:r w:rsidRPr="00E129AD">
                    <w:rPr>
                      <w:sz w:val="18"/>
                      <w:szCs w:val="18"/>
                      <w:lang w:eastAsia="en-IE"/>
                    </w:rPr>
                    <w:t>Hyper-salivation</w:t>
                  </w:r>
                </w:p>
              </w:tc>
              <w:tc>
                <w:tcPr>
                  <w:tcW w:w="646"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6 (60)</w:t>
                  </w:r>
                </w:p>
              </w:tc>
              <w:tc>
                <w:tcPr>
                  <w:tcW w:w="960"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8 (80)</w:t>
                  </w:r>
                </w:p>
              </w:tc>
              <w:tc>
                <w:tcPr>
                  <w:tcW w:w="715"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7 (70)</w:t>
                  </w:r>
                </w:p>
              </w:tc>
              <w:tc>
                <w:tcPr>
                  <w:tcW w:w="879"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4 (50)</w:t>
                  </w:r>
                </w:p>
              </w:tc>
              <w:tc>
                <w:tcPr>
                  <w:tcW w:w="650"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0</w:t>
                  </w:r>
                </w:p>
              </w:tc>
            </w:tr>
            <w:tr w:rsidR="00F344EC" w:rsidRPr="00E129AD" w:rsidTr="00F344EC">
              <w:trPr>
                <w:trHeight w:val="20"/>
              </w:trPr>
              <w:tc>
                <w:tcPr>
                  <w:tcW w:w="1151" w:type="pct"/>
                  <w:shd w:val="clear" w:color="auto" w:fill="auto"/>
                  <w:noWrap/>
                  <w:vAlign w:val="bottom"/>
                  <w:hideMark/>
                </w:tcPr>
                <w:p w:rsidR="00C41F95" w:rsidRPr="00E129AD" w:rsidRDefault="00C41F95" w:rsidP="000D3D5B">
                  <w:pPr>
                    <w:shd w:val="clear" w:color="auto" w:fill="F2F2F2"/>
                    <w:rPr>
                      <w:sz w:val="18"/>
                      <w:szCs w:val="18"/>
                      <w:lang w:eastAsia="en-IE"/>
                    </w:rPr>
                  </w:pPr>
                  <w:r w:rsidRPr="00E129AD">
                    <w:rPr>
                      <w:sz w:val="18"/>
                      <w:szCs w:val="18"/>
                      <w:lang w:eastAsia="en-IE"/>
                    </w:rPr>
                    <w:t>Diarrhoea</w:t>
                  </w:r>
                </w:p>
              </w:tc>
              <w:tc>
                <w:tcPr>
                  <w:tcW w:w="646"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7 (78)</w:t>
                  </w:r>
                  <w:r w:rsidRPr="00E129AD">
                    <w:rPr>
                      <w:sz w:val="18"/>
                      <w:szCs w:val="18"/>
                      <w:vertAlign w:val="superscript"/>
                      <w:lang w:eastAsia="en-IE"/>
                    </w:rPr>
                    <w:t>a</w:t>
                  </w:r>
                </w:p>
              </w:tc>
              <w:tc>
                <w:tcPr>
                  <w:tcW w:w="960"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7 (70)</w:t>
                  </w:r>
                </w:p>
              </w:tc>
              <w:tc>
                <w:tcPr>
                  <w:tcW w:w="715"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8 (80)</w:t>
                  </w:r>
                </w:p>
              </w:tc>
              <w:tc>
                <w:tcPr>
                  <w:tcW w:w="879"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2 (25)</w:t>
                  </w:r>
                </w:p>
              </w:tc>
              <w:tc>
                <w:tcPr>
                  <w:tcW w:w="650"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7 (88)</w:t>
                  </w:r>
                </w:p>
              </w:tc>
            </w:tr>
            <w:tr w:rsidR="00F344EC" w:rsidRPr="00E129AD" w:rsidTr="00F344EC">
              <w:trPr>
                <w:trHeight w:val="20"/>
              </w:trPr>
              <w:tc>
                <w:tcPr>
                  <w:tcW w:w="1151" w:type="pct"/>
                  <w:shd w:val="clear" w:color="auto" w:fill="auto"/>
                  <w:noWrap/>
                  <w:vAlign w:val="bottom"/>
                  <w:hideMark/>
                </w:tcPr>
                <w:p w:rsidR="00C41F95" w:rsidRPr="00E129AD" w:rsidRDefault="00C41F95" w:rsidP="000D3D5B">
                  <w:pPr>
                    <w:shd w:val="clear" w:color="auto" w:fill="F2F2F2"/>
                    <w:rPr>
                      <w:sz w:val="18"/>
                      <w:szCs w:val="18"/>
                      <w:lang w:eastAsia="en-IE"/>
                    </w:rPr>
                  </w:pPr>
                  <w:proofErr w:type="spellStart"/>
                  <w:r w:rsidRPr="00E129AD">
                    <w:rPr>
                      <w:sz w:val="18"/>
                      <w:szCs w:val="18"/>
                      <w:lang w:eastAsia="en-IE"/>
                    </w:rPr>
                    <w:t>Pneumonia</w:t>
                  </w:r>
                  <w:r w:rsidRPr="00E129AD">
                    <w:rPr>
                      <w:sz w:val="18"/>
                      <w:szCs w:val="18"/>
                      <w:vertAlign w:val="superscript"/>
                      <w:lang w:eastAsia="en-IE"/>
                    </w:rPr>
                    <w:t>b</w:t>
                  </w:r>
                  <w:proofErr w:type="spellEnd"/>
                </w:p>
              </w:tc>
              <w:tc>
                <w:tcPr>
                  <w:tcW w:w="646"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0</w:t>
                  </w:r>
                </w:p>
              </w:tc>
              <w:tc>
                <w:tcPr>
                  <w:tcW w:w="960"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2 (20)</w:t>
                  </w:r>
                </w:p>
              </w:tc>
              <w:tc>
                <w:tcPr>
                  <w:tcW w:w="715"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1 (10)</w:t>
                  </w:r>
                </w:p>
              </w:tc>
              <w:tc>
                <w:tcPr>
                  <w:tcW w:w="879"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4 (50)</w:t>
                  </w:r>
                </w:p>
              </w:tc>
              <w:tc>
                <w:tcPr>
                  <w:tcW w:w="650"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5 (63)</w:t>
                  </w:r>
                </w:p>
              </w:tc>
            </w:tr>
            <w:tr w:rsidR="00F344EC" w:rsidRPr="00E129AD" w:rsidTr="00F344EC">
              <w:trPr>
                <w:trHeight w:val="20"/>
              </w:trPr>
              <w:tc>
                <w:tcPr>
                  <w:tcW w:w="1151" w:type="pct"/>
                  <w:shd w:val="clear" w:color="auto" w:fill="auto"/>
                  <w:noWrap/>
                  <w:vAlign w:val="bottom"/>
                  <w:hideMark/>
                </w:tcPr>
                <w:p w:rsidR="00C41F95" w:rsidRPr="00E129AD" w:rsidRDefault="00C41F95" w:rsidP="000D3D5B">
                  <w:pPr>
                    <w:shd w:val="clear" w:color="auto" w:fill="F2F2F2"/>
                    <w:rPr>
                      <w:sz w:val="18"/>
                      <w:szCs w:val="18"/>
                      <w:lang w:eastAsia="en-IE"/>
                    </w:rPr>
                  </w:pPr>
                  <w:r w:rsidRPr="00E129AD">
                    <w:rPr>
                      <w:sz w:val="18"/>
                      <w:szCs w:val="18"/>
                      <w:lang w:eastAsia="en-IE"/>
                    </w:rPr>
                    <w:t>Poor coat</w:t>
                  </w:r>
                </w:p>
              </w:tc>
              <w:tc>
                <w:tcPr>
                  <w:tcW w:w="646"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6 (60)</w:t>
                  </w:r>
                </w:p>
              </w:tc>
              <w:tc>
                <w:tcPr>
                  <w:tcW w:w="960"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9 (90)</w:t>
                  </w:r>
                </w:p>
              </w:tc>
              <w:tc>
                <w:tcPr>
                  <w:tcW w:w="715"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8 (80)</w:t>
                  </w:r>
                </w:p>
              </w:tc>
              <w:tc>
                <w:tcPr>
                  <w:tcW w:w="879"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6 (75)</w:t>
                  </w:r>
                </w:p>
              </w:tc>
              <w:tc>
                <w:tcPr>
                  <w:tcW w:w="650" w:type="pct"/>
                  <w:shd w:val="clear" w:color="auto" w:fill="auto"/>
                  <w:noWrap/>
                  <w:vAlign w:val="bottom"/>
                  <w:hideMark/>
                </w:tcPr>
                <w:p w:rsidR="00C41F95" w:rsidRPr="00E129AD" w:rsidRDefault="00C41F95" w:rsidP="000D3D5B">
                  <w:pPr>
                    <w:shd w:val="clear" w:color="auto" w:fill="F2F2F2"/>
                    <w:jc w:val="center"/>
                    <w:rPr>
                      <w:sz w:val="18"/>
                      <w:szCs w:val="18"/>
                      <w:lang w:eastAsia="en-IE"/>
                    </w:rPr>
                  </w:pPr>
                  <w:r w:rsidRPr="00E129AD">
                    <w:rPr>
                      <w:sz w:val="18"/>
                      <w:szCs w:val="18"/>
                      <w:lang w:eastAsia="en-IE"/>
                    </w:rPr>
                    <w:t>4 (50)</w:t>
                  </w:r>
                </w:p>
              </w:tc>
            </w:tr>
          </w:tbl>
          <w:p w:rsidR="000D3D5B" w:rsidRPr="00E129AD" w:rsidRDefault="00C41F95" w:rsidP="000D3D5B">
            <w:pPr>
              <w:shd w:val="clear" w:color="auto" w:fill="F2F2F2"/>
              <w:rPr>
                <w:sz w:val="18"/>
                <w:szCs w:val="18"/>
              </w:rPr>
            </w:pPr>
            <w:proofErr w:type="spellStart"/>
            <w:r w:rsidRPr="00E129AD">
              <w:rPr>
                <w:sz w:val="18"/>
                <w:szCs w:val="18"/>
                <w:vertAlign w:val="superscript"/>
              </w:rPr>
              <w:t>a</w:t>
            </w:r>
            <w:r w:rsidRPr="00E129AD">
              <w:rPr>
                <w:sz w:val="18"/>
                <w:szCs w:val="18"/>
              </w:rPr>
              <w:t>Faecal</w:t>
            </w:r>
            <w:proofErr w:type="spellEnd"/>
            <w:r w:rsidRPr="00E129AD">
              <w:rPr>
                <w:sz w:val="18"/>
                <w:szCs w:val="18"/>
              </w:rPr>
              <w:t xml:space="preserve"> sample </w:t>
            </w:r>
            <w:r w:rsidR="00C23B84" w:rsidRPr="00E129AD">
              <w:rPr>
                <w:sz w:val="18"/>
                <w:szCs w:val="18"/>
              </w:rPr>
              <w:t xml:space="preserve">was </w:t>
            </w:r>
            <w:r w:rsidRPr="00E129AD">
              <w:rPr>
                <w:sz w:val="18"/>
                <w:szCs w:val="18"/>
              </w:rPr>
              <w:t>not collected from one calf due to recta</w:t>
            </w:r>
            <w:r w:rsidR="000A0567" w:rsidRPr="00E129AD">
              <w:rPr>
                <w:sz w:val="18"/>
                <w:szCs w:val="18"/>
              </w:rPr>
              <w:t>l emptying (7 out of 9 calves)</w:t>
            </w:r>
          </w:p>
          <w:p w:rsidR="000A0567" w:rsidRPr="00E129AD" w:rsidRDefault="000A0567" w:rsidP="000D3D5B">
            <w:pPr>
              <w:shd w:val="clear" w:color="auto" w:fill="F2F2F2"/>
              <w:rPr>
                <w:sz w:val="18"/>
                <w:szCs w:val="18"/>
              </w:rPr>
            </w:pPr>
          </w:p>
          <w:p w:rsidR="00E51649" w:rsidRPr="00E129AD" w:rsidRDefault="00BD2013" w:rsidP="000D3D5B">
            <w:pPr>
              <w:shd w:val="clear" w:color="auto" w:fill="F2F2F2"/>
              <w:jc w:val="both"/>
              <w:rPr>
                <w:sz w:val="18"/>
                <w:szCs w:val="18"/>
              </w:rPr>
            </w:pPr>
            <w:r w:rsidRPr="00E129AD">
              <w:rPr>
                <w:b/>
                <w:sz w:val="18"/>
                <w:szCs w:val="18"/>
              </w:rPr>
              <w:t xml:space="preserve">Conclusion: </w:t>
            </w:r>
            <w:r w:rsidR="009C31F1" w:rsidRPr="00E129AD">
              <w:rPr>
                <w:sz w:val="18"/>
                <w:szCs w:val="18"/>
              </w:rPr>
              <w:t>These preliminary findings suggest that copper or molybdenum toxicity are not primary causes of SSS.</w:t>
            </w:r>
            <w:r w:rsidR="009C31F1" w:rsidRPr="00E129AD">
              <w:rPr>
                <w:b/>
                <w:sz w:val="18"/>
                <w:szCs w:val="18"/>
              </w:rPr>
              <w:t xml:space="preserve"> </w:t>
            </w:r>
            <w:r w:rsidR="00317B4C" w:rsidRPr="00E129AD">
              <w:rPr>
                <w:sz w:val="18"/>
                <w:szCs w:val="18"/>
              </w:rPr>
              <w:t>High blood ammonia concentrations and the timing and level of inorganic nitrogen fertiliser application to paddocks pre-grazing warrant further investigation</w:t>
            </w:r>
            <w:r w:rsidR="009C31F1" w:rsidRPr="00E129AD">
              <w:rPr>
                <w:sz w:val="18"/>
                <w:szCs w:val="18"/>
              </w:rPr>
              <w:t>.</w:t>
            </w:r>
          </w:p>
          <w:p w:rsidR="000D3D5B" w:rsidRPr="00E129AD" w:rsidRDefault="000D3D5B" w:rsidP="000D3D5B">
            <w:pPr>
              <w:shd w:val="clear" w:color="auto" w:fill="F2F2F2"/>
              <w:jc w:val="both"/>
              <w:rPr>
                <w:sz w:val="18"/>
                <w:szCs w:val="18"/>
              </w:rPr>
            </w:pPr>
          </w:p>
          <w:p w:rsidR="000D3D5B" w:rsidRPr="00E129AD" w:rsidRDefault="00220931" w:rsidP="000D3D5B">
            <w:pPr>
              <w:widowControl w:val="0"/>
              <w:autoSpaceDE w:val="0"/>
              <w:autoSpaceDN w:val="0"/>
              <w:adjustRightInd w:val="0"/>
              <w:jc w:val="both"/>
              <w:rPr>
                <w:noProof/>
                <w:sz w:val="18"/>
                <w:szCs w:val="18"/>
              </w:rPr>
            </w:pPr>
            <w:r w:rsidRPr="00E129AD">
              <w:rPr>
                <w:b/>
                <w:sz w:val="18"/>
                <w:szCs w:val="18"/>
              </w:rPr>
              <w:t>References</w:t>
            </w:r>
            <w:r w:rsidR="00BD2013" w:rsidRPr="00E129AD">
              <w:rPr>
                <w:b/>
                <w:sz w:val="18"/>
                <w:szCs w:val="18"/>
              </w:rPr>
              <w:t>:</w:t>
            </w:r>
            <w:r w:rsidRPr="00E129AD">
              <w:rPr>
                <w:b/>
                <w:sz w:val="18"/>
                <w:szCs w:val="18"/>
              </w:rPr>
              <w:t xml:space="preserve"> </w:t>
            </w:r>
            <w:r w:rsidRPr="00E129AD">
              <w:rPr>
                <w:b/>
                <w:sz w:val="18"/>
                <w:szCs w:val="18"/>
              </w:rPr>
              <w:fldChar w:fldCharType="begin" w:fldLock="1"/>
            </w:r>
            <w:r w:rsidRPr="00E129AD">
              <w:rPr>
                <w:b/>
                <w:sz w:val="18"/>
                <w:szCs w:val="18"/>
              </w:rPr>
              <w:instrText xml:space="preserve">ADDIN Mendeley Bibliography CSL_BIBLIOGRAPHY </w:instrText>
            </w:r>
            <w:r w:rsidRPr="00E129AD">
              <w:rPr>
                <w:b/>
                <w:sz w:val="18"/>
                <w:szCs w:val="18"/>
              </w:rPr>
              <w:fldChar w:fldCharType="separate"/>
            </w:r>
            <w:r w:rsidR="000D3D5B" w:rsidRPr="00E129AD">
              <w:rPr>
                <w:noProof/>
                <w:sz w:val="18"/>
                <w:szCs w:val="18"/>
              </w:rPr>
              <w:t>Hunnam</w:t>
            </w:r>
            <w:r w:rsidR="002A1C22" w:rsidRPr="00E129AD">
              <w:rPr>
                <w:noProof/>
                <w:sz w:val="18"/>
                <w:szCs w:val="18"/>
              </w:rPr>
              <w:t>,</w:t>
            </w:r>
            <w:r w:rsidR="000D3D5B" w:rsidRPr="00E129AD">
              <w:rPr>
                <w:noProof/>
                <w:sz w:val="18"/>
                <w:szCs w:val="18"/>
              </w:rPr>
              <w:t xml:space="preserve"> J</w:t>
            </w:r>
            <w:r w:rsidR="002A1C22" w:rsidRPr="00E129AD">
              <w:rPr>
                <w:noProof/>
                <w:sz w:val="18"/>
                <w:szCs w:val="18"/>
              </w:rPr>
              <w:t>.</w:t>
            </w:r>
            <w:r w:rsidR="000D3D5B" w:rsidRPr="00E129AD">
              <w:rPr>
                <w:noProof/>
                <w:sz w:val="18"/>
                <w:szCs w:val="18"/>
              </w:rPr>
              <w:t>C</w:t>
            </w:r>
            <w:r w:rsidR="002A1C22" w:rsidRPr="00E129AD">
              <w:rPr>
                <w:noProof/>
                <w:sz w:val="18"/>
                <w:szCs w:val="18"/>
              </w:rPr>
              <w:t>.</w:t>
            </w:r>
            <w:r w:rsidR="000D3D5B" w:rsidRPr="00E129AD">
              <w:rPr>
                <w:noProof/>
                <w:sz w:val="18"/>
                <w:szCs w:val="18"/>
              </w:rPr>
              <w:t>, Jerrett</w:t>
            </w:r>
            <w:r w:rsidR="002A1C22" w:rsidRPr="00E129AD">
              <w:rPr>
                <w:noProof/>
                <w:sz w:val="18"/>
                <w:szCs w:val="18"/>
              </w:rPr>
              <w:t>,</w:t>
            </w:r>
            <w:r w:rsidR="000D3D5B" w:rsidRPr="00E129AD">
              <w:rPr>
                <w:noProof/>
                <w:sz w:val="18"/>
                <w:szCs w:val="18"/>
              </w:rPr>
              <w:t xml:space="preserve"> I</w:t>
            </w:r>
            <w:r w:rsidR="002A1C22" w:rsidRPr="00E129AD">
              <w:rPr>
                <w:noProof/>
                <w:sz w:val="18"/>
                <w:szCs w:val="18"/>
              </w:rPr>
              <w:t>.</w:t>
            </w:r>
            <w:r w:rsidR="000D3D5B" w:rsidRPr="00E129AD">
              <w:rPr>
                <w:noProof/>
                <w:sz w:val="18"/>
                <w:szCs w:val="18"/>
              </w:rPr>
              <w:t>V</w:t>
            </w:r>
            <w:r w:rsidR="002A1C22" w:rsidRPr="00E129AD">
              <w:rPr>
                <w:noProof/>
                <w:sz w:val="18"/>
                <w:szCs w:val="18"/>
              </w:rPr>
              <w:t>.</w:t>
            </w:r>
            <w:r w:rsidR="000D3D5B" w:rsidRPr="00E129AD">
              <w:rPr>
                <w:noProof/>
                <w:sz w:val="18"/>
                <w:szCs w:val="18"/>
              </w:rPr>
              <w:t>, Mee</w:t>
            </w:r>
            <w:r w:rsidR="002A1C22" w:rsidRPr="00E129AD">
              <w:rPr>
                <w:noProof/>
                <w:sz w:val="18"/>
                <w:szCs w:val="18"/>
              </w:rPr>
              <w:t>,</w:t>
            </w:r>
            <w:r w:rsidR="000D3D5B" w:rsidRPr="00E129AD">
              <w:rPr>
                <w:noProof/>
                <w:sz w:val="18"/>
                <w:szCs w:val="18"/>
              </w:rPr>
              <w:t xml:space="preserve"> P</w:t>
            </w:r>
            <w:r w:rsidR="002A1C22" w:rsidRPr="00E129AD">
              <w:rPr>
                <w:noProof/>
                <w:sz w:val="18"/>
                <w:szCs w:val="18"/>
              </w:rPr>
              <w:t>.</w:t>
            </w:r>
            <w:r w:rsidR="000D3D5B" w:rsidRPr="00E129AD">
              <w:rPr>
                <w:noProof/>
                <w:sz w:val="18"/>
                <w:szCs w:val="18"/>
              </w:rPr>
              <w:t>T</w:t>
            </w:r>
            <w:r w:rsidR="002A1C22" w:rsidRPr="00E129AD">
              <w:rPr>
                <w:noProof/>
                <w:sz w:val="18"/>
                <w:szCs w:val="18"/>
              </w:rPr>
              <w:t>.</w:t>
            </w:r>
            <w:r w:rsidR="000D3D5B" w:rsidRPr="00E129AD">
              <w:rPr>
                <w:noProof/>
                <w:sz w:val="18"/>
                <w:szCs w:val="18"/>
              </w:rPr>
              <w:t>, Moore</w:t>
            </w:r>
            <w:r w:rsidR="002A1C22" w:rsidRPr="00E129AD">
              <w:rPr>
                <w:noProof/>
                <w:sz w:val="18"/>
                <w:szCs w:val="18"/>
              </w:rPr>
              <w:t>,</w:t>
            </w:r>
            <w:r w:rsidR="000D3D5B" w:rsidRPr="00E129AD">
              <w:rPr>
                <w:noProof/>
                <w:sz w:val="18"/>
                <w:szCs w:val="18"/>
              </w:rPr>
              <w:t xml:space="preserve"> K</w:t>
            </w:r>
            <w:r w:rsidR="002A1C22" w:rsidRPr="00E129AD">
              <w:rPr>
                <w:noProof/>
                <w:sz w:val="18"/>
                <w:szCs w:val="18"/>
              </w:rPr>
              <w:t>.</w:t>
            </w:r>
            <w:r w:rsidR="000D3D5B" w:rsidRPr="00E129AD">
              <w:rPr>
                <w:noProof/>
                <w:sz w:val="18"/>
                <w:szCs w:val="18"/>
              </w:rPr>
              <w:t>, Lynch</w:t>
            </w:r>
            <w:r w:rsidR="002A1C22" w:rsidRPr="00E129AD">
              <w:rPr>
                <w:noProof/>
                <w:sz w:val="18"/>
                <w:szCs w:val="18"/>
              </w:rPr>
              <w:t>,</w:t>
            </w:r>
            <w:r w:rsidR="000D3D5B" w:rsidRPr="00E129AD">
              <w:rPr>
                <w:noProof/>
                <w:sz w:val="18"/>
                <w:szCs w:val="18"/>
              </w:rPr>
              <w:t xml:space="preserve"> S</w:t>
            </w:r>
            <w:r w:rsidR="002A1C22" w:rsidRPr="00E129AD">
              <w:rPr>
                <w:noProof/>
                <w:sz w:val="18"/>
                <w:szCs w:val="18"/>
              </w:rPr>
              <w:t>.</w:t>
            </w:r>
            <w:r w:rsidR="000D3D5B" w:rsidRPr="00E129AD">
              <w:rPr>
                <w:noProof/>
                <w:sz w:val="18"/>
                <w:szCs w:val="18"/>
              </w:rPr>
              <w:t>E</w:t>
            </w:r>
            <w:r w:rsidR="002A1C22" w:rsidRPr="00E129AD">
              <w:rPr>
                <w:noProof/>
                <w:sz w:val="18"/>
                <w:szCs w:val="18"/>
              </w:rPr>
              <w:t>.</w:t>
            </w:r>
            <w:r w:rsidR="000D3D5B" w:rsidRPr="00E129AD">
              <w:rPr>
                <w:noProof/>
                <w:sz w:val="18"/>
                <w:szCs w:val="18"/>
              </w:rPr>
              <w:t>, Rawlin</w:t>
            </w:r>
            <w:r w:rsidR="002A1C22" w:rsidRPr="00E129AD">
              <w:rPr>
                <w:noProof/>
                <w:sz w:val="18"/>
                <w:szCs w:val="18"/>
              </w:rPr>
              <w:t>,</w:t>
            </w:r>
            <w:r w:rsidR="000D3D5B" w:rsidRPr="00E129AD">
              <w:rPr>
                <w:noProof/>
                <w:sz w:val="18"/>
                <w:szCs w:val="18"/>
              </w:rPr>
              <w:t xml:space="preserve"> G</w:t>
            </w:r>
            <w:r w:rsidR="002A1C22" w:rsidRPr="00E129AD">
              <w:rPr>
                <w:noProof/>
                <w:sz w:val="18"/>
                <w:szCs w:val="18"/>
              </w:rPr>
              <w:t>.</w:t>
            </w:r>
            <w:r w:rsidR="000D3D5B" w:rsidRPr="00E129AD">
              <w:rPr>
                <w:noProof/>
                <w:sz w:val="18"/>
                <w:szCs w:val="18"/>
              </w:rPr>
              <w:t>T</w:t>
            </w:r>
            <w:r w:rsidR="002A1C22" w:rsidRPr="00E129AD">
              <w:rPr>
                <w:noProof/>
                <w:sz w:val="18"/>
                <w:szCs w:val="18"/>
              </w:rPr>
              <w:t>.</w:t>
            </w:r>
            <w:r w:rsidR="000D3D5B" w:rsidRPr="00E129AD">
              <w:rPr>
                <w:noProof/>
                <w:sz w:val="18"/>
                <w:szCs w:val="18"/>
              </w:rPr>
              <w:t xml:space="preserve"> and Salmon</w:t>
            </w:r>
            <w:r w:rsidR="002A1C22" w:rsidRPr="00E129AD">
              <w:rPr>
                <w:noProof/>
                <w:sz w:val="18"/>
                <w:szCs w:val="18"/>
              </w:rPr>
              <w:t>,</w:t>
            </w:r>
            <w:r w:rsidR="000D3D5B" w:rsidRPr="00E129AD">
              <w:rPr>
                <w:noProof/>
                <w:sz w:val="18"/>
                <w:szCs w:val="18"/>
              </w:rPr>
              <w:t xml:space="preserve"> S</w:t>
            </w:r>
            <w:r w:rsidR="002A1C22" w:rsidRPr="00E129AD">
              <w:rPr>
                <w:noProof/>
                <w:sz w:val="18"/>
                <w:szCs w:val="18"/>
              </w:rPr>
              <w:t>.</w:t>
            </w:r>
            <w:r w:rsidR="000D3D5B" w:rsidRPr="00E129AD">
              <w:rPr>
                <w:noProof/>
                <w:sz w:val="18"/>
                <w:szCs w:val="18"/>
              </w:rPr>
              <w:t>E</w:t>
            </w:r>
            <w:r w:rsidR="00820769" w:rsidRPr="00E129AD">
              <w:rPr>
                <w:noProof/>
                <w:sz w:val="18"/>
                <w:szCs w:val="18"/>
              </w:rPr>
              <w:t>.</w:t>
            </w:r>
            <w:r w:rsidR="000D3D5B" w:rsidRPr="00E129AD">
              <w:rPr>
                <w:noProof/>
                <w:sz w:val="18"/>
                <w:szCs w:val="18"/>
              </w:rPr>
              <w:t xml:space="preserve"> 2021. Transboundary and Emerging Diseases 68, 3277–3287.</w:t>
            </w:r>
          </w:p>
          <w:p w:rsidR="000D3D5B" w:rsidRPr="00E129AD" w:rsidRDefault="000D3D5B" w:rsidP="000D3D5B">
            <w:pPr>
              <w:widowControl w:val="0"/>
              <w:autoSpaceDE w:val="0"/>
              <w:autoSpaceDN w:val="0"/>
              <w:adjustRightInd w:val="0"/>
              <w:jc w:val="both"/>
              <w:rPr>
                <w:noProof/>
                <w:sz w:val="18"/>
                <w:szCs w:val="18"/>
              </w:rPr>
            </w:pPr>
            <w:r w:rsidRPr="00E129AD">
              <w:rPr>
                <w:noProof/>
                <w:sz w:val="18"/>
                <w:szCs w:val="18"/>
              </w:rPr>
              <w:t>Sheehan</w:t>
            </w:r>
            <w:r w:rsidR="000A0567" w:rsidRPr="00E129AD">
              <w:rPr>
                <w:noProof/>
                <w:sz w:val="18"/>
                <w:szCs w:val="18"/>
              </w:rPr>
              <w:t>,</w:t>
            </w:r>
            <w:r w:rsidRPr="00E129AD">
              <w:rPr>
                <w:noProof/>
                <w:sz w:val="18"/>
                <w:szCs w:val="18"/>
              </w:rPr>
              <w:t xml:space="preserve"> M</w:t>
            </w:r>
            <w:r w:rsidR="000A0567" w:rsidRPr="00E129AD">
              <w:rPr>
                <w:noProof/>
                <w:sz w:val="18"/>
                <w:szCs w:val="18"/>
              </w:rPr>
              <w:t>.</w:t>
            </w:r>
            <w:r w:rsidRPr="00E129AD">
              <w:rPr>
                <w:noProof/>
                <w:sz w:val="18"/>
                <w:szCs w:val="18"/>
              </w:rPr>
              <w:t>, Faganz</w:t>
            </w:r>
            <w:r w:rsidR="000A0567" w:rsidRPr="00E129AD">
              <w:rPr>
                <w:noProof/>
                <w:sz w:val="18"/>
                <w:szCs w:val="18"/>
              </w:rPr>
              <w:t>,</w:t>
            </w:r>
            <w:r w:rsidRPr="00E129AD">
              <w:rPr>
                <w:noProof/>
                <w:sz w:val="18"/>
                <w:szCs w:val="18"/>
              </w:rPr>
              <w:t xml:space="preserve"> S</w:t>
            </w:r>
            <w:r w:rsidR="000A0567" w:rsidRPr="00E129AD">
              <w:rPr>
                <w:noProof/>
                <w:sz w:val="18"/>
                <w:szCs w:val="18"/>
              </w:rPr>
              <w:t>.</w:t>
            </w:r>
            <w:r w:rsidRPr="00E129AD">
              <w:rPr>
                <w:noProof/>
                <w:sz w:val="18"/>
                <w:szCs w:val="18"/>
              </w:rPr>
              <w:t>, Hayes</w:t>
            </w:r>
            <w:r w:rsidR="000A0567" w:rsidRPr="00E129AD">
              <w:rPr>
                <w:noProof/>
                <w:sz w:val="18"/>
                <w:szCs w:val="18"/>
              </w:rPr>
              <w:t>,</w:t>
            </w:r>
            <w:r w:rsidRPr="00E129AD">
              <w:rPr>
                <w:noProof/>
                <w:sz w:val="18"/>
                <w:szCs w:val="18"/>
              </w:rPr>
              <w:t xml:space="preserve"> C</w:t>
            </w:r>
            <w:r w:rsidR="000A0567" w:rsidRPr="00E129AD">
              <w:rPr>
                <w:noProof/>
                <w:sz w:val="18"/>
                <w:szCs w:val="18"/>
              </w:rPr>
              <w:t>.</w:t>
            </w:r>
            <w:r w:rsidRPr="00E129AD">
              <w:rPr>
                <w:noProof/>
                <w:sz w:val="18"/>
                <w:szCs w:val="18"/>
              </w:rPr>
              <w:t>, Murphy</w:t>
            </w:r>
            <w:r w:rsidR="000A0567" w:rsidRPr="00E129AD">
              <w:rPr>
                <w:noProof/>
                <w:sz w:val="18"/>
                <w:szCs w:val="18"/>
              </w:rPr>
              <w:t>,</w:t>
            </w:r>
            <w:r w:rsidRPr="00E129AD">
              <w:rPr>
                <w:noProof/>
                <w:sz w:val="18"/>
                <w:szCs w:val="18"/>
              </w:rPr>
              <w:t xml:space="preserve"> D</w:t>
            </w:r>
            <w:r w:rsidR="000A0567" w:rsidRPr="00E129AD">
              <w:rPr>
                <w:noProof/>
                <w:sz w:val="18"/>
                <w:szCs w:val="18"/>
              </w:rPr>
              <w:t>.</w:t>
            </w:r>
            <w:r w:rsidRPr="00E129AD">
              <w:rPr>
                <w:noProof/>
                <w:sz w:val="18"/>
                <w:szCs w:val="18"/>
              </w:rPr>
              <w:t>, Lynch</w:t>
            </w:r>
            <w:r w:rsidR="000A0567" w:rsidRPr="00E129AD">
              <w:rPr>
                <w:noProof/>
                <w:sz w:val="18"/>
                <w:szCs w:val="18"/>
              </w:rPr>
              <w:t>,</w:t>
            </w:r>
            <w:r w:rsidRPr="00E129AD">
              <w:rPr>
                <w:noProof/>
                <w:sz w:val="18"/>
                <w:szCs w:val="18"/>
              </w:rPr>
              <w:t xml:space="preserve"> D</w:t>
            </w:r>
            <w:r w:rsidR="000A0567" w:rsidRPr="00E129AD">
              <w:rPr>
                <w:noProof/>
                <w:sz w:val="18"/>
                <w:szCs w:val="18"/>
              </w:rPr>
              <w:t>.</w:t>
            </w:r>
            <w:r w:rsidRPr="00E129AD">
              <w:rPr>
                <w:noProof/>
                <w:sz w:val="18"/>
                <w:szCs w:val="18"/>
              </w:rPr>
              <w:t>, Ryan</w:t>
            </w:r>
            <w:r w:rsidR="000A0567" w:rsidRPr="00E129AD">
              <w:rPr>
                <w:noProof/>
                <w:sz w:val="18"/>
                <w:szCs w:val="18"/>
              </w:rPr>
              <w:t>,</w:t>
            </w:r>
            <w:r w:rsidRPr="00E129AD">
              <w:rPr>
                <w:noProof/>
                <w:sz w:val="18"/>
                <w:szCs w:val="18"/>
              </w:rPr>
              <w:t xml:space="preserve"> E</w:t>
            </w:r>
            <w:r w:rsidR="000A0567" w:rsidRPr="00E129AD">
              <w:rPr>
                <w:noProof/>
                <w:sz w:val="18"/>
                <w:szCs w:val="18"/>
              </w:rPr>
              <w:t>.</w:t>
            </w:r>
            <w:r w:rsidRPr="00E129AD">
              <w:rPr>
                <w:noProof/>
                <w:sz w:val="18"/>
                <w:szCs w:val="18"/>
              </w:rPr>
              <w:t>, Bochynska</w:t>
            </w:r>
            <w:r w:rsidR="000A0567" w:rsidRPr="00E129AD">
              <w:rPr>
                <w:noProof/>
                <w:sz w:val="18"/>
                <w:szCs w:val="18"/>
              </w:rPr>
              <w:t>,</w:t>
            </w:r>
            <w:r w:rsidRPr="00E129AD">
              <w:rPr>
                <w:noProof/>
                <w:sz w:val="18"/>
                <w:szCs w:val="18"/>
              </w:rPr>
              <w:t xml:space="preserve"> D</w:t>
            </w:r>
            <w:r w:rsidR="000A0567" w:rsidRPr="00E129AD">
              <w:rPr>
                <w:noProof/>
                <w:sz w:val="18"/>
                <w:szCs w:val="18"/>
              </w:rPr>
              <w:t>.</w:t>
            </w:r>
            <w:r w:rsidRPr="00E129AD">
              <w:rPr>
                <w:noProof/>
                <w:sz w:val="18"/>
                <w:szCs w:val="18"/>
              </w:rPr>
              <w:t>, McElroys</w:t>
            </w:r>
            <w:r w:rsidR="000A0567" w:rsidRPr="00E129AD">
              <w:rPr>
                <w:noProof/>
                <w:sz w:val="18"/>
                <w:szCs w:val="18"/>
              </w:rPr>
              <w:t>,</w:t>
            </w:r>
            <w:r w:rsidRPr="00E129AD">
              <w:rPr>
                <w:noProof/>
                <w:sz w:val="18"/>
                <w:szCs w:val="18"/>
              </w:rPr>
              <w:t xml:space="preserve"> M</w:t>
            </w:r>
            <w:r w:rsidR="000A0567" w:rsidRPr="00E129AD">
              <w:rPr>
                <w:noProof/>
                <w:sz w:val="18"/>
                <w:szCs w:val="18"/>
              </w:rPr>
              <w:t>.</w:t>
            </w:r>
            <w:r w:rsidRPr="00E129AD">
              <w:rPr>
                <w:noProof/>
                <w:sz w:val="18"/>
                <w:szCs w:val="18"/>
              </w:rPr>
              <w:t>, McGettrick</w:t>
            </w:r>
            <w:r w:rsidR="000A0567" w:rsidRPr="00E129AD">
              <w:rPr>
                <w:noProof/>
                <w:sz w:val="18"/>
                <w:szCs w:val="18"/>
              </w:rPr>
              <w:t>,</w:t>
            </w:r>
            <w:r w:rsidRPr="00E129AD">
              <w:rPr>
                <w:noProof/>
                <w:sz w:val="18"/>
                <w:szCs w:val="18"/>
              </w:rPr>
              <w:t xml:space="preserve"> S</w:t>
            </w:r>
            <w:r w:rsidR="000A0567" w:rsidRPr="00E129AD">
              <w:rPr>
                <w:noProof/>
                <w:sz w:val="18"/>
                <w:szCs w:val="18"/>
              </w:rPr>
              <w:t>.</w:t>
            </w:r>
            <w:r w:rsidRPr="00E129AD">
              <w:rPr>
                <w:noProof/>
                <w:sz w:val="18"/>
                <w:szCs w:val="18"/>
              </w:rPr>
              <w:t xml:space="preserve"> and Mee</w:t>
            </w:r>
            <w:r w:rsidR="000A0567" w:rsidRPr="00E129AD">
              <w:rPr>
                <w:noProof/>
                <w:sz w:val="18"/>
                <w:szCs w:val="18"/>
              </w:rPr>
              <w:t>,</w:t>
            </w:r>
            <w:r w:rsidRPr="00E129AD">
              <w:rPr>
                <w:noProof/>
                <w:sz w:val="18"/>
                <w:szCs w:val="18"/>
              </w:rPr>
              <w:t xml:space="preserve"> J. 2023. In VET23 Conference, p. 10. Co. Cork, Ireland.</w:t>
            </w:r>
          </w:p>
          <w:p w:rsidR="000D3D5B" w:rsidRPr="00E129AD" w:rsidRDefault="00820769" w:rsidP="000D3D5B">
            <w:pPr>
              <w:widowControl w:val="0"/>
              <w:autoSpaceDE w:val="0"/>
              <w:autoSpaceDN w:val="0"/>
              <w:adjustRightInd w:val="0"/>
              <w:jc w:val="both"/>
              <w:rPr>
                <w:noProof/>
                <w:sz w:val="18"/>
                <w:szCs w:val="18"/>
              </w:rPr>
            </w:pPr>
            <w:r w:rsidRPr="00E129AD">
              <w:rPr>
                <w:noProof/>
                <w:sz w:val="18"/>
                <w:szCs w:val="18"/>
              </w:rPr>
              <w:t xml:space="preserve">Swinson, </w:t>
            </w:r>
            <w:r w:rsidR="000D3D5B" w:rsidRPr="00E129AD">
              <w:rPr>
                <w:noProof/>
                <w:sz w:val="18"/>
                <w:szCs w:val="18"/>
              </w:rPr>
              <w:t>V</w:t>
            </w:r>
            <w:r w:rsidRPr="00E129AD">
              <w:rPr>
                <w:noProof/>
                <w:sz w:val="18"/>
                <w:szCs w:val="18"/>
              </w:rPr>
              <w:t>.</w:t>
            </w:r>
            <w:r w:rsidR="000D3D5B" w:rsidRPr="00E129AD">
              <w:rPr>
                <w:noProof/>
                <w:sz w:val="18"/>
                <w:szCs w:val="18"/>
              </w:rPr>
              <w:t>, Nabb</w:t>
            </w:r>
            <w:r w:rsidRPr="00E129AD">
              <w:rPr>
                <w:noProof/>
                <w:sz w:val="18"/>
                <w:szCs w:val="18"/>
              </w:rPr>
              <w:t>,</w:t>
            </w:r>
            <w:r w:rsidR="000D3D5B" w:rsidRPr="00E129AD">
              <w:rPr>
                <w:noProof/>
                <w:sz w:val="18"/>
                <w:szCs w:val="18"/>
              </w:rPr>
              <w:t xml:space="preserve"> L</w:t>
            </w:r>
            <w:r w:rsidRPr="00E129AD">
              <w:rPr>
                <w:noProof/>
                <w:sz w:val="18"/>
                <w:szCs w:val="18"/>
              </w:rPr>
              <w:t>.</w:t>
            </w:r>
            <w:r w:rsidR="000D3D5B" w:rsidRPr="00E129AD">
              <w:rPr>
                <w:noProof/>
                <w:sz w:val="18"/>
                <w:szCs w:val="18"/>
              </w:rPr>
              <w:t>, Henderson</w:t>
            </w:r>
            <w:r w:rsidRPr="00E129AD">
              <w:rPr>
                <w:noProof/>
                <w:sz w:val="18"/>
                <w:szCs w:val="18"/>
              </w:rPr>
              <w:t>,</w:t>
            </w:r>
            <w:r w:rsidR="000D3D5B" w:rsidRPr="00E129AD">
              <w:rPr>
                <w:noProof/>
                <w:sz w:val="18"/>
                <w:szCs w:val="18"/>
              </w:rPr>
              <w:t xml:space="preserve"> K</w:t>
            </w:r>
            <w:r w:rsidRPr="00E129AD">
              <w:rPr>
                <w:noProof/>
                <w:sz w:val="18"/>
                <w:szCs w:val="18"/>
              </w:rPr>
              <w:t>.</w:t>
            </w:r>
            <w:r w:rsidR="000D3D5B" w:rsidRPr="00E129AD">
              <w:rPr>
                <w:noProof/>
                <w:sz w:val="18"/>
                <w:szCs w:val="18"/>
              </w:rPr>
              <w:t xml:space="preserve"> and Millar</w:t>
            </w:r>
            <w:r w:rsidRPr="00E129AD">
              <w:rPr>
                <w:noProof/>
                <w:sz w:val="18"/>
                <w:szCs w:val="18"/>
              </w:rPr>
              <w:t>,</w:t>
            </w:r>
            <w:r w:rsidR="000D3D5B" w:rsidRPr="00E129AD">
              <w:rPr>
                <w:noProof/>
                <w:sz w:val="18"/>
                <w:szCs w:val="18"/>
              </w:rPr>
              <w:t xml:space="preserve"> M</w:t>
            </w:r>
            <w:r w:rsidRPr="00E129AD">
              <w:rPr>
                <w:noProof/>
                <w:sz w:val="18"/>
                <w:szCs w:val="18"/>
              </w:rPr>
              <w:t>.</w:t>
            </w:r>
            <w:r w:rsidR="000D3D5B" w:rsidRPr="00E129AD">
              <w:rPr>
                <w:noProof/>
                <w:sz w:val="18"/>
                <w:szCs w:val="18"/>
              </w:rPr>
              <w:t xml:space="preserve"> 2023. Veterinary Record 192, 285–287.</w:t>
            </w:r>
          </w:p>
          <w:p w:rsidR="00565B29" w:rsidRPr="00E129AD" w:rsidRDefault="00565B29" w:rsidP="000D3D5B">
            <w:pPr>
              <w:widowControl w:val="0"/>
              <w:autoSpaceDE w:val="0"/>
              <w:autoSpaceDN w:val="0"/>
              <w:adjustRightInd w:val="0"/>
              <w:jc w:val="both"/>
              <w:rPr>
                <w:noProof/>
                <w:sz w:val="14"/>
                <w:szCs w:val="18"/>
              </w:rPr>
            </w:pPr>
          </w:p>
          <w:p w:rsidR="00E51649" w:rsidRPr="00E129AD" w:rsidRDefault="00220931" w:rsidP="00C372F0">
            <w:pPr>
              <w:jc w:val="both"/>
              <w:rPr>
                <w:sz w:val="20"/>
                <w:szCs w:val="20"/>
              </w:rPr>
            </w:pPr>
            <w:r w:rsidRPr="00E129AD">
              <w:rPr>
                <w:b/>
                <w:sz w:val="18"/>
                <w:szCs w:val="18"/>
              </w:rPr>
              <w:fldChar w:fldCharType="end"/>
            </w:r>
            <w:r w:rsidR="00E51649" w:rsidRPr="00E129AD">
              <w:rPr>
                <w:b/>
                <w:sz w:val="18"/>
                <w:szCs w:val="18"/>
              </w:rPr>
              <w:t>Acknowledgement</w:t>
            </w:r>
            <w:r w:rsidR="00C372F0" w:rsidRPr="00E129AD">
              <w:rPr>
                <w:b/>
                <w:sz w:val="18"/>
                <w:szCs w:val="18"/>
              </w:rPr>
              <w:t>s</w:t>
            </w:r>
            <w:r w:rsidR="00BD2013" w:rsidRPr="00E129AD">
              <w:rPr>
                <w:b/>
                <w:sz w:val="18"/>
                <w:szCs w:val="18"/>
              </w:rPr>
              <w:t>:</w:t>
            </w:r>
            <w:r w:rsidR="00E51649" w:rsidRPr="00E129AD">
              <w:rPr>
                <w:b/>
                <w:sz w:val="18"/>
                <w:szCs w:val="18"/>
              </w:rPr>
              <w:t xml:space="preserve"> </w:t>
            </w:r>
            <w:r w:rsidR="00317B4C" w:rsidRPr="00E129AD">
              <w:rPr>
                <w:sz w:val="18"/>
                <w:szCs w:val="18"/>
                <w:lang w:val="en-US"/>
              </w:rPr>
              <w:t xml:space="preserve">This </w:t>
            </w:r>
            <w:r w:rsidR="007B561F" w:rsidRPr="00E129AD">
              <w:rPr>
                <w:sz w:val="18"/>
                <w:szCs w:val="18"/>
                <w:lang w:val="en-US"/>
              </w:rPr>
              <w:t>study</w:t>
            </w:r>
            <w:r w:rsidR="00317B4C" w:rsidRPr="00E129AD">
              <w:rPr>
                <w:sz w:val="18"/>
                <w:szCs w:val="18"/>
                <w:lang w:val="en-US"/>
              </w:rPr>
              <w:t xml:space="preserve"> was funded by</w:t>
            </w:r>
            <w:r w:rsidR="00C372F0" w:rsidRPr="00E129AD">
              <w:rPr>
                <w:sz w:val="18"/>
                <w:szCs w:val="18"/>
                <w:lang w:val="en-US"/>
              </w:rPr>
              <w:t xml:space="preserve"> a</w:t>
            </w:r>
            <w:r w:rsidR="00317B4C" w:rsidRPr="00E129AD">
              <w:rPr>
                <w:sz w:val="18"/>
                <w:szCs w:val="18"/>
                <w:lang w:val="en-US"/>
              </w:rPr>
              <w:t xml:space="preserve"> </w:t>
            </w:r>
            <w:proofErr w:type="spellStart"/>
            <w:r w:rsidR="00317B4C" w:rsidRPr="00E129AD">
              <w:rPr>
                <w:sz w:val="18"/>
                <w:szCs w:val="18"/>
                <w:lang w:val="en-US"/>
              </w:rPr>
              <w:t>Teagasc</w:t>
            </w:r>
            <w:proofErr w:type="spellEnd"/>
            <w:r w:rsidR="00317B4C" w:rsidRPr="00E129AD">
              <w:rPr>
                <w:sz w:val="18"/>
                <w:szCs w:val="18"/>
                <w:lang w:val="en-US"/>
              </w:rPr>
              <w:t xml:space="preserve"> Walsh Scholarship (</w:t>
            </w:r>
            <w:r w:rsidR="00317B4C" w:rsidRPr="00E129AD">
              <w:rPr>
                <w:sz w:val="18"/>
                <w:szCs w:val="18"/>
              </w:rPr>
              <w:t>2022064)</w:t>
            </w:r>
            <w:r w:rsidR="00317B4C" w:rsidRPr="00E129AD">
              <w:rPr>
                <w:sz w:val="18"/>
                <w:szCs w:val="18"/>
                <w:lang w:val="en-US"/>
              </w:rPr>
              <w:t xml:space="preserve"> </w:t>
            </w:r>
            <w:r w:rsidR="00820769" w:rsidRPr="00E129AD">
              <w:rPr>
                <w:sz w:val="18"/>
                <w:szCs w:val="18"/>
              </w:rPr>
              <w:t>to Rischi Robinson</w:t>
            </w:r>
            <w:r w:rsidR="00565B29" w:rsidRPr="00E129AD">
              <w:rPr>
                <w:sz w:val="18"/>
                <w:szCs w:val="18"/>
              </w:rPr>
              <w:t xml:space="preserve"> Male Here</w:t>
            </w:r>
            <w:r w:rsidR="00C372F0" w:rsidRPr="00E129AD">
              <w:rPr>
                <w:sz w:val="18"/>
                <w:szCs w:val="18"/>
              </w:rPr>
              <w:t>.</w:t>
            </w:r>
          </w:p>
        </w:tc>
      </w:tr>
    </w:tbl>
    <w:p w:rsidR="00471D77" w:rsidRPr="00317B4C" w:rsidRDefault="00471D77" w:rsidP="00317B4C">
      <w:pPr>
        <w:rPr>
          <w:sz w:val="20"/>
          <w:szCs w:val="20"/>
        </w:rPr>
      </w:pPr>
    </w:p>
    <w:sectPr w:rsidR="00471D77" w:rsidRPr="00317B4C" w:rsidSect="00E14333">
      <w:headerReference w:type="default" r:id="rId7"/>
      <w:pgSz w:w="11906" w:h="16838" w:code="9"/>
      <w:pgMar w:top="284" w:right="964" w:bottom="567" w:left="96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76E" w:rsidRDefault="00AE576E" w:rsidP="00E14333">
      <w:r>
        <w:separator/>
      </w:r>
    </w:p>
  </w:endnote>
  <w:endnote w:type="continuationSeparator" w:id="0">
    <w:p w:rsidR="00AE576E" w:rsidRDefault="00AE576E" w:rsidP="00E1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76E" w:rsidRDefault="00AE576E" w:rsidP="00E14333">
      <w:r>
        <w:separator/>
      </w:r>
    </w:p>
  </w:footnote>
  <w:footnote w:type="continuationSeparator" w:id="0">
    <w:p w:rsidR="00AE576E" w:rsidRDefault="00AE576E" w:rsidP="00E14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333" w:rsidRPr="000F31AE" w:rsidRDefault="00E14333" w:rsidP="00E14333">
    <w:pPr>
      <w:pStyle w:val="Header"/>
      <w:rPr>
        <w:color w:val="FF0000"/>
        <w:sz w:val="20"/>
        <w:szCs w:val="20"/>
      </w:rPr>
    </w:pPr>
    <w:r w:rsidRPr="00DB49E8">
      <w:rPr>
        <w:color w:val="FF0000"/>
        <w:u w:val="single"/>
      </w:rPr>
      <w:t>I</w:t>
    </w:r>
    <w:r w:rsidRPr="000F31AE">
      <w:rPr>
        <w:color w:val="FF0000"/>
        <w:sz w:val="20"/>
        <w:szCs w:val="20"/>
        <w:u w:val="single"/>
      </w:rPr>
      <w:t>mportant notes</w:t>
    </w:r>
    <w:r w:rsidRPr="000F31AE">
      <w:rPr>
        <w:color w:val="FF0000"/>
        <w:sz w:val="20"/>
        <w:szCs w:val="20"/>
      </w:rPr>
      <w:t>:</w:t>
    </w:r>
  </w:p>
  <w:p w:rsidR="00E14333" w:rsidRPr="000F31AE" w:rsidRDefault="00E14333" w:rsidP="00E14333">
    <w:pPr>
      <w:pStyle w:val="Header"/>
      <w:rPr>
        <w:color w:val="FF0000"/>
        <w:sz w:val="20"/>
        <w:szCs w:val="20"/>
      </w:rPr>
    </w:pPr>
    <w:r w:rsidRPr="000F31AE">
      <w:rPr>
        <w:color w:val="FF0000"/>
        <w:sz w:val="20"/>
        <w:szCs w:val="20"/>
      </w:rPr>
      <w:t>Do NOT enter author and affiliation information on this document. You will be able to enter this information online when you submit the abstract.</w:t>
    </w:r>
  </w:p>
  <w:p w:rsidR="00E14333" w:rsidRPr="000F31AE" w:rsidRDefault="00E14333" w:rsidP="00E14333">
    <w:pPr>
      <w:pStyle w:val="Header"/>
      <w:rPr>
        <w:color w:val="FF0000"/>
        <w:sz w:val="20"/>
        <w:szCs w:val="20"/>
      </w:rPr>
    </w:pPr>
    <w:r w:rsidRPr="000F31AE">
      <w:rPr>
        <w:color w:val="FF0000"/>
        <w:sz w:val="20"/>
        <w:szCs w:val="20"/>
      </w:rPr>
      <w:t xml:space="preserve">Do NOT write outside the boxes. Any text or images outside the boxes </w:t>
    </w:r>
    <w:r w:rsidRPr="000F31AE">
      <w:rPr>
        <w:b/>
        <w:color w:val="FF0000"/>
        <w:sz w:val="20"/>
        <w:szCs w:val="20"/>
        <w:u w:val="single"/>
      </w:rPr>
      <w:t>will be deleted</w:t>
    </w:r>
    <w:r w:rsidRPr="000F31AE">
      <w:rPr>
        <w:color w:val="FF0000"/>
        <w:sz w:val="20"/>
        <w:szCs w:val="20"/>
      </w:rPr>
      <w:t>.</w:t>
    </w:r>
  </w:p>
  <w:p w:rsidR="00E14333" w:rsidRPr="000F31AE" w:rsidRDefault="00E14333" w:rsidP="00E14333">
    <w:pPr>
      <w:pStyle w:val="Header"/>
      <w:rPr>
        <w:color w:val="FF0000"/>
        <w:sz w:val="20"/>
        <w:szCs w:val="20"/>
      </w:rPr>
    </w:pPr>
    <w:r w:rsidRPr="000F31AE">
      <w:rPr>
        <w:color w:val="FF0000"/>
        <w:sz w:val="20"/>
        <w:szCs w:val="20"/>
      </w:rPr>
      <w:t xml:space="preserve">Do NOT alter the structure of this document. Simply enter your title and abstract in the </w:t>
    </w:r>
    <w:proofErr w:type="spellStart"/>
    <w:r w:rsidRPr="000F31AE">
      <w:rPr>
        <w:color w:val="FF0000"/>
        <w:sz w:val="20"/>
        <w:szCs w:val="20"/>
      </w:rPr>
      <w:t>gray</w:t>
    </w:r>
    <w:proofErr w:type="spellEnd"/>
    <w:r w:rsidRPr="000F31AE">
      <w:rPr>
        <w:color w:val="FF0000"/>
        <w:sz w:val="20"/>
        <w:szCs w:val="20"/>
      </w:rPr>
      <w:t xml:space="preserve"> boxes. The document will be automatically processed – if you alter its structure your submission will not be processed correctly.</w:t>
    </w:r>
  </w:p>
  <w:p w:rsidR="00E14333" w:rsidRDefault="00E143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333"/>
    <w:rsid w:val="00041331"/>
    <w:rsid w:val="00043E84"/>
    <w:rsid w:val="0005515C"/>
    <w:rsid w:val="00066A56"/>
    <w:rsid w:val="0007797A"/>
    <w:rsid w:val="00083FA3"/>
    <w:rsid w:val="000A0567"/>
    <w:rsid w:val="000C6B7D"/>
    <w:rsid w:val="000D3D5B"/>
    <w:rsid w:val="000E36EC"/>
    <w:rsid w:val="000F46B7"/>
    <w:rsid w:val="00107DAE"/>
    <w:rsid w:val="00107F7A"/>
    <w:rsid w:val="00110687"/>
    <w:rsid w:val="00146FB3"/>
    <w:rsid w:val="001473D4"/>
    <w:rsid w:val="001B263E"/>
    <w:rsid w:val="001F599B"/>
    <w:rsid w:val="00211869"/>
    <w:rsid w:val="00220931"/>
    <w:rsid w:val="00225773"/>
    <w:rsid w:val="00234214"/>
    <w:rsid w:val="00243E39"/>
    <w:rsid w:val="00245414"/>
    <w:rsid w:val="00275C7C"/>
    <w:rsid w:val="00280D31"/>
    <w:rsid w:val="002852A0"/>
    <w:rsid w:val="002A1C22"/>
    <w:rsid w:val="002B7B8B"/>
    <w:rsid w:val="002C1940"/>
    <w:rsid w:val="00300B43"/>
    <w:rsid w:val="00302841"/>
    <w:rsid w:val="00304029"/>
    <w:rsid w:val="00317B4C"/>
    <w:rsid w:val="00335734"/>
    <w:rsid w:val="0035253E"/>
    <w:rsid w:val="003742DE"/>
    <w:rsid w:val="0038005B"/>
    <w:rsid w:val="003A3919"/>
    <w:rsid w:val="003A4DD6"/>
    <w:rsid w:val="003B1CE3"/>
    <w:rsid w:val="003D762B"/>
    <w:rsid w:val="003F1F30"/>
    <w:rsid w:val="00470D28"/>
    <w:rsid w:val="00471D77"/>
    <w:rsid w:val="004A57D3"/>
    <w:rsid w:val="004F0F4D"/>
    <w:rsid w:val="004F6757"/>
    <w:rsid w:val="00501C07"/>
    <w:rsid w:val="00565B29"/>
    <w:rsid w:val="0057008A"/>
    <w:rsid w:val="0059624B"/>
    <w:rsid w:val="00597DB1"/>
    <w:rsid w:val="005E2A1B"/>
    <w:rsid w:val="00603929"/>
    <w:rsid w:val="0061518B"/>
    <w:rsid w:val="006152E1"/>
    <w:rsid w:val="00644F16"/>
    <w:rsid w:val="00681DFB"/>
    <w:rsid w:val="006B632C"/>
    <w:rsid w:val="006C5F15"/>
    <w:rsid w:val="006F5C7D"/>
    <w:rsid w:val="00724FC1"/>
    <w:rsid w:val="00750659"/>
    <w:rsid w:val="00763E48"/>
    <w:rsid w:val="00770643"/>
    <w:rsid w:val="00772F9F"/>
    <w:rsid w:val="00776A51"/>
    <w:rsid w:val="007971A8"/>
    <w:rsid w:val="007B17F2"/>
    <w:rsid w:val="007B44CE"/>
    <w:rsid w:val="007B561F"/>
    <w:rsid w:val="007D5B6A"/>
    <w:rsid w:val="00812A9D"/>
    <w:rsid w:val="00816AB8"/>
    <w:rsid w:val="00820769"/>
    <w:rsid w:val="00824409"/>
    <w:rsid w:val="00826580"/>
    <w:rsid w:val="00864C5F"/>
    <w:rsid w:val="008B4297"/>
    <w:rsid w:val="008F6AFE"/>
    <w:rsid w:val="008F6FDB"/>
    <w:rsid w:val="00907827"/>
    <w:rsid w:val="00935816"/>
    <w:rsid w:val="00965F7F"/>
    <w:rsid w:val="009A156B"/>
    <w:rsid w:val="009C31F1"/>
    <w:rsid w:val="00A51939"/>
    <w:rsid w:val="00A676FF"/>
    <w:rsid w:val="00A820CA"/>
    <w:rsid w:val="00A95281"/>
    <w:rsid w:val="00AB1B1C"/>
    <w:rsid w:val="00AD1988"/>
    <w:rsid w:val="00AD4685"/>
    <w:rsid w:val="00AE576E"/>
    <w:rsid w:val="00B05DE4"/>
    <w:rsid w:val="00B1762E"/>
    <w:rsid w:val="00B55DED"/>
    <w:rsid w:val="00B61B5A"/>
    <w:rsid w:val="00B9139B"/>
    <w:rsid w:val="00BB10FB"/>
    <w:rsid w:val="00BD0568"/>
    <w:rsid w:val="00BD2013"/>
    <w:rsid w:val="00C23B84"/>
    <w:rsid w:val="00C372F0"/>
    <w:rsid w:val="00C41F95"/>
    <w:rsid w:val="00C829B3"/>
    <w:rsid w:val="00C856C8"/>
    <w:rsid w:val="00C85C68"/>
    <w:rsid w:val="00C9163F"/>
    <w:rsid w:val="00C91937"/>
    <w:rsid w:val="00CB5ABD"/>
    <w:rsid w:val="00CD65C4"/>
    <w:rsid w:val="00CF2218"/>
    <w:rsid w:val="00D03F5D"/>
    <w:rsid w:val="00D1281A"/>
    <w:rsid w:val="00D220AC"/>
    <w:rsid w:val="00D40EB6"/>
    <w:rsid w:val="00D528DE"/>
    <w:rsid w:val="00D5298D"/>
    <w:rsid w:val="00D539E3"/>
    <w:rsid w:val="00D54203"/>
    <w:rsid w:val="00D71655"/>
    <w:rsid w:val="00D75CD5"/>
    <w:rsid w:val="00DA11DA"/>
    <w:rsid w:val="00DB1205"/>
    <w:rsid w:val="00DC09C4"/>
    <w:rsid w:val="00DE6974"/>
    <w:rsid w:val="00E02B6E"/>
    <w:rsid w:val="00E129AD"/>
    <w:rsid w:val="00E14333"/>
    <w:rsid w:val="00E51649"/>
    <w:rsid w:val="00E62D2F"/>
    <w:rsid w:val="00E66ED5"/>
    <w:rsid w:val="00E84F8C"/>
    <w:rsid w:val="00E97ECD"/>
    <w:rsid w:val="00EC30FC"/>
    <w:rsid w:val="00EC4870"/>
    <w:rsid w:val="00EE0891"/>
    <w:rsid w:val="00EE10E8"/>
    <w:rsid w:val="00EE5F88"/>
    <w:rsid w:val="00F04945"/>
    <w:rsid w:val="00F3190D"/>
    <w:rsid w:val="00F344EC"/>
    <w:rsid w:val="00F35448"/>
    <w:rsid w:val="00F466C2"/>
    <w:rsid w:val="00F55155"/>
    <w:rsid w:val="00F555C1"/>
    <w:rsid w:val="00F61256"/>
    <w:rsid w:val="00F726F7"/>
    <w:rsid w:val="00FB21E4"/>
    <w:rsid w:val="00FF1A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D42D7D90-023B-48E3-9808-C5C83BD8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2A0"/>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4333"/>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rsid w:val="00E14333"/>
  </w:style>
  <w:style w:type="paragraph" w:styleId="Footer">
    <w:name w:val="footer"/>
    <w:basedOn w:val="Normal"/>
    <w:link w:val="FooterChar"/>
    <w:uiPriority w:val="99"/>
    <w:unhideWhenUsed/>
    <w:rsid w:val="00E14333"/>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E14333"/>
  </w:style>
  <w:style w:type="paragraph" w:styleId="BalloonText">
    <w:name w:val="Balloon Text"/>
    <w:basedOn w:val="Normal"/>
    <w:link w:val="BalloonTextChar"/>
    <w:uiPriority w:val="99"/>
    <w:semiHidden/>
    <w:unhideWhenUsed/>
    <w:rsid w:val="00E14333"/>
    <w:rPr>
      <w:rFonts w:ascii="Tahoma" w:eastAsia="Calibri" w:hAnsi="Tahoma" w:cs="Tahoma"/>
      <w:sz w:val="16"/>
      <w:szCs w:val="16"/>
    </w:rPr>
  </w:style>
  <w:style w:type="character" w:customStyle="1" w:styleId="BalloonTextChar">
    <w:name w:val="Balloon Text Char"/>
    <w:link w:val="BalloonText"/>
    <w:uiPriority w:val="99"/>
    <w:semiHidden/>
    <w:rsid w:val="00E14333"/>
    <w:rPr>
      <w:rFonts w:ascii="Tahoma" w:hAnsi="Tahoma" w:cs="Tahoma"/>
      <w:sz w:val="16"/>
      <w:szCs w:val="16"/>
    </w:rPr>
  </w:style>
  <w:style w:type="table" w:styleId="TableGrid">
    <w:name w:val="Table Grid"/>
    <w:basedOn w:val="TableNormal"/>
    <w:uiPriority w:val="59"/>
    <w:rsid w:val="00D71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34214"/>
    <w:rPr>
      <w:b/>
      <w:bCs/>
      <w:sz w:val="20"/>
      <w:szCs w:val="20"/>
    </w:rPr>
  </w:style>
  <w:style w:type="character" w:customStyle="1" w:styleId="normaltextrun">
    <w:name w:val="normaltextrun"/>
    <w:rsid w:val="00F61256"/>
  </w:style>
  <w:style w:type="character" w:styleId="Hyperlink">
    <w:name w:val="Hyperlink"/>
    <w:uiPriority w:val="99"/>
    <w:unhideWhenUsed/>
    <w:rsid w:val="00066A56"/>
    <w:rPr>
      <w:color w:val="0563C1"/>
      <w:u w:val="single"/>
    </w:rPr>
  </w:style>
  <w:style w:type="character" w:styleId="Strong">
    <w:name w:val="Strong"/>
    <w:uiPriority w:val="22"/>
    <w:qFormat/>
    <w:rsid w:val="00F35448"/>
    <w:rPr>
      <w:b/>
      <w:bCs/>
    </w:rPr>
  </w:style>
  <w:style w:type="paragraph" w:styleId="NormalWeb">
    <w:name w:val="Normal (Web)"/>
    <w:basedOn w:val="Normal"/>
    <w:uiPriority w:val="99"/>
    <w:semiHidden/>
    <w:unhideWhenUsed/>
    <w:rsid w:val="00317B4C"/>
    <w:pPr>
      <w:spacing w:before="100" w:beforeAutospacing="1" w:after="100" w:afterAutospacing="1"/>
    </w:pPr>
    <w:rPr>
      <w:lang w:val="en-IE" w:eastAsia="en-IE"/>
    </w:rPr>
  </w:style>
  <w:style w:type="character" w:styleId="CommentReference">
    <w:name w:val="annotation reference"/>
    <w:uiPriority w:val="99"/>
    <w:semiHidden/>
    <w:unhideWhenUsed/>
    <w:rsid w:val="00225773"/>
    <w:rPr>
      <w:sz w:val="16"/>
      <w:szCs w:val="16"/>
    </w:rPr>
  </w:style>
  <w:style w:type="paragraph" w:styleId="CommentText">
    <w:name w:val="annotation text"/>
    <w:basedOn w:val="Normal"/>
    <w:link w:val="CommentTextChar"/>
    <w:uiPriority w:val="99"/>
    <w:semiHidden/>
    <w:unhideWhenUsed/>
    <w:rsid w:val="00225773"/>
    <w:rPr>
      <w:sz w:val="20"/>
      <w:szCs w:val="20"/>
    </w:rPr>
  </w:style>
  <w:style w:type="character" w:customStyle="1" w:styleId="CommentTextChar">
    <w:name w:val="Comment Text Char"/>
    <w:link w:val="CommentText"/>
    <w:uiPriority w:val="99"/>
    <w:semiHidden/>
    <w:rsid w:val="00225773"/>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225773"/>
    <w:rPr>
      <w:b/>
      <w:bCs/>
    </w:rPr>
  </w:style>
  <w:style w:type="character" w:customStyle="1" w:styleId="CommentSubjectChar">
    <w:name w:val="Comment Subject Char"/>
    <w:link w:val="CommentSubject"/>
    <w:uiPriority w:val="99"/>
    <w:semiHidden/>
    <w:rsid w:val="00225773"/>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130002">
      <w:bodyDiv w:val="1"/>
      <w:marLeft w:val="0"/>
      <w:marRight w:val="0"/>
      <w:marTop w:val="0"/>
      <w:marBottom w:val="0"/>
      <w:divBdr>
        <w:top w:val="none" w:sz="0" w:space="0" w:color="auto"/>
        <w:left w:val="none" w:sz="0" w:space="0" w:color="auto"/>
        <w:bottom w:val="none" w:sz="0" w:space="0" w:color="auto"/>
        <w:right w:val="none" w:sz="0" w:space="0" w:color="auto"/>
      </w:divBdr>
    </w:div>
    <w:div w:id="131918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F96D7-4808-4A79-A318-D3182E8A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SRUC</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BSAS</dc:creator>
  <cp:keywords/>
  <cp:lastModifiedBy>Rischi Robinson (Walsh Scholar)</cp:lastModifiedBy>
  <cp:revision>3</cp:revision>
  <dcterms:created xsi:type="dcterms:W3CDTF">2023-11-13T12:47:00Z</dcterms:created>
  <dcterms:modified xsi:type="dcterms:W3CDTF">2023-11-13T12:52:00Z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http://www.zotero.org/styles/journal-of-animal-science</vt:lpwstr>
  </property>
  <property fmtid="{D5CDD505-2E9C-101B-9397-08002B2CF9AE}" pid="15" name="Mendeley Recent Style Name 6_1">
    <vt:lpwstr>Journal of Animal Science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http://www.zotero.org/styles/animal</vt:lpwstr>
  </property>
  <property fmtid="{D5CDD505-2E9C-101B-9397-08002B2CF9AE}" pid="21" name="Mendeley Recent Style Name 9_1">
    <vt:lpwstr>animal</vt:lpwstr>
  </property>
  <property fmtid="{D5CDD505-2E9C-101B-9397-08002B2CF9AE}" pid="22" name="Mendeley Document_1">
    <vt:lpwstr>True</vt:lpwstr>
  </property>
  <property fmtid="{D5CDD505-2E9C-101B-9397-08002B2CF9AE}" pid="23" name="Mendeley Unique User Id_1">
    <vt:lpwstr>407bc5f5-ce66-3a51-b4be-3a0f27611a2d</vt:lpwstr>
  </property>
  <property fmtid="{D5CDD505-2E9C-101B-9397-08002B2CF9AE}" pid="24" name="Mendeley Citation Style_1">
    <vt:lpwstr>http://www.zotero.org/styles/animal</vt:lpwstr>
  </property>
</Properties>
</file>