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C9ECB3" w14:textId="3FF292AD" w:rsidR="007B30E3" w:rsidRDefault="007B30E3" w:rsidP="0095784D">
      <w:pPr>
        <w:jc w:val="both"/>
        <w:rPr>
          <w:b/>
          <w:bCs/>
          <w:lang w:val="en-US"/>
        </w:rPr>
      </w:pPr>
      <w:r>
        <w:rPr>
          <w:b/>
          <w:bCs/>
          <w:lang w:val="en-US"/>
        </w:rPr>
        <w:t>Application</w:t>
      </w:r>
      <w:r w:rsidR="00242B89">
        <w:rPr>
          <w:lang w:val="en-US"/>
        </w:rPr>
        <w:t xml:space="preserve"> </w:t>
      </w:r>
      <w:r w:rsidR="002375C1">
        <w:rPr>
          <w:lang w:val="en-US"/>
        </w:rPr>
        <w:t xml:space="preserve">Relationships between </w:t>
      </w:r>
      <w:r w:rsidR="00242B89">
        <w:rPr>
          <w:lang w:val="en-US"/>
        </w:rPr>
        <w:t xml:space="preserve">MUN </w:t>
      </w:r>
      <w:r w:rsidR="002375C1">
        <w:rPr>
          <w:lang w:val="en-US"/>
        </w:rPr>
        <w:t>and NUE within the current dataset were poor, suggesting that MUN could not be used as an</w:t>
      </w:r>
      <w:r w:rsidR="00242B89">
        <w:rPr>
          <w:lang w:val="en-US"/>
        </w:rPr>
        <w:t xml:space="preserve"> ‘on-farm’ proximate measure of ‘herd’ NUE</w:t>
      </w:r>
      <w:r w:rsidR="002375C1">
        <w:rPr>
          <w:lang w:val="en-US"/>
        </w:rPr>
        <w:t xml:space="preserve">. The addition of data on </w:t>
      </w:r>
      <w:r w:rsidR="00242B89">
        <w:rPr>
          <w:lang w:val="en-US"/>
        </w:rPr>
        <w:t>dietary and cow factors</w:t>
      </w:r>
      <w:r w:rsidR="002375C1">
        <w:rPr>
          <w:lang w:val="en-US"/>
        </w:rPr>
        <w:t xml:space="preserve"> might improve the prediction</w:t>
      </w:r>
      <w:r w:rsidR="00DE13EB" w:rsidRPr="00DE13EB">
        <w:rPr>
          <w:lang w:val="en-US"/>
        </w:rPr>
        <w:t>.</w:t>
      </w:r>
      <w:r w:rsidR="00DE13EB">
        <w:rPr>
          <w:b/>
          <w:bCs/>
          <w:lang w:val="en-US"/>
        </w:rPr>
        <w:t xml:space="preserve"> </w:t>
      </w:r>
    </w:p>
    <w:p w14:paraId="3BDF08E8" w14:textId="50A52169" w:rsidR="00A650CB" w:rsidRPr="00A650CB" w:rsidRDefault="007B30E3" w:rsidP="0095784D">
      <w:pPr>
        <w:spacing w:after="0"/>
        <w:jc w:val="both"/>
        <w:rPr>
          <w:lang w:val="en-US"/>
        </w:rPr>
      </w:pPr>
      <w:r>
        <w:rPr>
          <w:b/>
          <w:bCs/>
          <w:lang w:val="en-US"/>
        </w:rPr>
        <w:t>Introduction</w:t>
      </w:r>
      <w:r w:rsidR="00421783">
        <w:rPr>
          <w:b/>
          <w:bCs/>
          <w:lang w:val="en-US"/>
        </w:rPr>
        <w:t xml:space="preserve"> </w:t>
      </w:r>
      <w:r w:rsidR="00A650CB" w:rsidRPr="00A650CB">
        <w:rPr>
          <w:lang w:val="en-US"/>
        </w:rPr>
        <w:t xml:space="preserve">Improving nitrogen-use-efficiency (NUE: defined as milk N output/N intake) is key to reducing the environmental impact of dairy systems. However, while NUE can be easily measured on research farms where information on N intake is available, on commercial farms NUE must be predicted. Both blood urea N (BUN) and milk urea N (MUN) are known to be indicators of protein nutrition status in dairy cows and as such have been used as predictors of NUE. While the use of BUN requires invasive blood sampling, MUN is normally determined within routine test-day milk sampling. </w:t>
      </w:r>
      <w:r w:rsidR="001F2DED">
        <w:rPr>
          <w:lang w:val="en-US"/>
        </w:rPr>
        <w:t>While</w:t>
      </w:r>
      <w:r w:rsidR="00A650CB" w:rsidRPr="00A650CB">
        <w:rPr>
          <w:lang w:val="en-US"/>
        </w:rPr>
        <w:t xml:space="preserve"> previous predictions have been developed using short-term relatively </w:t>
      </w:r>
      <w:r w:rsidR="00DB7766">
        <w:rPr>
          <w:lang w:val="en-US"/>
        </w:rPr>
        <w:t>homogenous</w:t>
      </w:r>
      <w:r w:rsidR="00DB7766" w:rsidRPr="00A650CB">
        <w:rPr>
          <w:lang w:val="en-US"/>
        </w:rPr>
        <w:t xml:space="preserve"> </w:t>
      </w:r>
      <w:r w:rsidR="00A650CB" w:rsidRPr="00A650CB">
        <w:rPr>
          <w:lang w:val="en-US"/>
        </w:rPr>
        <w:t>datasets</w:t>
      </w:r>
      <w:r w:rsidR="00702B23">
        <w:rPr>
          <w:lang w:val="en-US"/>
        </w:rPr>
        <w:t>, t</w:t>
      </w:r>
      <w:r w:rsidR="00A650CB" w:rsidRPr="00A650CB">
        <w:rPr>
          <w:lang w:val="en-US"/>
        </w:rPr>
        <w:t xml:space="preserve">his study examined relationships between MUN, BUN and NUE using a multi-experiment dataset </w:t>
      </w:r>
      <w:r w:rsidR="001F2DED">
        <w:rPr>
          <w:lang w:val="en-US"/>
        </w:rPr>
        <w:t>developed over almost three decades</w:t>
      </w:r>
      <w:r w:rsidR="009F70D3">
        <w:rPr>
          <w:lang w:val="en-US"/>
        </w:rPr>
        <w:t>,</w:t>
      </w:r>
      <w:r w:rsidR="001F2DED">
        <w:rPr>
          <w:lang w:val="en-US"/>
        </w:rPr>
        <w:t xml:space="preserve"> and </w:t>
      </w:r>
      <w:r w:rsidR="009F70D3">
        <w:rPr>
          <w:lang w:val="en-US"/>
        </w:rPr>
        <w:t xml:space="preserve">which involved </w:t>
      </w:r>
      <w:r w:rsidR="001F2DED">
        <w:rPr>
          <w:lang w:val="en-US"/>
        </w:rPr>
        <w:t>large variability in both diet type (all grass silage</w:t>
      </w:r>
      <w:r w:rsidR="00702B23">
        <w:rPr>
          <w:lang w:val="en-US"/>
        </w:rPr>
        <w:t>-</w:t>
      </w:r>
      <w:r w:rsidR="001F2DED">
        <w:rPr>
          <w:lang w:val="en-US"/>
        </w:rPr>
        <w:t>based) and cow genotype</w:t>
      </w:r>
      <w:r w:rsidR="00DB7766">
        <w:rPr>
          <w:lang w:val="en-US"/>
        </w:rPr>
        <w:t>. R</w:t>
      </w:r>
      <w:r w:rsidR="00A650CB" w:rsidRPr="00A650CB">
        <w:rPr>
          <w:lang w:val="en-US"/>
        </w:rPr>
        <w:t xml:space="preserve">elationships </w:t>
      </w:r>
      <w:r w:rsidR="00DB7766">
        <w:rPr>
          <w:lang w:val="en-US"/>
        </w:rPr>
        <w:t xml:space="preserve">were </w:t>
      </w:r>
      <w:r w:rsidR="00A650CB" w:rsidRPr="00A650CB">
        <w:rPr>
          <w:lang w:val="en-US"/>
        </w:rPr>
        <w:t>examined at both an individual ‘cow’ level and ‘</w:t>
      </w:r>
      <w:r w:rsidR="00E179A2">
        <w:rPr>
          <w:lang w:val="en-US"/>
        </w:rPr>
        <w:t>treatment</w:t>
      </w:r>
      <w:r w:rsidR="00A375A5">
        <w:rPr>
          <w:lang w:val="en-US"/>
        </w:rPr>
        <w:t>’</w:t>
      </w:r>
      <w:r w:rsidR="00E179A2">
        <w:rPr>
          <w:lang w:val="en-US"/>
        </w:rPr>
        <w:t xml:space="preserve"> </w:t>
      </w:r>
      <w:r w:rsidR="00A650CB" w:rsidRPr="00A650CB">
        <w:rPr>
          <w:lang w:val="en-US"/>
        </w:rPr>
        <w:t xml:space="preserve">level. </w:t>
      </w:r>
    </w:p>
    <w:p w14:paraId="359A3AB6" w14:textId="76656DEA" w:rsidR="00C35BDA" w:rsidRPr="00A650CB" w:rsidRDefault="00C35BDA" w:rsidP="0095784D">
      <w:pPr>
        <w:spacing w:after="0"/>
        <w:jc w:val="both"/>
        <w:rPr>
          <w:lang w:val="en-US"/>
        </w:rPr>
      </w:pPr>
    </w:p>
    <w:p w14:paraId="199FF6E8" w14:textId="0F6B600E" w:rsidR="00A650CB" w:rsidRPr="00A650CB" w:rsidRDefault="007B30E3" w:rsidP="0095784D">
      <w:pPr>
        <w:spacing w:after="0"/>
        <w:jc w:val="both"/>
        <w:rPr>
          <w:lang w:val="en-US"/>
        </w:rPr>
      </w:pPr>
      <w:r>
        <w:rPr>
          <w:b/>
          <w:bCs/>
          <w:lang w:val="en-US"/>
        </w:rPr>
        <w:t>Materials and Methods</w:t>
      </w:r>
      <w:r w:rsidR="00421783">
        <w:rPr>
          <w:b/>
          <w:bCs/>
          <w:lang w:val="en-US"/>
        </w:rPr>
        <w:t xml:space="preserve"> </w:t>
      </w:r>
      <w:r w:rsidR="00A650CB" w:rsidRPr="00A650CB">
        <w:rPr>
          <w:lang w:val="en-US"/>
        </w:rPr>
        <w:t xml:space="preserve">This study involved a statistical re-assessment of aggregated individual cow data obtained from 39 studies conducted between 1996 and 2023 at the Agri-Food and Bioscience Institute (AFBI) in Hillsborough, Northern Ireland. </w:t>
      </w:r>
      <w:r w:rsidR="005F3C0A">
        <w:rPr>
          <w:lang w:val="en-US"/>
        </w:rPr>
        <w:t>Individual cow MUN data were obtained from monthly test</w:t>
      </w:r>
      <w:r w:rsidR="00A375A5">
        <w:rPr>
          <w:lang w:val="en-US"/>
        </w:rPr>
        <w:t>-</w:t>
      </w:r>
      <w:r w:rsidR="005F3C0A">
        <w:rPr>
          <w:lang w:val="en-US"/>
        </w:rPr>
        <w:t xml:space="preserve">day milk sampling undertaken within studies (from 2008 onwards), while individual cow BUN data were obtained from occasional blood sampling undertaken within studies (according </w:t>
      </w:r>
      <w:r w:rsidR="00A375A5">
        <w:rPr>
          <w:lang w:val="en-US"/>
        </w:rPr>
        <w:t xml:space="preserve">to </w:t>
      </w:r>
      <w:r w:rsidR="005F3C0A">
        <w:rPr>
          <w:lang w:val="en-US"/>
        </w:rPr>
        <w:t>protocols</w:t>
      </w:r>
      <w:r w:rsidR="00A375A5" w:rsidRPr="00A375A5">
        <w:rPr>
          <w:lang w:val="en-US"/>
        </w:rPr>
        <w:t xml:space="preserve"> </w:t>
      </w:r>
      <w:r w:rsidR="00A375A5">
        <w:rPr>
          <w:lang w:val="en-US"/>
        </w:rPr>
        <w:t xml:space="preserve">within individual </w:t>
      </w:r>
      <w:r w:rsidR="009F70D3">
        <w:rPr>
          <w:lang w:val="en-US"/>
        </w:rPr>
        <w:t>experiments</w:t>
      </w:r>
      <w:r w:rsidR="005F3C0A">
        <w:rPr>
          <w:lang w:val="en-US"/>
        </w:rPr>
        <w:t>). Individual cow NUE was determined using</w:t>
      </w:r>
      <w:r w:rsidR="00A650CB" w:rsidRPr="00A650CB">
        <w:rPr>
          <w:lang w:val="en-US"/>
        </w:rPr>
        <w:t xml:space="preserve"> daily data </w:t>
      </w:r>
      <w:r w:rsidR="00A375A5">
        <w:rPr>
          <w:lang w:val="en-US"/>
        </w:rPr>
        <w:t>(N intake and milk N output)</w:t>
      </w:r>
      <w:r w:rsidR="00702B23">
        <w:rPr>
          <w:lang w:val="en-US"/>
        </w:rPr>
        <w:t xml:space="preserve"> </w:t>
      </w:r>
      <w:r w:rsidR="00A650CB" w:rsidRPr="00A650CB">
        <w:rPr>
          <w:lang w:val="en-US"/>
        </w:rPr>
        <w:t xml:space="preserve">averaged for the 7-day period (day of sampling ± 3 days) </w:t>
      </w:r>
      <w:r w:rsidR="005F3C0A">
        <w:rPr>
          <w:lang w:val="en-US"/>
        </w:rPr>
        <w:t>around the date of blood/milk sampling</w:t>
      </w:r>
      <w:r w:rsidR="00A650CB" w:rsidRPr="00A650CB">
        <w:rPr>
          <w:lang w:val="en-US"/>
        </w:rPr>
        <w:t xml:space="preserve">. </w:t>
      </w:r>
      <w:r w:rsidR="00162A9C">
        <w:rPr>
          <w:lang w:val="en-US"/>
        </w:rPr>
        <w:t>T</w:t>
      </w:r>
      <w:r w:rsidR="00A650CB" w:rsidRPr="00A650CB">
        <w:rPr>
          <w:lang w:val="en-US"/>
        </w:rPr>
        <w:t>reatment datasets</w:t>
      </w:r>
      <w:r w:rsidR="00162A9C">
        <w:rPr>
          <w:lang w:val="en-US"/>
        </w:rPr>
        <w:t xml:space="preserve"> were determined by averaging BUN, MUN and NUE data for all individual cows on each treatment for each week</w:t>
      </w:r>
      <w:r w:rsidR="00A650CB" w:rsidRPr="00A650CB">
        <w:rPr>
          <w:lang w:val="en-US"/>
        </w:rPr>
        <w:t xml:space="preserve">. The BUN </w:t>
      </w:r>
      <w:r w:rsidR="00162A9C" w:rsidRPr="00A650CB">
        <w:rPr>
          <w:lang w:val="en-US"/>
        </w:rPr>
        <w:t xml:space="preserve">dataset </w:t>
      </w:r>
      <w:r w:rsidR="00A650CB" w:rsidRPr="00A650CB">
        <w:rPr>
          <w:lang w:val="en-US"/>
        </w:rPr>
        <w:t>represented 1396 individual cows (704 primiparous, 983 multiparous) cows</w:t>
      </w:r>
      <w:r w:rsidR="00162A9C">
        <w:rPr>
          <w:lang w:val="en-US"/>
        </w:rPr>
        <w:t>,</w:t>
      </w:r>
      <w:r w:rsidR="00A650CB" w:rsidRPr="00A650CB">
        <w:rPr>
          <w:lang w:val="en-US"/>
        </w:rPr>
        <w:t xml:space="preserve"> </w:t>
      </w:r>
      <w:r w:rsidR="00A375A5">
        <w:rPr>
          <w:lang w:val="en-US"/>
        </w:rPr>
        <w:t xml:space="preserve">while </w:t>
      </w:r>
      <w:r w:rsidR="00162A9C">
        <w:rPr>
          <w:lang w:val="en-US"/>
        </w:rPr>
        <w:t>the</w:t>
      </w:r>
      <w:r w:rsidR="00A650CB" w:rsidRPr="00A650CB">
        <w:rPr>
          <w:lang w:val="en-US"/>
        </w:rPr>
        <w:t xml:space="preserve"> MUN </w:t>
      </w:r>
      <w:r w:rsidR="00162A9C">
        <w:rPr>
          <w:lang w:val="en-US"/>
        </w:rPr>
        <w:t xml:space="preserve">dataset </w:t>
      </w:r>
      <w:r w:rsidR="00A650CB" w:rsidRPr="00A650CB">
        <w:rPr>
          <w:lang w:val="en-US"/>
        </w:rPr>
        <w:t xml:space="preserve">represented 905 individual cows (408 primiparous and 662 multiparous cows). The </w:t>
      </w:r>
      <w:r w:rsidR="00A375A5" w:rsidRPr="00A650CB">
        <w:rPr>
          <w:lang w:val="en-US"/>
        </w:rPr>
        <w:t xml:space="preserve">BUN </w:t>
      </w:r>
      <w:r w:rsidR="00A375A5">
        <w:rPr>
          <w:lang w:val="en-US"/>
        </w:rPr>
        <w:t xml:space="preserve">and </w:t>
      </w:r>
      <w:r w:rsidR="00A375A5" w:rsidRPr="00A650CB">
        <w:rPr>
          <w:lang w:val="en-US"/>
        </w:rPr>
        <w:t xml:space="preserve">MUN </w:t>
      </w:r>
      <w:r w:rsidR="00A650CB" w:rsidRPr="00A650CB">
        <w:rPr>
          <w:lang w:val="en-US"/>
        </w:rPr>
        <w:t xml:space="preserve">treatment mean dataset represented 116 </w:t>
      </w:r>
      <w:r w:rsidR="00A375A5">
        <w:rPr>
          <w:lang w:val="en-US"/>
        </w:rPr>
        <w:t xml:space="preserve">and </w:t>
      </w:r>
      <w:r w:rsidR="00A650CB" w:rsidRPr="00A650CB">
        <w:rPr>
          <w:lang w:val="en-US"/>
        </w:rPr>
        <w:t>56 treatment</w:t>
      </w:r>
      <w:r w:rsidR="00702B23">
        <w:rPr>
          <w:lang w:val="en-US"/>
        </w:rPr>
        <w:t xml:space="preserve">s, </w:t>
      </w:r>
      <w:r w:rsidR="00A375A5">
        <w:rPr>
          <w:lang w:val="en-US"/>
        </w:rPr>
        <w:t>respectively</w:t>
      </w:r>
      <w:r w:rsidR="00A650CB" w:rsidRPr="00A650CB">
        <w:rPr>
          <w:lang w:val="en-US"/>
        </w:rPr>
        <w:t xml:space="preserve">. Relationships between MUN, BUN and NUE were examined using individual cow data and treatment mean data (mean for each week) using regression analysis in </w:t>
      </w:r>
      <w:proofErr w:type="spellStart"/>
      <w:r w:rsidR="00A650CB" w:rsidRPr="00A650CB">
        <w:rPr>
          <w:lang w:val="en-US"/>
        </w:rPr>
        <w:t>Genstat</w:t>
      </w:r>
      <w:proofErr w:type="spellEnd"/>
      <w:r w:rsidR="00A650CB" w:rsidRPr="00A650CB">
        <w:rPr>
          <w:lang w:val="en-US"/>
        </w:rPr>
        <w:t xml:space="preserve"> v21 (VSN International Ltd).  </w:t>
      </w:r>
    </w:p>
    <w:p w14:paraId="31DE43A2" w14:textId="28CFDC94" w:rsidR="007B30E3" w:rsidRDefault="007B30E3" w:rsidP="0095784D">
      <w:pPr>
        <w:spacing w:after="0"/>
        <w:jc w:val="both"/>
        <w:rPr>
          <w:rFonts w:ascii="Times New Roman" w:hAnsi="Times New Roman" w:cs="Times New Roman"/>
          <w:sz w:val="18"/>
          <w:szCs w:val="18"/>
        </w:rPr>
      </w:pPr>
    </w:p>
    <w:p w14:paraId="5079EAD1" w14:textId="6F00C4FD" w:rsidR="00C35BDA" w:rsidRPr="00C35BDA" w:rsidRDefault="00C35BDA" w:rsidP="0095784D">
      <w:pPr>
        <w:spacing w:after="0"/>
        <w:jc w:val="both"/>
        <w:rPr>
          <w:rFonts w:ascii="Times New Roman" w:hAnsi="Times New Roman" w:cs="Times New Roman"/>
          <w:sz w:val="18"/>
          <w:szCs w:val="18"/>
        </w:rPr>
      </w:pPr>
    </w:p>
    <w:p w14:paraId="686ADD60" w14:textId="1AEE384D" w:rsidR="00A650CB" w:rsidRPr="00A650CB" w:rsidRDefault="007B30E3" w:rsidP="0095784D">
      <w:pPr>
        <w:spacing w:after="0"/>
        <w:jc w:val="both"/>
        <w:rPr>
          <w:lang w:val="en-US"/>
        </w:rPr>
      </w:pPr>
      <w:r>
        <w:rPr>
          <w:b/>
          <w:bCs/>
          <w:lang w:val="en-US"/>
        </w:rPr>
        <w:t>Results</w:t>
      </w:r>
      <w:r w:rsidR="00DE13EB">
        <w:rPr>
          <w:b/>
          <w:bCs/>
          <w:lang w:val="en-US"/>
        </w:rPr>
        <w:t xml:space="preserve"> </w:t>
      </w:r>
      <w:r w:rsidR="00A650CB" w:rsidRPr="00A650CB">
        <w:rPr>
          <w:lang w:val="en-US"/>
        </w:rPr>
        <w:t>As expected, there were positive relationships between BUN and MUN levels with both the individual cow and treatment data</w:t>
      </w:r>
      <w:r w:rsidR="00A375A5">
        <w:rPr>
          <w:lang w:val="en-US"/>
        </w:rPr>
        <w:t>sets,</w:t>
      </w:r>
      <w:r w:rsidR="00A650CB" w:rsidRPr="00A650CB">
        <w:rPr>
          <w:lang w:val="en-US"/>
        </w:rPr>
        <w:t xml:space="preserve"> with a 1 mg/dl increase in BUN associated with a 1.75 (individual) and 1.65 (treatment) mg/dl increase in MUN content (Table 1). With the individual cow data there were weak negative relationships </w:t>
      </w:r>
      <w:r w:rsidR="009F70D3">
        <w:rPr>
          <w:lang w:val="en-US"/>
        </w:rPr>
        <w:t>for</w:t>
      </w:r>
      <w:r w:rsidR="009F70D3" w:rsidRPr="00A650CB">
        <w:rPr>
          <w:lang w:val="en-US"/>
        </w:rPr>
        <w:t xml:space="preserve"> </w:t>
      </w:r>
      <w:r w:rsidR="00A650CB" w:rsidRPr="00A650CB">
        <w:rPr>
          <w:lang w:val="en-US"/>
        </w:rPr>
        <w:t>both BUN and MUN</w:t>
      </w:r>
      <w:r w:rsidR="00A375A5">
        <w:rPr>
          <w:lang w:val="en-US"/>
        </w:rPr>
        <w:t>,</w:t>
      </w:r>
      <w:r w:rsidR="00A650CB" w:rsidRPr="00A650CB">
        <w:rPr>
          <w:lang w:val="en-US"/>
        </w:rPr>
        <w:t xml:space="preserve"> </w:t>
      </w:r>
      <w:r w:rsidR="00A375A5">
        <w:rPr>
          <w:lang w:val="en-US"/>
        </w:rPr>
        <w:t>and</w:t>
      </w:r>
      <w:r w:rsidR="00A375A5" w:rsidRPr="00A650CB">
        <w:rPr>
          <w:lang w:val="en-US"/>
        </w:rPr>
        <w:t xml:space="preserve"> </w:t>
      </w:r>
      <w:r w:rsidR="00A650CB" w:rsidRPr="00A650CB">
        <w:rPr>
          <w:lang w:val="en-US"/>
        </w:rPr>
        <w:t>NUE, with adjusted R</w:t>
      </w:r>
      <w:r w:rsidR="00A650CB" w:rsidRPr="00A650CB">
        <w:rPr>
          <w:vertAlign w:val="superscript"/>
          <w:lang w:val="en-US"/>
        </w:rPr>
        <w:t>2</w:t>
      </w:r>
      <w:r w:rsidR="00A650CB" w:rsidRPr="00A650CB">
        <w:rPr>
          <w:lang w:val="en-US"/>
        </w:rPr>
        <w:t xml:space="preserve"> of 4.4 and 6.4, respectively. Similar relationships existed when </w:t>
      </w:r>
      <w:r w:rsidR="001720C9">
        <w:rPr>
          <w:lang w:val="en-US"/>
        </w:rPr>
        <w:t>treatment mean</w:t>
      </w:r>
      <w:r w:rsidR="001720C9" w:rsidRPr="00A650CB">
        <w:rPr>
          <w:lang w:val="en-US"/>
        </w:rPr>
        <w:t xml:space="preserve"> </w:t>
      </w:r>
      <w:r w:rsidR="00A650CB" w:rsidRPr="00A650CB">
        <w:rPr>
          <w:lang w:val="en-US"/>
        </w:rPr>
        <w:t>data was examined</w:t>
      </w:r>
      <w:r w:rsidR="009F70D3">
        <w:rPr>
          <w:lang w:val="en-US"/>
        </w:rPr>
        <w:t>,</w:t>
      </w:r>
      <w:r w:rsidR="00A650CB" w:rsidRPr="00A650CB">
        <w:rPr>
          <w:lang w:val="en-US"/>
        </w:rPr>
        <w:t xml:space="preserve"> </w:t>
      </w:r>
      <w:r w:rsidR="001720C9">
        <w:rPr>
          <w:lang w:val="en-US"/>
        </w:rPr>
        <w:t>with</w:t>
      </w:r>
      <w:r w:rsidR="00A650CB" w:rsidRPr="00A650CB">
        <w:rPr>
          <w:lang w:val="en-US"/>
        </w:rPr>
        <w:t xml:space="preserve"> a 1 mg/dl increase in BUN associated with a proportional decrease of 0.009 in NUE. Similarly, a 1 mg/dl increase in MUN was associated with a proportional decrease of 0.004 in NUE. While assessing the data on a treatment mean </w:t>
      </w:r>
      <w:r w:rsidR="001720C9">
        <w:rPr>
          <w:lang w:val="en-US"/>
        </w:rPr>
        <w:t>basis</w:t>
      </w:r>
      <w:r w:rsidR="00A650CB" w:rsidRPr="00A650CB">
        <w:rPr>
          <w:lang w:val="en-US"/>
        </w:rPr>
        <w:t xml:space="preserve"> did improve the adjusted R</w:t>
      </w:r>
      <w:r w:rsidR="00A650CB" w:rsidRPr="00A650CB">
        <w:rPr>
          <w:vertAlign w:val="superscript"/>
          <w:lang w:val="en-US"/>
        </w:rPr>
        <w:t>2</w:t>
      </w:r>
      <w:r w:rsidR="00A650CB" w:rsidRPr="00A650CB">
        <w:rPr>
          <w:lang w:val="en-US"/>
        </w:rPr>
        <w:t xml:space="preserve"> of all regression equations, the R</w:t>
      </w:r>
      <w:r w:rsidR="00A650CB" w:rsidRPr="00A650CB">
        <w:rPr>
          <w:vertAlign w:val="superscript"/>
          <w:lang w:val="en-US"/>
        </w:rPr>
        <w:t xml:space="preserve">2 </w:t>
      </w:r>
      <w:r w:rsidR="00A650CB" w:rsidRPr="00A650CB">
        <w:rPr>
          <w:lang w:val="en-US"/>
        </w:rPr>
        <w:t>of all relationships are low (R</w:t>
      </w:r>
      <w:r w:rsidR="00A650CB" w:rsidRPr="00A650CB">
        <w:rPr>
          <w:vertAlign w:val="superscript"/>
          <w:lang w:val="en-US"/>
        </w:rPr>
        <w:t>2</w:t>
      </w:r>
      <w:r w:rsidR="00A650CB" w:rsidRPr="00A650CB">
        <w:rPr>
          <w:lang w:val="en-US"/>
        </w:rPr>
        <w:t xml:space="preserve"> &lt;0.5) suggesting that they could not be used to provide an accurate prediction of NUE at farm level. </w:t>
      </w:r>
      <w:r w:rsidR="000C3730" w:rsidRPr="00A650CB">
        <w:rPr>
          <w:lang w:val="en-US"/>
        </w:rPr>
        <w:t xml:space="preserve">Given that the current dataset encompasses 39 studies conducted over almost three decades, variations </w:t>
      </w:r>
      <w:r w:rsidR="009F70D3">
        <w:rPr>
          <w:lang w:val="en-US"/>
        </w:rPr>
        <w:t>in</w:t>
      </w:r>
      <w:r w:rsidR="009F70D3" w:rsidRPr="00A650CB">
        <w:rPr>
          <w:lang w:val="en-US"/>
        </w:rPr>
        <w:t xml:space="preserve"> </w:t>
      </w:r>
      <w:r w:rsidR="000C3730" w:rsidRPr="00A650CB">
        <w:rPr>
          <w:lang w:val="en-US"/>
        </w:rPr>
        <w:t xml:space="preserve">diet and cow factors over that period may have contributed to the weak relationships observed. </w:t>
      </w:r>
      <w:r w:rsidR="00A650CB" w:rsidRPr="00A650CB">
        <w:rPr>
          <w:lang w:val="en-US"/>
        </w:rPr>
        <w:t xml:space="preserve">Previous studies suggest that MUN as a biomarker of NUE is most accurate when </w:t>
      </w:r>
      <w:r w:rsidR="001720C9">
        <w:rPr>
          <w:lang w:val="en-US"/>
        </w:rPr>
        <w:t>used under</w:t>
      </w:r>
      <w:r w:rsidR="00A650CB" w:rsidRPr="00A650CB">
        <w:rPr>
          <w:lang w:val="en-US"/>
        </w:rPr>
        <w:t xml:space="preserve"> similar nutritional circumstances </w:t>
      </w:r>
      <w:r w:rsidR="009F70D3">
        <w:rPr>
          <w:lang w:val="en-US"/>
        </w:rPr>
        <w:t>as those under which the</w:t>
      </w:r>
      <w:r w:rsidR="00A650CB" w:rsidRPr="00A650CB">
        <w:rPr>
          <w:lang w:val="en-US"/>
        </w:rPr>
        <w:t xml:space="preserve"> models were developed (Godden et al., 2001)</w:t>
      </w:r>
      <w:r w:rsidR="009F70D3">
        <w:rPr>
          <w:lang w:val="en-US"/>
        </w:rPr>
        <w:t>. Ongoing work is examining if t</w:t>
      </w:r>
      <w:r w:rsidR="000C3730">
        <w:rPr>
          <w:lang w:val="en-US"/>
        </w:rPr>
        <w:t xml:space="preserve">he inclusion of dietary variables </w:t>
      </w:r>
      <w:r w:rsidR="009F70D3">
        <w:rPr>
          <w:lang w:val="en-US"/>
        </w:rPr>
        <w:t xml:space="preserve">and </w:t>
      </w:r>
      <w:r w:rsidR="000C3730">
        <w:rPr>
          <w:lang w:val="en-US"/>
        </w:rPr>
        <w:t xml:space="preserve">cow factors </w:t>
      </w:r>
      <w:r w:rsidR="009F70D3">
        <w:rPr>
          <w:lang w:val="en-US"/>
        </w:rPr>
        <w:t>in the model can</w:t>
      </w:r>
      <w:r w:rsidR="000C3730">
        <w:rPr>
          <w:lang w:val="en-US"/>
        </w:rPr>
        <w:t xml:space="preserve"> improve </w:t>
      </w:r>
      <w:r w:rsidR="009F70D3">
        <w:rPr>
          <w:lang w:val="en-US"/>
        </w:rPr>
        <w:t xml:space="preserve">the </w:t>
      </w:r>
      <w:r w:rsidR="000C3730">
        <w:rPr>
          <w:lang w:val="en-US"/>
        </w:rPr>
        <w:t xml:space="preserve">relationships observed. </w:t>
      </w:r>
    </w:p>
    <w:p w14:paraId="1EE3E662" w14:textId="77777777" w:rsidR="00A375A5" w:rsidRDefault="00A375A5" w:rsidP="0095784D">
      <w:pPr>
        <w:spacing w:after="0"/>
        <w:jc w:val="both"/>
        <w:rPr>
          <w:b/>
          <w:bCs/>
          <w:lang w:val="en-US"/>
        </w:rPr>
      </w:pPr>
    </w:p>
    <w:p w14:paraId="571F767E" w14:textId="67DC1740" w:rsidR="00A650CB" w:rsidRPr="00A650CB" w:rsidRDefault="00A650CB" w:rsidP="0095784D">
      <w:pPr>
        <w:spacing w:after="0"/>
        <w:jc w:val="both"/>
        <w:rPr>
          <w:b/>
          <w:bCs/>
          <w:lang w:val="en-US"/>
        </w:rPr>
      </w:pPr>
      <w:r w:rsidRPr="00A650CB">
        <w:rPr>
          <w:b/>
          <w:bCs/>
          <w:lang w:val="en-US"/>
        </w:rPr>
        <w:lastRenderedPageBreak/>
        <w:t xml:space="preserve">Table 1. Linear relationships between milk urea N (MUN, mg/dl), blood urea N (BUN, mg/dl) and nitrogen-use-efficiency (NUE, milk N/N intake) for individual </w:t>
      </w:r>
      <w:r w:rsidR="001720C9">
        <w:rPr>
          <w:b/>
          <w:bCs/>
          <w:lang w:val="en-US"/>
        </w:rPr>
        <w:t xml:space="preserve">cow </w:t>
      </w:r>
      <w:r w:rsidRPr="00A650CB">
        <w:rPr>
          <w:b/>
          <w:bCs/>
          <w:lang w:val="en-US"/>
        </w:rPr>
        <w:t>and treatment mean dataset</w:t>
      </w:r>
      <w:r w:rsidR="001720C9">
        <w:rPr>
          <w:b/>
          <w:bCs/>
          <w:lang w:val="en-US"/>
        </w:rPr>
        <w:t>s</w:t>
      </w:r>
      <w:r w:rsidRPr="00A650CB">
        <w:rPr>
          <w:b/>
          <w:bCs/>
          <w:lang w:val="en-US"/>
        </w:rPr>
        <w:t xml:space="preserve"> </w:t>
      </w:r>
    </w:p>
    <w:tbl>
      <w:tblPr>
        <w:tblW w:w="8853" w:type="dxa"/>
        <w:tblLook w:val="04A0" w:firstRow="1" w:lastRow="0" w:firstColumn="1" w:lastColumn="0" w:noHBand="0" w:noVBand="1"/>
      </w:tblPr>
      <w:tblGrid>
        <w:gridCol w:w="1993"/>
        <w:gridCol w:w="4166"/>
        <w:gridCol w:w="1178"/>
        <w:gridCol w:w="1516"/>
      </w:tblGrid>
      <w:tr w:rsidR="00A650CB" w:rsidRPr="00A650CB" w14:paraId="24CBC01E" w14:textId="77777777" w:rsidTr="00702B23">
        <w:trPr>
          <w:trHeight w:val="272"/>
        </w:trPr>
        <w:tc>
          <w:tcPr>
            <w:tcW w:w="1993" w:type="dxa"/>
            <w:tcBorders>
              <w:top w:val="single" w:sz="4" w:space="0" w:color="auto"/>
              <w:left w:val="nil"/>
              <w:bottom w:val="double" w:sz="6" w:space="0" w:color="auto"/>
              <w:right w:val="nil"/>
            </w:tcBorders>
            <w:shd w:val="clear" w:color="auto" w:fill="auto"/>
            <w:vAlign w:val="center"/>
            <w:hideMark/>
          </w:tcPr>
          <w:p w14:paraId="6D11B316" w14:textId="77777777" w:rsidR="00A650CB" w:rsidRPr="00A650CB" w:rsidRDefault="00A650CB" w:rsidP="0095784D">
            <w:pPr>
              <w:spacing w:after="0" w:line="240" w:lineRule="auto"/>
              <w:jc w:val="both"/>
              <w:rPr>
                <w:lang w:val="en-US"/>
              </w:rPr>
            </w:pPr>
            <w:r w:rsidRPr="00A650CB">
              <w:rPr>
                <w:lang w:val="en-US"/>
              </w:rPr>
              <w:t xml:space="preserve">Dataset </w:t>
            </w:r>
          </w:p>
        </w:tc>
        <w:tc>
          <w:tcPr>
            <w:tcW w:w="4166" w:type="dxa"/>
            <w:tcBorders>
              <w:top w:val="single" w:sz="4" w:space="0" w:color="auto"/>
              <w:left w:val="nil"/>
              <w:bottom w:val="double" w:sz="6" w:space="0" w:color="auto"/>
              <w:right w:val="nil"/>
            </w:tcBorders>
            <w:shd w:val="clear" w:color="auto" w:fill="auto"/>
            <w:vAlign w:val="center"/>
            <w:hideMark/>
          </w:tcPr>
          <w:p w14:paraId="5B1041BC" w14:textId="77777777" w:rsidR="00A650CB" w:rsidRPr="00A650CB" w:rsidRDefault="00A650CB" w:rsidP="0095784D">
            <w:pPr>
              <w:spacing w:after="0" w:line="240" w:lineRule="auto"/>
              <w:jc w:val="both"/>
              <w:rPr>
                <w:lang w:val="en-US"/>
              </w:rPr>
            </w:pPr>
            <w:r w:rsidRPr="00A650CB">
              <w:rPr>
                <w:lang w:val="en-US"/>
              </w:rPr>
              <w:t>Equation</w:t>
            </w:r>
            <w:r w:rsidRPr="00A650CB">
              <w:rPr>
                <w:vertAlign w:val="superscript"/>
                <w:lang w:val="en-US"/>
              </w:rPr>
              <w:t>†</w:t>
            </w:r>
            <w:r w:rsidRPr="00A650CB">
              <w:rPr>
                <w:lang w:val="en-US"/>
              </w:rPr>
              <w:t xml:space="preserve"> </w:t>
            </w:r>
          </w:p>
        </w:tc>
        <w:tc>
          <w:tcPr>
            <w:tcW w:w="1178" w:type="dxa"/>
            <w:tcBorders>
              <w:top w:val="single" w:sz="4" w:space="0" w:color="auto"/>
              <w:left w:val="nil"/>
              <w:bottom w:val="double" w:sz="6" w:space="0" w:color="auto"/>
              <w:right w:val="nil"/>
            </w:tcBorders>
            <w:shd w:val="clear" w:color="auto" w:fill="auto"/>
            <w:vAlign w:val="center"/>
            <w:hideMark/>
          </w:tcPr>
          <w:p w14:paraId="19B6B51F" w14:textId="77777777" w:rsidR="00A650CB" w:rsidRPr="00A650CB" w:rsidRDefault="00A650CB" w:rsidP="0095784D">
            <w:pPr>
              <w:spacing w:after="0" w:line="240" w:lineRule="auto"/>
              <w:jc w:val="both"/>
              <w:rPr>
                <w:lang w:val="en-US"/>
              </w:rPr>
            </w:pPr>
            <w:r w:rsidRPr="00A650CB">
              <w:rPr>
                <w:i/>
                <w:iCs/>
                <w:lang w:val="en-US"/>
              </w:rPr>
              <w:t>P</w:t>
            </w:r>
            <w:r w:rsidRPr="00A650CB">
              <w:rPr>
                <w:lang w:val="en-US"/>
              </w:rPr>
              <w:t>-value</w:t>
            </w:r>
          </w:p>
        </w:tc>
        <w:tc>
          <w:tcPr>
            <w:tcW w:w="1516" w:type="dxa"/>
            <w:tcBorders>
              <w:top w:val="single" w:sz="4" w:space="0" w:color="auto"/>
              <w:left w:val="nil"/>
              <w:bottom w:val="double" w:sz="6" w:space="0" w:color="auto"/>
              <w:right w:val="nil"/>
            </w:tcBorders>
            <w:shd w:val="clear" w:color="auto" w:fill="auto"/>
            <w:vAlign w:val="center"/>
            <w:hideMark/>
          </w:tcPr>
          <w:p w14:paraId="114F285A" w14:textId="77777777" w:rsidR="00A650CB" w:rsidRPr="00A650CB" w:rsidRDefault="00A650CB" w:rsidP="0095784D">
            <w:pPr>
              <w:spacing w:after="0" w:line="240" w:lineRule="auto"/>
              <w:jc w:val="both"/>
              <w:rPr>
                <w:lang w:val="en-US"/>
              </w:rPr>
            </w:pPr>
            <w:r w:rsidRPr="00A650CB">
              <w:rPr>
                <w:lang w:val="en-US"/>
              </w:rPr>
              <w:t>Adjusted R</w:t>
            </w:r>
            <w:r w:rsidRPr="00A650CB">
              <w:rPr>
                <w:vertAlign w:val="superscript"/>
                <w:lang w:val="en-US"/>
              </w:rPr>
              <w:t>2</w:t>
            </w:r>
            <w:r w:rsidRPr="00760856">
              <w:rPr>
                <w:vertAlign w:val="superscript"/>
                <w:lang w:val="en-US"/>
              </w:rPr>
              <w:t>‡</w:t>
            </w:r>
          </w:p>
        </w:tc>
      </w:tr>
      <w:tr w:rsidR="00760856" w:rsidRPr="00A650CB" w14:paraId="7ED234C8" w14:textId="77777777" w:rsidTr="00702B23">
        <w:trPr>
          <w:trHeight w:val="218"/>
        </w:trPr>
        <w:tc>
          <w:tcPr>
            <w:tcW w:w="1993" w:type="dxa"/>
            <w:tcBorders>
              <w:top w:val="nil"/>
              <w:left w:val="nil"/>
              <w:bottom w:val="nil"/>
              <w:right w:val="nil"/>
            </w:tcBorders>
            <w:shd w:val="clear" w:color="auto" w:fill="auto"/>
            <w:vAlign w:val="center"/>
            <w:hideMark/>
          </w:tcPr>
          <w:p w14:paraId="3795F3F3" w14:textId="6FBE4434" w:rsidR="00760856" w:rsidRPr="00A650CB" w:rsidRDefault="00760856" w:rsidP="0095784D">
            <w:pPr>
              <w:spacing w:after="0" w:line="240" w:lineRule="auto"/>
              <w:jc w:val="both"/>
              <w:rPr>
                <w:lang w:val="en-US"/>
              </w:rPr>
            </w:pPr>
            <w:r w:rsidRPr="00A650CB">
              <w:rPr>
                <w:lang w:val="en-US"/>
              </w:rPr>
              <w:t xml:space="preserve">Individual </w:t>
            </w:r>
            <w:r w:rsidR="001720C9">
              <w:rPr>
                <w:lang w:val="en-US"/>
              </w:rPr>
              <w:t>cow</w:t>
            </w:r>
          </w:p>
        </w:tc>
        <w:tc>
          <w:tcPr>
            <w:tcW w:w="4166" w:type="dxa"/>
            <w:tcBorders>
              <w:top w:val="nil"/>
              <w:left w:val="nil"/>
              <w:bottom w:val="nil"/>
              <w:right w:val="nil"/>
            </w:tcBorders>
            <w:shd w:val="clear" w:color="auto" w:fill="auto"/>
            <w:vAlign w:val="center"/>
            <w:hideMark/>
          </w:tcPr>
          <w:p w14:paraId="6FE769F3" w14:textId="77777777" w:rsidR="00760856" w:rsidRPr="00A650CB" w:rsidRDefault="00760856" w:rsidP="0095784D">
            <w:pPr>
              <w:spacing w:after="0" w:line="240" w:lineRule="auto"/>
              <w:jc w:val="both"/>
              <w:rPr>
                <w:lang w:val="en-US"/>
              </w:rPr>
            </w:pPr>
          </w:p>
        </w:tc>
        <w:tc>
          <w:tcPr>
            <w:tcW w:w="1178" w:type="dxa"/>
            <w:tcBorders>
              <w:top w:val="nil"/>
              <w:left w:val="nil"/>
              <w:bottom w:val="nil"/>
              <w:right w:val="nil"/>
            </w:tcBorders>
            <w:shd w:val="clear" w:color="auto" w:fill="auto"/>
            <w:noWrap/>
            <w:vAlign w:val="bottom"/>
            <w:hideMark/>
          </w:tcPr>
          <w:p w14:paraId="1BD88BBC" w14:textId="77777777" w:rsidR="00760856" w:rsidRPr="00A650CB" w:rsidRDefault="00760856" w:rsidP="0095784D">
            <w:pPr>
              <w:spacing w:after="0" w:line="240" w:lineRule="auto"/>
              <w:jc w:val="both"/>
              <w:rPr>
                <w:lang w:val="en-US"/>
              </w:rPr>
            </w:pPr>
          </w:p>
        </w:tc>
        <w:tc>
          <w:tcPr>
            <w:tcW w:w="1516" w:type="dxa"/>
            <w:tcBorders>
              <w:top w:val="nil"/>
              <w:left w:val="nil"/>
              <w:bottom w:val="nil"/>
              <w:right w:val="nil"/>
            </w:tcBorders>
            <w:shd w:val="clear" w:color="auto" w:fill="auto"/>
            <w:noWrap/>
            <w:vAlign w:val="bottom"/>
            <w:hideMark/>
          </w:tcPr>
          <w:p w14:paraId="5D7579E5" w14:textId="77777777" w:rsidR="00760856" w:rsidRPr="00A650CB" w:rsidRDefault="00760856" w:rsidP="0095784D">
            <w:pPr>
              <w:spacing w:after="0" w:line="240" w:lineRule="auto"/>
              <w:jc w:val="both"/>
              <w:rPr>
                <w:lang w:val="en-US"/>
              </w:rPr>
            </w:pPr>
          </w:p>
        </w:tc>
      </w:tr>
      <w:tr w:rsidR="00A650CB" w:rsidRPr="00A650CB" w14:paraId="3CCC31B3" w14:textId="77777777" w:rsidTr="00702B23">
        <w:trPr>
          <w:trHeight w:val="218"/>
        </w:trPr>
        <w:tc>
          <w:tcPr>
            <w:tcW w:w="1993" w:type="dxa"/>
            <w:tcBorders>
              <w:top w:val="nil"/>
              <w:left w:val="nil"/>
              <w:bottom w:val="nil"/>
              <w:right w:val="nil"/>
            </w:tcBorders>
            <w:shd w:val="clear" w:color="auto" w:fill="auto"/>
            <w:noWrap/>
            <w:vAlign w:val="bottom"/>
            <w:hideMark/>
          </w:tcPr>
          <w:p w14:paraId="613FE0C1" w14:textId="77777777" w:rsidR="00A650CB" w:rsidRPr="00A650CB" w:rsidRDefault="00A650CB" w:rsidP="0095784D">
            <w:pPr>
              <w:spacing w:after="0" w:line="240" w:lineRule="auto"/>
              <w:jc w:val="both"/>
              <w:rPr>
                <w:lang w:val="en-US"/>
              </w:rPr>
            </w:pPr>
          </w:p>
        </w:tc>
        <w:tc>
          <w:tcPr>
            <w:tcW w:w="4166" w:type="dxa"/>
            <w:tcBorders>
              <w:top w:val="nil"/>
              <w:left w:val="nil"/>
              <w:bottom w:val="nil"/>
              <w:right w:val="nil"/>
            </w:tcBorders>
            <w:shd w:val="clear" w:color="auto" w:fill="auto"/>
            <w:vAlign w:val="center"/>
            <w:hideMark/>
          </w:tcPr>
          <w:p w14:paraId="6A9E2EF1" w14:textId="77777777" w:rsidR="00A650CB" w:rsidRPr="00A650CB" w:rsidRDefault="00A650CB" w:rsidP="0095784D">
            <w:pPr>
              <w:spacing w:after="0" w:line="240" w:lineRule="auto"/>
              <w:jc w:val="both"/>
              <w:rPr>
                <w:lang w:val="en-US"/>
              </w:rPr>
            </w:pPr>
            <w:r w:rsidRPr="00A650CB">
              <w:rPr>
                <w:lang w:val="en-US"/>
              </w:rPr>
              <w:t>MUN = 3.756(0.245) +1.747(0.066) BUN</w:t>
            </w:r>
          </w:p>
        </w:tc>
        <w:tc>
          <w:tcPr>
            <w:tcW w:w="1178" w:type="dxa"/>
            <w:tcBorders>
              <w:top w:val="nil"/>
              <w:left w:val="nil"/>
              <w:bottom w:val="nil"/>
              <w:right w:val="nil"/>
            </w:tcBorders>
            <w:shd w:val="clear" w:color="auto" w:fill="auto"/>
            <w:vAlign w:val="center"/>
            <w:hideMark/>
          </w:tcPr>
          <w:p w14:paraId="517BC3CB" w14:textId="77777777" w:rsidR="00A650CB" w:rsidRPr="00A650CB" w:rsidRDefault="00A650CB" w:rsidP="0095784D">
            <w:pPr>
              <w:spacing w:after="0" w:line="240" w:lineRule="auto"/>
              <w:jc w:val="both"/>
              <w:rPr>
                <w:lang w:val="en-US"/>
              </w:rPr>
            </w:pPr>
            <w:r w:rsidRPr="00A650CB">
              <w:rPr>
                <w:lang w:val="en-US"/>
              </w:rPr>
              <w:t>&lt;0.001</w:t>
            </w:r>
          </w:p>
        </w:tc>
        <w:tc>
          <w:tcPr>
            <w:tcW w:w="1516" w:type="dxa"/>
            <w:tcBorders>
              <w:top w:val="nil"/>
              <w:left w:val="nil"/>
              <w:bottom w:val="nil"/>
              <w:right w:val="nil"/>
            </w:tcBorders>
            <w:shd w:val="clear" w:color="auto" w:fill="auto"/>
            <w:vAlign w:val="center"/>
            <w:hideMark/>
          </w:tcPr>
          <w:p w14:paraId="14132056" w14:textId="77777777" w:rsidR="00A650CB" w:rsidRPr="00A650CB" w:rsidRDefault="00A650CB" w:rsidP="0095784D">
            <w:pPr>
              <w:spacing w:after="0" w:line="240" w:lineRule="auto"/>
              <w:jc w:val="both"/>
              <w:rPr>
                <w:lang w:val="en-US"/>
              </w:rPr>
            </w:pPr>
            <w:r w:rsidRPr="00A650CB">
              <w:rPr>
                <w:lang w:val="en-US"/>
              </w:rPr>
              <w:t>34.6</w:t>
            </w:r>
          </w:p>
        </w:tc>
      </w:tr>
      <w:tr w:rsidR="00A650CB" w:rsidRPr="00A650CB" w14:paraId="169E06E8" w14:textId="77777777" w:rsidTr="00702B23">
        <w:trPr>
          <w:trHeight w:val="218"/>
        </w:trPr>
        <w:tc>
          <w:tcPr>
            <w:tcW w:w="1993" w:type="dxa"/>
            <w:tcBorders>
              <w:top w:val="nil"/>
              <w:left w:val="nil"/>
              <w:bottom w:val="nil"/>
              <w:right w:val="nil"/>
            </w:tcBorders>
            <w:shd w:val="clear" w:color="auto" w:fill="auto"/>
            <w:noWrap/>
            <w:vAlign w:val="bottom"/>
            <w:hideMark/>
          </w:tcPr>
          <w:p w14:paraId="009B6B2F" w14:textId="77777777" w:rsidR="00A650CB" w:rsidRPr="00A650CB" w:rsidRDefault="00A650CB" w:rsidP="0095784D">
            <w:pPr>
              <w:spacing w:after="0" w:line="240" w:lineRule="auto"/>
              <w:jc w:val="both"/>
              <w:rPr>
                <w:lang w:val="en-US"/>
              </w:rPr>
            </w:pPr>
          </w:p>
        </w:tc>
        <w:tc>
          <w:tcPr>
            <w:tcW w:w="4166" w:type="dxa"/>
            <w:tcBorders>
              <w:top w:val="nil"/>
              <w:left w:val="nil"/>
              <w:bottom w:val="nil"/>
              <w:right w:val="nil"/>
            </w:tcBorders>
            <w:shd w:val="clear" w:color="auto" w:fill="auto"/>
            <w:vAlign w:val="center"/>
            <w:hideMark/>
          </w:tcPr>
          <w:p w14:paraId="656BA4AB" w14:textId="77777777" w:rsidR="00A650CB" w:rsidRPr="00A650CB" w:rsidRDefault="00A650CB" w:rsidP="0095784D">
            <w:pPr>
              <w:spacing w:after="0" w:line="240" w:lineRule="auto"/>
              <w:jc w:val="both"/>
              <w:rPr>
                <w:lang w:val="en-US"/>
              </w:rPr>
            </w:pPr>
            <w:r w:rsidRPr="00A650CB">
              <w:rPr>
                <w:lang w:val="en-US"/>
              </w:rPr>
              <w:t>NUE = 0.344(0.001) +-0.006(0.002) BUN</w:t>
            </w:r>
          </w:p>
        </w:tc>
        <w:tc>
          <w:tcPr>
            <w:tcW w:w="1178" w:type="dxa"/>
            <w:tcBorders>
              <w:top w:val="nil"/>
              <w:left w:val="nil"/>
              <w:bottom w:val="nil"/>
              <w:right w:val="nil"/>
            </w:tcBorders>
            <w:shd w:val="clear" w:color="auto" w:fill="auto"/>
            <w:vAlign w:val="center"/>
            <w:hideMark/>
          </w:tcPr>
          <w:p w14:paraId="6D990F9B" w14:textId="77777777" w:rsidR="00A650CB" w:rsidRPr="00A650CB" w:rsidRDefault="00A650CB" w:rsidP="0095784D">
            <w:pPr>
              <w:spacing w:after="0" w:line="240" w:lineRule="auto"/>
              <w:jc w:val="both"/>
              <w:rPr>
                <w:lang w:val="en-US"/>
              </w:rPr>
            </w:pPr>
            <w:r w:rsidRPr="00A650CB">
              <w:rPr>
                <w:lang w:val="en-US"/>
              </w:rPr>
              <w:t>&lt;0.001</w:t>
            </w:r>
          </w:p>
        </w:tc>
        <w:tc>
          <w:tcPr>
            <w:tcW w:w="1516" w:type="dxa"/>
            <w:tcBorders>
              <w:top w:val="nil"/>
              <w:left w:val="nil"/>
              <w:bottom w:val="nil"/>
              <w:right w:val="nil"/>
            </w:tcBorders>
            <w:shd w:val="clear" w:color="auto" w:fill="auto"/>
            <w:vAlign w:val="center"/>
            <w:hideMark/>
          </w:tcPr>
          <w:p w14:paraId="23F8B0A9" w14:textId="77777777" w:rsidR="00A650CB" w:rsidRPr="00A650CB" w:rsidRDefault="00A650CB" w:rsidP="0095784D">
            <w:pPr>
              <w:spacing w:after="0" w:line="240" w:lineRule="auto"/>
              <w:jc w:val="both"/>
              <w:rPr>
                <w:lang w:val="en-US"/>
              </w:rPr>
            </w:pPr>
            <w:r w:rsidRPr="00A650CB">
              <w:rPr>
                <w:lang w:val="en-US"/>
              </w:rPr>
              <w:t>4.4</w:t>
            </w:r>
          </w:p>
        </w:tc>
      </w:tr>
      <w:tr w:rsidR="00A650CB" w:rsidRPr="00A650CB" w14:paraId="3EF8F32D" w14:textId="77777777" w:rsidTr="00702B23">
        <w:trPr>
          <w:trHeight w:val="218"/>
        </w:trPr>
        <w:tc>
          <w:tcPr>
            <w:tcW w:w="1993" w:type="dxa"/>
            <w:tcBorders>
              <w:top w:val="nil"/>
              <w:left w:val="nil"/>
              <w:bottom w:val="nil"/>
              <w:right w:val="nil"/>
            </w:tcBorders>
            <w:shd w:val="clear" w:color="auto" w:fill="auto"/>
            <w:noWrap/>
            <w:vAlign w:val="bottom"/>
            <w:hideMark/>
          </w:tcPr>
          <w:p w14:paraId="477BBF02" w14:textId="77777777" w:rsidR="00A650CB" w:rsidRPr="00A650CB" w:rsidRDefault="00A650CB" w:rsidP="0095784D">
            <w:pPr>
              <w:spacing w:after="0" w:line="240" w:lineRule="auto"/>
              <w:jc w:val="both"/>
              <w:rPr>
                <w:lang w:val="en-US"/>
              </w:rPr>
            </w:pPr>
          </w:p>
        </w:tc>
        <w:tc>
          <w:tcPr>
            <w:tcW w:w="4166" w:type="dxa"/>
            <w:tcBorders>
              <w:top w:val="nil"/>
              <w:left w:val="nil"/>
              <w:bottom w:val="nil"/>
              <w:right w:val="nil"/>
            </w:tcBorders>
            <w:shd w:val="clear" w:color="auto" w:fill="auto"/>
            <w:vAlign w:val="center"/>
            <w:hideMark/>
          </w:tcPr>
          <w:p w14:paraId="715B8990" w14:textId="77777777" w:rsidR="00A650CB" w:rsidRPr="00A650CB" w:rsidRDefault="00A650CB" w:rsidP="0095784D">
            <w:pPr>
              <w:spacing w:after="0" w:line="240" w:lineRule="auto"/>
              <w:jc w:val="both"/>
              <w:rPr>
                <w:lang w:val="en-US"/>
              </w:rPr>
            </w:pPr>
            <w:r w:rsidRPr="00A650CB">
              <w:rPr>
                <w:lang w:val="en-US"/>
              </w:rPr>
              <w:t>NUE = 0.346(0.002) +-0.003(0.002) MUN</w:t>
            </w:r>
          </w:p>
        </w:tc>
        <w:tc>
          <w:tcPr>
            <w:tcW w:w="1178" w:type="dxa"/>
            <w:tcBorders>
              <w:top w:val="nil"/>
              <w:left w:val="nil"/>
              <w:bottom w:val="nil"/>
              <w:right w:val="nil"/>
            </w:tcBorders>
            <w:shd w:val="clear" w:color="auto" w:fill="auto"/>
            <w:vAlign w:val="center"/>
            <w:hideMark/>
          </w:tcPr>
          <w:p w14:paraId="5FB95159" w14:textId="77777777" w:rsidR="00A650CB" w:rsidRPr="00A650CB" w:rsidRDefault="00A650CB" w:rsidP="0095784D">
            <w:pPr>
              <w:spacing w:after="0" w:line="240" w:lineRule="auto"/>
              <w:jc w:val="both"/>
              <w:rPr>
                <w:lang w:val="en-US"/>
              </w:rPr>
            </w:pPr>
            <w:r w:rsidRPr="00A650CB">
              <w:rPr>
                <w:lang w:val="en-US"/>
              </w:rPr>
              <w:t>&lt;0.001</w:t>
            </w:r>
          </w:p>
        </w:tc>
        <w:tc>
          <w:tcPr>
            <w:tcW w:w="1516" w:type="dxa"/>
            <w:tcBorders>
              <w:top w:val="nil"/>
              <w:left w:val="nil"/>
              <w:bottom w:val="nil"/>
              <w:right w:val="nil"/>
            </w:tcBorders>
            <w:shd w:val="clear" w:color="auto" w:fill="auto"/>
            <w:vAlign w:val="center"/>
            <w:hideMark/>
          </w:tcPr>
          <w:p w14:paraId="63729CDF" w14:textId="77777777" w:rsidR="00A650CB" w:rsidRPr="00A650CB" w:rsidRDefault="00A650CB" w:rsidP="0095784D">
            <w:pPr>
              <w:spacing w:after="0" w:line="240" w:lineRule="auto"/>
              <w:jc w:val="both"/>
              <w:rPr>
                <w:lang w:val="en-US"/>
              </w:rPr>
            </w:pPr>
            <w:r w:rsidRPr="00A650CB">
              <w:rPr>
                <w:lang w:val="en-US"/>
              </w:rPr>
              <w:t>6.4</w:t>
            </w:r>
          </w:p>
        </w:tc>
      </w:tr>
      <w:tr w:rsidR="00760856" w:rsidRPr="00A650CB" w14:paraId="124B3CE6" w14:textId="77777777" w:rsidTr="00702B23">
        <w:trPr>
          <w:trHeight w:val="218"/>
        </w:trPr>
        <w:tc>
          <w:tcPr>
            <w:tcW w:w="1993" w:type="dxa"/>
            <w:tcBorders>
              <w:top w:val="nil"/>
              <w:left w:val="nil"/>
              <w:bottom w:val="nil"/>
              <w:right w:val="nil"/>
            </w:tcBorders>
            <w:shd w:val="clear" w:color="auto" w:fill="auto"/>
            <w:vAlign w:val="center"/>
            <w:hideMark/>
          </w:tcPr>
          <w:p w14:paraId="449805C7" w14:textId="2A4479F1" w:rsidR="00760856" w:rsidRPr="00A650CB" w:rsidRDefault="00760856" w:rsidP="0095784D">
            <w:pPr>
              <w:spacing w:after="0" w:line="240" w:lineRule="auto"/>
              <w:jc w:val="both"/>
              <w:rPr>
                <w:lang w:val="en-US"/>
              </w:rPr>
            </w:pPr>
            <w:r w:rsidRPr="00A650CB">
              <w:rPr>
                <w:lang w:val="en-US"/>
              </w:rPr>
              <w:t>Treatment</w:t>
            </w:r>
            <w:r w:rsidR="001720C9">
              <w:rPr>
                <w:lang w:val="en-US"/>
              </w:rPr>
              <w:t xml:space="preserve"> means</w:t>
            </w:r>
            <w:r w:rsidRPr="00A650CB">
              <w:rPr>
                <w:lang w:val="en-US"/>
              </w:rPr>
              <w:t xml:space="preserve"> </w:t>
            </w:r>
          </w:p>
        </w:tc>
        <w:tc>
          <w:tcPr>
            <w:tcW w:w="4166" w:type="dxa"/>
            <w:tcBorders>
              <w:top w:val="nil"/>
              <w:left w:val="nil"/>
              <w:bottom w:val="nil"/>
              <w:right w:val="nil"/>
            </w:tcBorders>
            <w:shd w:val="clear" w:color="auto" w:fill="auto"/>
            <w:vAlign w:val="center"/>
            <w:hideMark/>
          </w:tcPr>
          <w:p w14:paraId="1E757210" w14:textId="77777777" w:rsidR="00760856" w:rsidRPr="00A650CB" w:rsidRDefault="00760856" w:rsidP="0095784D">
            <w:pPr>
              <w:spacing w:after="0" w:line="240" w:lineRule="auto"/>
              <w:jc w:val="both"/>
              <w:rPr>
                <w:lang w:val="en-US"/>
              </w:rPr>
            </w:pPr>
          </w:p>
        </w:tc>
        <w:tc>
          <w:tcPr>
            <w:tcW w:w="1178" w:type="dxa"/>
            <w:tcBorders>
              <w:top w:val="nil"/>
              <w:left w:val="nil"/>
              <w:bottom w:val="nil"/>
              <w:right w:val="nil"/>
            </w:tcBorders>
            <w:shd w:val="clear" w:color="auto" w:fill="auto"/>
            <w:noWrap/>
            <w:vAlign w:val="bottom"/>
            <w:hideMark/>
          </w:tcPr>
          <w:p w14:paraId="1AA5A0D0" w14:textId="77777777" w:rsidR="00760856" w:rsidRPr="00A650CB" w:rsidRDefault="00760856" w:rsidP="0095784D">
            <w:pPr>
              <w:spacing w:after="0" w:line="240" w:lineRule="auto"/>
              <w:jc w:val="both"/>
              <w:rPr>
                <w:lang w:val="en-US"/>
              </w:rPr>
            </w:pPr>
          </w:p>
        </w:tc>
        <w:tc>
          <w:tcPr>
            <w:tcW w:w="1516" w:type="dxa"/>
            <w:tcBorders>
              <w:top w:val="nil"/>
              <w:left w:val="nil"/>
              <w:bottom w:val="nil"/>
              <w:right w:val="nil"/>
            </w:tcBorders>
            <w:shd w:val="clear" w:color="auto" w:fill="auto"/>
            <w:noWrap/>
            <w:vAlign w:val="bottom"/>
            <w:hideMark/>
          </w:tcPr>
          <w:p w14:paraId="5F170C99" w14:textId="77777777" w:rsidR="00760856" w:rsidRPr="00A650CB" w:rsidRDefault="00760856" w:rsidP="0095784D">
            <w:pPr>
              <w:spacing w:after="0" w:line="240" w:lineRule="auto"/>
              <w:jc w:val="both"/>
              <w:rPr>
                <w:lang w:val="en-US"/>
              </w:rPr>
            </w:pPr>
          </w:p>
        </w:tc>
      </w:tr>
      <w:tr w:rsidR="00A650CB" w:rsidRPr="00A650CB" w14:paraId="106E5613" w14:textId="77777777" w:rsidTr="00702B23">
        <w:trPr>
          <w:trHeight w:val="218"/>
        </w:trPr>
        <w:tc>
          <w:tcPr>
            <w:tcW w:w="1993" w:type="dxa"/>
            <w:tcBorders>
              <w:top w:val="nil"/>
              <w:left w:val="nil"/>
              <w:bottom w:val="nil"/>
              <w:right w:val="nil"/>
            </w:tcBorders>
            <w:shd w:val="clear" w:color="auto" w:fill="auto"/>
            <w:noWrap/>
            <w:vAlign w:val="bottom"/>
            <w:hideMark/>
          </w:tcPr>
          <w:p w14:paraId="6B6C0BEF" w14:textId="77777777" w:rsidR="00A650CB" w:rsidRPr="00A650CB" w:rsidRDefault="00A650CB" w:rsidP="0095784D">
            <w:pPr>
              <w:spacing w:after="0" w:line="240" w:lineRule="auto"/>
              <w:jc w:val="both"/>
              <w:rPr>
                <w:lang w:val="en-US"/>
              </w:rPr>
            </w:pPr>
          </w:p>
        </w:tc>
        <w:tc>
          <w:tcPr>
            <w:tcW w:w="4166" w:type="dxa"/>
            <w:tcBorders>
              <w:top w:val="nil"/>
              <w:left w:val="nil"/>
              <w:bottom w:val="nil"/>
              <w:right w:val="nil"/>
            </w:tcBorders>
            <w:shd w:val="clear" w:color="auto" w:fill="auto"/>
            <w:vAlign w:val="center"/>
            <w:hideMark/>
          </w:tcPr>
          <w:p w14:paraId="2B12BB7F" w14:textId="77777777" w:rsidR="00A650CB" w:rsidRPr="00A650CB" w:rsidRDefault="00A650CB" w:rsidP="0095784D">
            <w:pPr>
              <w:spacing w:after="0" w:line="240" w:lineRule="auto"/>
              <w:jc w:val="both"/>
              <w:rPr>
                <w:lang w:val="en-US"/>
              </w:rPr>
            </w:pPr>
            <w:r w:rsidRPr="00A650CB">
              <w:rPr>
                <w:lang w:val="en-US"/>
              </w:rPr>
              <w:t>MUN = 4.085(0.323) +1.646(0.088) BUN</w:t>
            </w:r>
          </w:p>
        </w:tc>
        <w:tc>
          <w:tcPr>
            <w:tcW w:w="1178" w:type="dxa"/>
            <w:tcBorders>
              <w:top w:val="nil"/>
              <w:left w:val="nil"/>
              <w:bottom w:val="nil"/>
              <w:right w:val="nil"/>
            </w:tcBorders>
            <w:shd w:val="clear" w:color="auto" w:fill="auto"/>
            <w:vAlign w:val="center"/>
            <w:hideMark/>
          </w:tcPr>
          <w:p w14:paraId="08AFD1BB" w14:textId="77777777" w:rsidR="00A650CB" w:rsidRPr="00A650CB" w:rsidRDefault="00A650CB" w:rsidP="0095784D">
            <w:pPr>
              <w:spacing w:after="0" w:line="240" w:lineRule="auto"/>
              <w:jc w:val="both"/>
              <w:rPr>
                <w:lang w:val="en-US"/>
              </w:rPr>
            </w:pPr>
            <w:r w:rsidRPr="00A650CB">
              <w:rPr>
                <w:lang w:val="en-US"/>
              </w:rPr>
              <w:t>&lt;0.001</w:t>
            </w:r>
          </w:p>
        </w:tc>
        <w:tc>
          <w:tcPr>
            <w:tcW w:w="1516" w:type="dxa"/>
            <w:tcBorders>
              <w:top w:val="nil"/>
              <w:left w:val="nil"/>
              <w:bottom w:val="nil"/>
              <w:right w:val="nil"/>
            </w:tcBorders>
            <w:shd w:val="clear" w:color="auto" w:fill="auto"/>
            <w:vAlign w:val="center"/>
            <w:hideMark/>
          </w:tcPr>
          <w:p w14:paraId="5C0D9733" w14:textId="77777777" w:rsidR="00A650CB" w:rsidRPr="00A650CB" w:rsidRDefault="00A650CB" w:rsidP="0095784D">
            <w:pPr>
              <w:spacing w:after="0" w:line="240" w:lineRule="auto"/>
              <w:jc w:val="both"/>
              <w:rPr>
                <w:lang w:val="en-US"/>
              </w:rPr>
            </w:pPr>
            <w:r w:rsidRPr="00A650CB">
              <w:rPr>
                <w:lang w:val="en-US"/>
              </w:rPr>
              <w:t>40.5</w:t>
            </w:r>
          </w:p>
        </w:tc>
      </w:tr>
      <w:tr w:rsidR="00A650CB" w:rsidRPr="00A650CB" w14:paraId="35BCA309" w14:textId="77777777" w:rsidTr="00702B23">
        <w:trPr>
          <w:trHeight w:val="218"/>
        </w:trPr>
        <w:tc>
          <w:tcPr>
            <w:tcW w:w="1993" w:type="dxa"/>
            <w:tcBorders>
              <w:top w:val="nil"/>
              <w:left w:val="nil"/>
              <w:bottom w:val="nil"/>
              <w:right w:val="nil"/>
            </w:tcBorders>
            <w:shd w:val="clear" w:color="auto" w:fill="auto"/>
            <w:noWrap/>
            <w:vAlign w:val="bottom"/>
            <w:hideMark/>
          </w:tcPr>
          <w:p w14:paraId="73E8C282" w14:textId="77777777" w:rsidR="00A650CB" w:rsidRPr="00A650CB" w:rsidRDefault="00A650CB" w:rsidP="0095784D">
            <w:pPr>
              <w:spacing w:after="0" w:line="240" w:lineRule="auto"/>
              <w:jc w:val="both"/>
              <w:rPr>
                <w:lang w:val="en-US"/>
              </w:rPr>
            </w:pPr>
          </w:p>
        </w:tc>
        <w:tc>
          <w:tcPr>
            <w:tcW w:w="4166" w:type="dxa"/>
            <w:tcBorders>
              <w:top w:val="nil"/>
              <w:left w:val="nil"/>
              <w:bottom w:val="nil"/>
              <w:right w:val="nil"/>
            </w:tcBorders>
            <w:shd w:val="clear" w:color="auto" w:fill="auto"/>
            <w:vAlign w:val="center"/>
            <w:hideMark/>
          </w:tcPr>
          <w:p w14:paraId="437AEA7D" w14:textId="77777777" w:rsidR="00A650CB" w:rsidRPr="00A650CB" w:rsidRDefault="00A650CB" w:rsidP="0095784D">
            <w:pPr>
              <w:spacing w:after="0" w:line="240" w:lineRule="auto"/>
              <w:jc w:val="both"/>
              <w:rPr>
                <w:lang w:val="en-US"/>
              </w:rPr>
            </w:pPr>
            <w:r w:rsidRPr="00A650CB">
              <w:rPr>
                <w:lang w:val="en-US"/>
              </w:rPr>
              <w:t>NUE = 0.358(0.002) +-0.09(0.0005) BUN</w:t>
            </w:r>
          </w:p>
        </w:tc>
        <w:tc>
          <w:tcPr>
            <w:tcW w:w="1178" w:type="dxa"/>
            <w:tcBorders>
              <w:top w:val="nil"/>
              <w:left w:val="nil"/>
              <w:bottom w:val="nil"/>
              <w:right w:val="nil"/>
            </w:tcBorders>
            <w:shd w:val="clear" w:color="auto" w:fill="auto"/>
            <w:vAlign w:val="center"/>
            <w:hideMark/>
          </w:tcPr>
          <w:p w14:paraId="5D82A196" w14:textId="77777777" w:rsidR="00A650CB" w:rsidRPr="00A650CB" w:rsidRDefault="00A650CB" w:rsidP="0095784D">
            <w:pPr>
              <w:spacing w:after="0" w:line="240" w:lineRule="auto"/>
              <w:jc w:val="both"/>
              <w:rPr>
                <w:lang w:val="en-US"/>
              </w:rPr>
            </w:pPr>
            <w:r w:rsidRPr="00A650CB">
              <w:rPr>
                <w:lang w:val="en-US"/>
              </w:rPr>
              <w:t>&lt;0.001</w:t>
            </w:r>
          </w:p>
        </w:tc>
        <w:tc>
          <w:tcPr>
            <w:tcW w:w="1516" w:type="dxa"/>
            <w:tcBorders>
              <w:top w:val="nil"/>
              <w:left w:val="nil"/>
              <w:bottom w:val="nil"/>
              <w:right w:val="nil"/>
            </w:tcBorders>
            <w:shd w:val="clear" w:color="auto" w:fill="auto"/>
            <w:vAlign w:val="center"/>
            <w:hideMark/>
          </w:tcPr>
          <w:p w14:paraId="777DF212" w14:textId="77777777" w:rsidR="00A650CB" w:rsidRPr="00A650CB" w:rsidRDefault="00A650CB" w:rsidP="0095784D">
            <w:pPr>
              <w:spacing w:after="0" w:line="240" w:lineRule="auto"/>
              <w:jc w:val="both"/>
              <w:rPr>
                <w:lang w:val="en-US"/>
              </w:rPr>
            </w:pPr>
            <w:r w:rsidRPr="00A650CB">
              <w:rPr>
                <w:lang w:val="en-US"/>
              </w:rPr>
              <w:t>15.8</w:t>
            </w:r>
          </w:p>
        </w:tc>
      </w:tr>
      <w:tr w:rsidR="00A650CB" w:rsidRPr="00A650CB" w14:paraId="2F67646A" w14:textId="77777777" w:rsidTr="00702B23">
        <w:trPr>
          <w:trHeight w:val="218"/>
        </w:trPr>
        <w:tc>
          <w:tcPr>
            <w:tcW w:w="1993" w:type="dxa"/>
            <w:tcBorders>
              <w:top w:val="nil"/>
              <w:left w:val="nil"/>
              <w:bottom w:val="single" w:sz="4" w:space="0" w:color="auto"/>
              <w:right w:val="nil"/>
            </w:tcBorders>
            <w:shd w:val="clear" w:color="auto" w:fill="auto"/>
            <w:noWrap/>
            <w:vAlign w:val="bottom"/>
            <w:hideMark/>
          </w:tcPr>
          <w:p w14:paraId="20C76BE9" w14:textId="77777777" w:rsidR="00A650CB" w:rsidRPr="00A650CB" w:rsidRDefault="00A650CB" w:rsidP="0095784D">
            <w:pPr>
              <w:spacing w:after="0" w:line="240" w:lineRule="auto"/>
              <w:jc w:val="both"/>
              <w:rPr>
                <w:lang w:val="en-US"/>
              </w:rPr>
            </w:pPr>
            <w:r w:rsidRPr="00A650CB">
              <w:rPr>
                <w:lang w:val="en-US"/>
              </w:rPr>
              <w:t> </w:t>
            </w:r>
          </w:p>
        </w:tc>
        <w:tc>
          <w:tcPr>
            <w:tcW w:w="4166" w:type="dxa"/>
            <w:tcBorders>
              <w:top w:val="nil"/>
              <w:left w:val="nil"/>
              <w:bottom w:val="single" w:sz="4" w:space="0" w:color="auto"/>
              <w:right w:val="nil"/>
            </w:tcBorders>
            <w:shd w:val="clear" w:color="auto" w:fill="auto"/>
            <w:vAlign w:val="center"/>
            <w:hideMark/>
          </w:tcPr>
          <w:p w14:paraId="1D8382BE" w14:textId="77777777" w:rsidR="00A650CB" w:rsidRPr="00A650CB" w:rsidRDefault="00A650CB" w:rsidP="0095784D">
            <w:pPr>
              <w:spacing w:after="0" w:line="240" w:lineRule="auto"/>
              <w:jc w:val="both"/>
              <w:rPr>
                <w:lang w:val="en-US"/>
              </w:rPr>
            </w:pPr>
            <w:r w:rsidRPr="00A650CB">
              <w:rPr>
                <w:lang w:val="en-US"/>
              </w:rPr>
              <w:t>NUE = 0.361(0.003) +-0.004(0.0003) MUN</w:t>
            </w:r>
          </w:p>
        </w:tc>
        <w:tc>
          <w:tcPr>
            <w:tcW w:w="1178" w:type="dxa"/>
            <w:tcBorders>
              <w:top w:val="nil"/>
              <w:left w:val="nil"/>
              <w:bottom w:val="single" w:sz="4" w:space="0" w:color="auto"/>
              <w:right w:val="nil"/>
            </w:tcBorders>
            <w:shd w:val="clear" w:color="auto" w:fill="auto"/>
            <w:vAlign w:val="center"/>
            <w:hideMark/>
          </w:tcPr>
          <w:p w14:paraId="593B763C" w14:textId="77777777" w:rsidR="00A650CB" w:rsidRPr="00A650CB" w:rsidRDefault="00A650CB" w:rsidP="0095784D">
            <w:pPr>
              <w:spacing w:after="0" w:line="240" w:lineRule="auto"/>
              <w:jc w:val="both"/>
              <w:rPr>
                <w:lang w:val="en-US"/>
              </w:rPr>
            </w:pPr>
            <w:r w:rsidRPr="00A650CB">
              <w:rPr>
                <w:lang w:val="en-US"/>
              </w:rPr>
              <w:t>&lt;0.001</w:t>
            </w:r>
          </w:p>
        </w:tc>
        <w:tc>
          <w:tcPr>
            <w:tcW w:w="1516" w:type="dxa"/>
            <w:tcBorders>
              <w:top w:val="nil"/>
              <w:left w:val="nil"/>
              <w:bottom w:val="single" w:sz="4" w:space="0" w:color="auto"/>
              <w:right w:val="nil"/>
            </w:tcBorders>
            <w:shd w:val="clear" w:color="auto" w:fill="auto"/>
            <w:vAlign w:val="center"/>
            <w:hideMark/>
          </w:tcPr>
          <w:p w14:paraId="5933B303" w14:textId="77777777" w:rsidR="00A650CB" w:rsidRPr="00A650CB" w:rsidRDefault="00A650CB" w:rsidP="0095784D">
            <w:pPr>
              <w:spacing w:after="0" w:line="240" w:lineRule="auto"/>
              <w:jc w:val="both"/>
              <w:rPr>
                <w:lang w:val="en-US"/>
              </w:rPr>
            </w:pPr>
            <w:r w:rsidRPr="00A650CB">
              <w:rPr>
                <w:lang w:val="en-US"/>
              </w:rPr>
              <w:t>15.7</w:t>
            </w:r>
          </w:p>
        </w:tc>
      </w:tr>
    </w:tbl>
    <w:p w14:paraId="2C8406AF" w14:textId="77777777" w:rsidR="00A650CB" w:rsidRPr="00A650CB" w:rsidRDefault="00A650CB" w:rsidP="0095784D">
      <w:pPr>
        <w:spacing w:after="0"/>
        <w:jc w:val="both"/>
        <w:rPr>
          <w:lang w:val="en-US"/>
        </w:rPr>
      </w:pPr>
      <w:r w:rsidRPr="00A650CB">
        <w:rPr>
          <w:vertAlign w:val="superscript"/>
          <w:lang w:val="en-US"/>
        </w:rPr>
        <w:t>†</w:t>
      </w:r>
      <w:r w:rsidRPr="00A650CB">
        <w:rPr>
          <w:lang w:val="en-US"/>
        </w:rPr>
        <w:t>Standard errors shown in parentheses</w:t>
      </w:r>
    </w:p>
    <w:p w14:paraId="600128AF" w14:textId="77777777" w:rsidR="00A650CB" w:rsidRPr="00A650CB" w:rsidRDefault="00A650CB" w:rsidP="0095784D">
      <w:pPr>
        <w:spacing w:after="0"/>
        <w:jc w:val="both"/>
        <w:rPr>
          <w:lang w:val="en-US"/>
        </w:rPr>
      </w:pPr>
      <w:r w:rsidRPr="00A650CB">
        <w:rPr>
          <w:vertAlign w:val="superscript"/>
          <w:lang w:val="en-US"/>
        </w:rPr>
        <w:t>‡</w:t>
      </w:r>
      <w:r w:rsidRPr="00A650CB">
        <w:rPr>
          <w:lang w:val="en-US"/>
        </w:rPr>
        <w:t>Adjusted R</w:t>
      </w:r>
      <w:r w:rsidRPr="00A650CB">
        <w:rPr>
          <w:vertAlign w:val="superscript"/>
          <w:lang w:val="en-US"/>
        </w:rPr>
        <w:t>2</w:t>
      </w:r>
      <w:r w:rsidRPr="00A650CB">
        <w:rPr>
          <w:lang w:val="en-US"/>
        </w:rPr>
        <w:t xml:space="preserve"> determined from the percentage variance </w:t>
      </w:r>
    </w:p>
    <w:p w14:paraId="6C38B909" w14:textId="77777777" w:rsidR="00A650CB" w:rsidRPr="00A650CB" w:rsidRDefault="00A650CB" w:rsidP="0095784D">
      <w:pPr>
        <w:jc w:val="both"/>
        <w:rPr>
          <w:lang w:val="en-US"/>
        </w:rPr>
      </w:pPr>
    </w:p>
    <w:p w14:paraId="41488DB5" w14:textId="2C225B75" w:rsidR="00A650CB" w:rsidRDefault="001C0295" w:rsidP="0095784D">
      <w:pPr>
        <w:jc w:val="both"/>
        <w:rPr>
          <w:rFonts w:ascii="Times New Roman" w:hAnsi="Times New Roman" w:cs="Times New Roman"/>
          <w:sz w:val="18"/>
          <w:szCs w:val="18"/>
        </w:rPr>
      </w:pPr>
      <w:r>
        <w:rPr>
          <w:b/>
          <w:bCs/>
          <w:lang w:val="en-US"/>
        </w:rPr>
        <w:t xml:space="preserve">Conclusions </w:t>
      </w:r>
      <w:r w:rsidR="001720C9">
        <w:rPr>
          <w:lang w:val="en-US"/>
        </w:rPr>
        <w:t>When relationships were examined using</w:t>
      </w:r>
      <w:r w:rsidR="001720C9" w:rsidRPr="00A650CB">
        <w:rPr>
          <w:lang w:val="en-US"/>
        </w:rPr>
        <w:t xml:space="preserve"> </w:t>
      </w:r>
      <w:r w:rsidR="00A650CB" w:rsidRPr="00A650CB">
        <w:rPr>
          <w:lang w:val="en-US"/>
        </w:rPr>
        <w:t xml:space="preserve">the current long-term and diverse dataset, both BUN and MUN appeared to have limited potential to predict NUE, </w:t>
      </w:r>
      <w:r w:rsidR="001720C9">
        <w:rPr>
          <w:lang w:val="en-US"/>
        </w:rPr>
        <w:t>either</w:t>
      </w:r>
      <w:r w:rsidR="001720C9" w:rsidRPr="00A650CB">
        <w:rPr>
          <w:lang w:val="en-US"/>
        </w:rPr>
        <w:t xml:space="preserve"> </w:t>
      </w:r>
      <w:r w:rsidR="00A650CB" w:rsidRPr="00A650CB">
        <w:rPr>
          <w:lang w:val="en-US"/>
        </w:rPr>
        <w:t xml:space="preserve">at an individual cow </w:t>
      </w:r>
      <w:r w:rsidR="001720C9">
        <w:rPr>
          <w:lang w:val="en-US"/>
        </w:rPr>
        <w:t>or</w:t>
      </w:r>
      <w:r w:rsidR="001720C9" w:rsidRPr="00A650CB">
        <w:rPr>
          <w:lang w:val="en-US"/>
        </w:rPr>
        <w:t xml:space="preserve"> </w:t>
      </w:r>
      <w:r w:rsidR="001720C9">
        <w:rPr>
          <w:lang w:val="en-US"/>
        </w:rPr>
        <w:t>treatment</w:t>
      </w:r>
      <w:r w:rsidR="00A650CB" w:rsidRPr="00A650CB">
        <w:rPr>
          <w:lang w:val="en-US"/>
        </w:rPr>
        <w:t xml:space="preserve"> level.</w:t>
      </w:r>
      <w:r w:rsidR="00A650CB">
        <w:rPr>
          <w:rFonts w:ascii="Times New Roman" w:hAnsi="Times New Roman" w:cs="Times New Roman"/>
          <w:sz w:val="18"/>
          <w:szCs w:val="18"/>
        </w:rPr>
        <w:t xml:space="preserve"> </w:t>
      </w:r>
    </w:p>
    <w:p w14:paraId="75E88C6B" w14:textId="04B4E836" w:rsidR="001C0295" w:rsidRPr="00A650CB" w:rsidRDefault="001C0295" w:rsidP="0095784D">
      <w:pPr>
        <w:spacing w:after="0"/>
        <w:jc w:val="both"/>
        <w:rPr>
          <w:rFonts w:ascii="Times New Roman" w:hAnsi="Times New Roman" w:cs="Times New Roman"/>
          <w:sz w:val="18"/>
          <w:szCs w:val="18"/>
        </w:rPr>
      </w:pPr>
      <w:r w:rsidRPr="00DE13EB">
        <w:rPr>
          <w:b/>
          <w:bCs/>
          <w:lang w:val="en-US"/>
        </w:rPr>
        <w:t xml:space="preserve">Acknowledgements </w:t>
      </w:r>
      <w:r w:rsidR="00A650CB" w:rsidRPr="00A650CB">
        <w:rPr>
          <w:lang w:val="en-US"/>
        </w:rPr>
        <w:t>The authors would like to thank the AFBI dairy unit staff involved with data collection during the experiments and the research database staff who assisted in the collation of the dataset.</w:t>
      </w:r>
      <w:r w:rsidR="00A650CB">
        <w:rPr>
          <w:rFonts w:ascii="Times New Roman" w:hAnsi="Times New Roman" w:cs="Times New Roman"/>
          <w:sz w:val="18"/>
          <w:szCs w:val="18"/>
        </w:rPr>
        <w:t xml:space="preserve"> </w:t>
      </w:r>
      <w:r w:rsidRPr="00DE13EB">
        <w:rPr>
          <w:lang w:val="en-US"/>
        </w:rPr>
        <w:t>This project was</w:t>
      </w:r>
      <w:r w:rsidRPr="00014614">
        <w:rPr>
          <w:rFonts w:ascii="Times New Roman" w:hAnsi="Times New Roman" w:cs="Times New Roman"/>
          <w:sz w:val="18"/>
          <w:szCs w:val="18"/>
        </w:rPr>
        <w:t xml:space="preserve"> </w:t>
      </w:r>
      <w:r w:rsidRPr="00DE13EB">
        <w:rPr>
          <w:lang w:val="en-US"/>
        </w:rPr>
        <w:t>funded by Departments of Agriculture, Environment and Rural Affairs (DAERA), Trouw Nutrition, and John Thompsons and Sons Ltd.</w:t>
      </w:r>
    </w:p>
    <w:p w14:paraId="0E3AF1C4" w14:textId="1FCCA731" w:rsidR="001C0295" w:rsidRDefault="001C0295" w:rsidP="0095784D">
      <w:pPr>
        <w:spacing w:after="0"/>
        <w:jc w:val="both"/>
        <w:rPr>
          <w:lang w:val="en-US"/>
        </w:rPr>
      </w:pPr>
    </w:p>
    <w:p w14:paraId="18A1D050" w14:textId="77777777" w:rsidR="00DE13EB" w:rsidRDefault="007B30E3" w:rsidP="0095784D">
      <w:pPr>
        <w:spacing w:after="0"/>
        <w:jc w:val="both"/>
        <w:rPr>
          <w:b/>
          <w:bCs/>
          <w:lang w:val="en-US"/>
        </w:rPr>
      </w:pPr>
      <w:r>
        <w:rPr>
          <w:b/>
          <w:bCs/>
          <w:lang w:val="en-US"/>
        </w:rPr>
        <w:t>References</w:t>
      </w:r>
    </w:p>
    <w:p w14:paraId="175F64A2" w14:textId="0F9CF068" w:rsidR="00DE13EB" w:rsidRPr="00A650CB" w:rsidRDefault="00A650CB" w:rsidP="0095784D">
      <w:pPr>
        <w:jc w:val="both"/>
        <w:rPr>
          <w:lang w:val="en-US"/>
        </w:rPr>
      </w:pPr>
      <w:r w:rsidRPr="00A650CB">
        <w:rPr>
          <w:lang w:val="en-US"/>
        </w:rPr>
        <w:t xml:space="preserve">Godden, S., Lissemore, K., Kelton, D., Leslie, K., Walton, J. &amp; Lumsden, J. </w:t>
      </w:r>
      <w:r w:rsidR="00337448">
        <w:rPr>
          <w:lang w:val="en-US"/>
        </w:rPr>
        <w:t>(</w:t>
      </w:r>
      <w:r w:rsidRPr="00A650CB">
        <w:rPr>
          <w:lang w:val="en-US"/>
        </w:rPr>
        <w:t>2001</w:t>
      </w:r>
      <w:r w:rsidR="00337448">
        <w:rPr>
          <w:lang w:val="en-US"/>
        </w:rPr>
        <w:t>)</w:t>
      </w:r>
      <w:r w:rsidRPr="00A650CB">
        <w:rPr>
          <w:lang w:val="en-US"/>
        </w:rPr>
        <w:t xml:space="preserve"> Relationships between milk urea concentrations and nutritional management, production, and economic variables in Ontario dairy herds. J. Dairy Sci, 84, 1128-1139.</w:t>
      </w:r>
    </w:p>
    <w:sectPr w:rsidR="00DE13EB" w:rsidRPr="00A650CB" w:rsidSect="00DD21B5">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C046F"/>
    <w:multiLevelType w:val="hybridMultilevel"/>
    <w:tmpl w:val="687E4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1F2474"/>
    <w:multiLevelType w:val="hybridMultilevel"/>
    <w:tmpl w:val="EED62B72"/>
    <w:lvl w:ilvl="0" w:tplc="28AE240A">
      <w:start w:val="1"/>
      <w:numFmt w:val="lowerLetter"/>
      <w:lvlText w:val="(%1)"/>
      <w:lvlJc w:val="left"/>
      <w:pPr>
        <w:ind w:left="6025" w:hanging="56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1890609">
    <w:abstractNumId w:val="0"/>
  </w:num>
  <w:num w:numId="2" w16cid:durableId="716440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0E3"/>
    <w:rsid w:val="00095D1D"/>
    <w:rsid w:val="000B2EE8"/>
    <w:rsid w:val="000C3730"/>
    <w:rsid w:val="000C4D22"/>
    <w:rsid w:val="00162A9C"/>
    <w:rsid w:val="001720C9"/>
    <w:rsid w:val="001C0295"/>
    <w:rsid w:val="001F2DED"/>
    <w:rsid w:val="002375C1"/>
    <w:rsid w:val="00242B89"/>
    <w:rsid w:val="00337448"/>
    <w:rsid w:val="00383DCD"/>
    <w:rsid w:val="00397193"/>
    <w:rsid w:val="00421783"/>
    <w:rsid w:val="005F3C0A"/>
    <w:rsid w:val="00625B14"/>
    <w:rsid w:val="00663CC0"/>
    <w:rsid w:val="00680EA1"/>
    <w:rsid w:val="00702B23"/>
    <w:rsid w:val="00760856"/>
    <w:rsid w:val="00761B8F"/>
    <w:rsid w:val="007B30E3"/>
    <w:rsid w:val="00896649"/>
    <w:rsid w:val="00933E8C"/>
    <w:rsid w:val="0095784D"/>
    <w:rsid w:val="009B100E"/>
    <w:rsid w:val="009F70D3"/>
    <w:rsid w:val="00A00AA8"/>
    <w:rsid w:val="00A13391"/>
    <w:rsid w:val="00A15E98"/>
    <w:rsid w:val="00A375A5"/>
    <w:rsid w:val="00A650CB"/>
    <w:rsid w:val="00B15B5A"/>
    <w:rsid w:val="00B52E4E"/>
    <w:rsid w:val="00C35BDA"/>
    <w:rsid w:val="00C53AE2"/>
    <w:rsid w:val="00C95030"/>
    <w:rsid w:val="00D208DE"/>
    <w:rsid w:val="00DB7766"/>
    <w:rsid w:val="00DD21B5"/>
    <w:rsid w:val="00DE13EB"/>
    <w:rsid w:val="00E179A2"/>
    <w:rsid w:val="00E27EE6"/>
    <w:rsid w:val="00E64F08"/>
    <w:rsid w:val="00EE6B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83A22"/>
  <w15:chartTrackingRefBased/>
  <w15:docId w15:val="{071DFB90-475F-4F62-BAC5-508A4A0B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30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0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0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0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0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0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0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0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0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0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0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0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0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0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0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0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0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0E3"/>
    <w:rPr>
      <w:rFonts w:eastAsiaTheme="majorEastAsia" w:cstheme="majorBidi"/>
      <w:color w:val="272727" w:themeColor="text1" w:themeTint="D8"/>
    </w:rPr>
  </w:style>
  <w:style w:type="paragraph" w:styleId="Title">
    <w:name w:val="Title"/>
    <w:basedOn w:val="Normal"/>
    <w:next w:val="Normal"/>
    <w:link w:val="TitleChar"/>
    <w:uiPriority w:val="10"/>
    <w:qFormat/>
    <w:rsid w:val="007B3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0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0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0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0E3"/>
    <w:pPr>
      <w:spacing w:before="160"/>
      <w:jc w:val="center"/>
    </w:pPr>
    <w:rPr>
      <w:i/>
      <w:iCs/>
      <w:color w:val="404040" w:themeColor="text1" w:themeTint="BF"/>
    </w:rPr>
  </w:style>
  <w:style w:type="character" w:customStyle="1" w:styleId="QuoteChar">
    <w:name w:val="Quote Char"/>
    <w:basedOn w:val="DefaultParagraphFont"/>
    <w:link w:val="Quote"/>
    <w:uiPriority w:val="29"/>
    <w:rsid w:val="007B30E3"/>
    <w:rPr>
      <w:i/>
      <w:iCs/>
      <w:color w:val="404040" w:themeColor="text1" w:themeTint="BF"/>
    </w:rPr>
  </w:style>
  <w:style w:type="paragraph" w:styleId="ListParagraph">
    <w:name w:val="List Paragraph"/>
    <w:basedOn w:val="Normal"/>
    <w:uiPriority w:val="34"/>
    <w:qFormat/>
    <w:rsid w:val="007B30E3"/>
    <w:pPr>
      <w:ind w:left="720"/>
      <w:contextualSpacing/>
    </w:pPr>
  </w:style>
  <w:style w:type="character" w:styleId="IntenseEmphasis">
    <w:name w:val="Intense Emphasis"/>
    <w:basedOn w:val="DefaultParagraphFont"/>
    <w:uiPriority w:val="21"/>
    <w:qFormat/>
    <w:rsid w:val="007B30E3"/>
    <w:rPr>
      <w:i/>
      <w:iCs/>
      <w:color w:val="0F4761" w:themeColor="accent1" w:themeShade="BF"/>
    </w:rPr>
  </w:style>
  <w:style w:type="paragraph" w:styleId="IntenseQuote">
    <w:name w:val="Intense Quote"/>
    <w:basedOn w:val="Normal"/>
    <w:next w:val="Normal"/>
    <w:link w:val="IntenseQuoteChar"/>
    <w:uiPriority w:val="30"/>
    <w:qFormat/>
    <w:rsid w:val="007B3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0E3"/>
    <w:rPr>
      <w:i/>
      <w:iCs/>
      <w:color w:val="0F4761" w:themeColor="accent1" w:themeShade="BF"/>
    </w:rPr>
  </w:style>
  <w:style w:type="character" w:styleId="IntenseReference">
    <w:name w:val="Intense Reference"/>
    <w:basedOn w:val="DefaultParagraphFont"/>
    <w:uiPriority w:val="32"/>
    <w:qFormat/>
    <w:rsid w:val="007B30E3"/>
    <w:rPr>
      <w:b/>
      <w:bCs/>
      <w:smallCaps/>
      <w:color w:val="0F4761" w:themeColor="accent1" w:themeShade="BF"/>
      <w:spacing w:val="5"/>
    </w:rPr>
  </w:style>
  <w:style w:type="paragraph" w:styleId="Revision">
    <w:name w:val="Revision"/>
    <w:hidden/>
    <w:uiPriority w:val="99"/>
    <w:semiHidden/>
    <w:rsid w:val="00DB7766"/>
    <w:pPr>
      <w:spacing w:after="0" w:line="240" w:lineRule="auto"/>
    </w:pPr>
  </w:style>
  <w:style w:type="character" w:styleId="CommentReference">
    <w:name w:val="annotation reference"/>
    <w:basedOn w:val="DefaultParagraphFont"/>
    <w:uiPriority w:val="99"/>
    <w:semiHidden/>
    <w:unhideWhenUsed/>
    <w:rsid w:val="00162A9C"/>
    <w:rPr>
      <w:sz w:val="16"/>
      <w:szCs w:val="16"/>
    </w:rPr>
  </w:style>
  <w:style w:type="paragraph" w:styleId="CommentText">
    <w:name w:val="annotation text"/>
    <w:basedOn w:val="Normal"/>
    <w:link w:val="CommentTextChar"/>
    <w:uiPriority w:val="99"/>
    <w:unhideWhenUsed/>
    <w:rsid w:val="00162A9C"/>
    <w:pPr>
      <w:spacing w:line="240" w:lineRule="auto"/>
    </w:pPr>
    <w:rPr>
      <w:sz w:val="20"/>
      <w:szCs w:val="20"/>
    </w:rPr>
  </w:style>
  <w:style w:type="character" w:customStyle="1" w:styleId="CommentTextChar">
    <w:name w:val="Comment Text Char"/>
    <w:basedOn w:val="DefaultParagraphFont"/>
    <w:link w:val="CommentText"/>
    <w:uiPriority w:val="99"/>
    <w:rsid w:val="00162A9C"/>
    <w:rPr>
      <w:sz w:val="20"/>
      <w:szCs w:val="20"/>
    </w:rPr>
  </w:style>
  <w:style w:type="paragraph" w:styleId="CommentSubject">
    <w:name w:val="annotation subject"/>
    <w:basedOn w:val="CommentText"/>
    <w:next w:val="CommentText"/>
    <w:link w:val="CommentSubjectChar"/>
    <w:uiPriority w:val="99"/>
    <w:semiHidden/>
    <w:unhideWhenUsed/>
    <w:rsid w:val="00162A9C"/>
    <w:rPr>
      <w:b/>
      <w:bCs/>
    </w:rPr>
  </w:style>
  <w:style w:type="character" w:customStyle="1" w:styleId="CommentSubjectChar">
    <w:name w:val="Comment Subject Char"/>
    <w:basedOn w:val="CommentTextChar"/>
    <w:link w:val="CommentSubject"/>
    <w:uiPriority w:val="99"/>
    <w:semiHidden/>
    <w:rsid w:val="00162A9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6EDB6D5659E94A961155EC7279FE8F" ma:contentTypeVersion="8" ma:contentTypeDescription="Create a new document." ma:contentTypeScope="" ma:versionID="dc4259c985054b0af57cfc9f931531eb">
  <xsd:schema xmlns:xsd="http://www.w3.org/2001/XMLSchema" xmlns:xs="http://www.w3.org/2001/XMLSchema" xmlns:p="http://schemas.microsoft.com/office/2006/metadata/properties" xmlns:ns3="f53064d6-0b51-49eb-90ab-df9c088753df" xmlns:ns4="e064e914-97fb-402b-a737-257c43ca1c04" targetNamespace="http://schemas.microsoft.com/office/2006/metadata/properties" ma:root="true" ma:fieldsID="d85cca0f62bad1e5304ea3f5b9fa0a93" ns3:_="" ns4:_="">
    <xsd:import namespace="f53064d6-0b51-49eb-90ab-df9c088753df"/>
    <xsd:import namespace="e064e914-97fb-402b-a737-257c43ca1c0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064d6-0b51-49eb-90ab-df9c08875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64e914-97fb-402b-a737-257c43ca1c0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53064d6-0b51-49eb-90ab-df9c088753d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A6653A-3AA6-404E-9E4B-B14D404C03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3064d6-0b51-49eb-90ab-df9c088753df"/>
    <ds:schemaRef ds:uri="e064e914-97fb-402b-a737-257c43ca1c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1E998D-96EF-4A0A-B53A-07C2AB504375}">
  <ds:schemaRefs>
    <ds:schemaRef ds:uri="http://schemas.microsoft.com/office/2006/metadata/properties"/>
    <ds:schemaRef ds:uri="http://schemas.microsoft.com/office/infopath/2007/PartnerControls"/>
    <ds:schemaRef ds:uri="f53064d6-0b51-49eb-90ab-df9c088753df"/>
  </ds:schemaRefs>
</ds:datastoreItem>
</file>

<file path=customXml/itemProps3.xml><?xml version="1.0" encoding="utf-8"?>
<ds:datastoreItem xmlns:ds="http://schemas.openxmlformats.org/officeDocument/2006/customXml" ds:itemID="{443D4927-B381-4278-8881-89C86CBE03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817</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Neil</dc:creator>
  <cp:keywords/>
  <dc:description/>
  <cp:lastModifiedBy>Lavery, Anna</cp:lastModifiedBy>
  <cp:revision>2</cp:revision>
  <dcterms:created xsi:type="dcterms:W3CDTF">2024-11-17T14:07:00Z</dcterms:created>
  <dcterms:modified xsi:type="dcterms:W3CDTF">2024-11-17T14:07:00Z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0x010100EE6EDB6D5659E94A961155EC7279FE8F</vt:lpwstr>
  </property>
</Properties>
</file>