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68"/>
        <w:tblW w:w="6444" w:type="pct"/>
        <w:tblLook w:val="0000" w:firstRow="0" w:lastRow="0" w:firstColumn="0" w:lastColumn="0" w:noHBand="0" w:noVBand="0"/>
      </w:tblPr>
      <w:tblGrid>
        <w:gridCol w:w="11620"/>
      </w:tblGrid>
      <w:tr w:rsidR="00176BF8" w:rsidRPr="00176BF8" w:rsidTr="00E22A80">
        <w:trPr>
          <w:trHeight w:hRule="exact" w:val="15603"/>
        </w:trPr>
        <w:tc>
          <w:tcPr>
            <w:tcW w:w="5000" w:type="pct"/>
            <w:tcBorders>
              <w:top w:val="single" w:sz="4" w:space="0" w:color="auto"/>
              <w:left w:val="single" w:sz="4" w:space="0" w:color="auto"/>
              <w:bottom w:val="single" w:sz="4" w:space="0" w:color="auto"/>
              <w:right w:val="single" w:sz="4" w:space="0" w:color="auto"/>
            </w:tcBorders>
            <w:shd w:val="clear" w:color="auto" w:fill="F3F3F3"/>
          </w:tcPr>
          <w:p w:rsidR="00176BF8" w:rsidRPr="00920775" w:rsidRDefault="00176BF8" w:rsidP="00176BF8">
            <w:pPr>
              <w:spacing w:after="0" w:line="240" w:lineRule="auto"/>
              <w:rPr>
                <w:rFonts w:ascii="Arial" w:eastAsia="Times New Roman" w:hAnsi="Arial" w:cs="Arial"/>
                <w:sz w:val="18"/>
                <w:szCs w:val="18"/>
                <w:lang w:val="en-GB"/>
              </w:rPr>
            </w:pPr>
            <w:r w:rsidRPr="00920775">
              <w:rPr>
                <w:rFonts w:ascii="Arial" w:eastAsia="Times New Roman" w:hAnsi="Arial" w:cs="Arial"/>
                <w:b/>
                <w:sz w:val="18"/>
                <w:szCs w:val="18"/>
                <w:lang w:val="en-GB"/>
              </w:rPr>
              <w:t>Title:</w:t>
            </w:r>
            <w:r w:rsidRPr="00920775">
              <w:rPr>
                <w:rFonts w:ascii="Arial" w:eastAsia="Times New Roman" w:hAnsi="Arial" w:cs="Arial"/>
                <w:sz w:val="18"/>
                <w:szCs w:val="18"/>
                <w:lang w:val="en-GB"/>
              </w:rPr>
              <w:t xml:space="preserve"> Dietary supplementation with rapeseed oil and cake on animal performance, methane emissions, and digestibility of beef cattle</w:t>
            </w:r>
          </w:p>
          <w:p w:rsidR="00453939" w:rsidRPr="00920775" w:rsidRDefault="00453939" w:rsidP="00176BF8">
            <w:pPr>
              <w:spacing w:after="0" w:line="240" w:lineRule="auto"/>
              <w:rPr>
                <w:rFonts w:ascii="Arial" w:eastAsia="Times New Roman" w:hAnsi="Arial" w:cs="Arial"/>
                <w:sz w:val="18"/>
                <w:szCs w:val="18"/>
                <w:lang w:val="en-GB"/>
              </w:rPr>
            </w:pPr>
          </w:p>
          <w:p w:rsidR="00176BF8" w:rsidRPr="00920775" w:rsidRDefault="00176BF8" w:rsidP="00176BF8">
            <w:pPr>
              <w:jc w:val="both"/>
              <w:rPr>
                <w:rFonts w:ascii="Arial" w:eastAsia="Calibri" w:hAnsi="Arial" w:cs="Arial"/>
                <w:b/>
                <w:sz w:val="18"/>
                <w:szCs w:val="18"/>
              </w:rPr>
            </w:pPr>
            <w:r w:rsidRPr="00920775">
              <w:rPr>
                <w:rFonts w:ascii="Arial" w:eastAsia="Calibri" w:hAnsi="Arial" w:cs="Arial"/>
                <w:b/>
                <w:sz w:val="18"/>
                <w:szCs w:val="18"/>
              </w:rPr>
              <w:t>Application:</w:t>
            </w:r>
            <w:r w:rsidRPr="00920775">
              <w:rPr>
                <w:rFonts w:ascii="Arial" w:eastAsia="Calibri" w:hAnsi="Arial" w:cs="Arial"/>
                <w:bCs/>
                <w:sz w:val="18"/>
                <w:szCs w:val="18"/>
              </w:rPr>
              <w:t xml:space="preserve"> Ireland has an ambitious target of reducing agricultural GHG emissions by 25% by 2030, which includes a recommended 10% reduction in enteric methane. Many potentially effective dietary additives are not feasible due to availability, requirement for regulatory approval, transient efficacy or cost. Practical and cost-effective dietary based methane mitigation regimens are necessary to reduce carbon footprint and improve the circularity of nutrient usage in beef cattle rations.</w:t>
            </w:r>
          </w:p>
          <w:p w:rsidR="00176BF8" w:rsidRPr="00920775" w:rsidRDefault="00176BF8" w:rsidP="00176BF8">
            <w:pPr>
              <w:jc w:val="both"/>
              <w:rPr>
                <w:rFonts w:ascii="Arial" w:eastAsia="Calibri" w:hAnsi="Arial" w:cs="Arial"/>
                <w:sz w:val="18"/>
                <w:szCs w:val="18"/>
              </w:rPr>
            </w:pPr>
            <w:r w:rsidRPr="00920775">
              <w:rPr>
                <w:rFonts w:ascii="Arial" w:eastAsia="Calibri" w:hAnsi="Arial" w:cs="Arial"/>
                <w:b/>
                <w:sz w:val="18"/>
                <w:szCs w:val="18"/>
              </w:rPr>
              <w:t>Introduction:</w:t>
            </w:r>
            <w:r w:rsidRPr="00920775">
              <w:rPr>
                <w:rFonts w:ascii="Arial" w:eastAsia="Calibri" w:hAnsi="Arial" w:cs="Arial"/>
                <w:sz w:val="18"/>
                <w:szCs w:val="18"/>
              </w:rPr>
              <w:t xml:space="preserve"> Oilseed rape (</w:t>
            </w:r>
            <w:r w:rsidRPr="00920775">
              <w:rPr>
                <w:rFonts w:ascii="Arial" w:eastAsia="Calibri" w:hAnsi="Arial" w:cs="Arial"/>
                <w:i/>
                <w:sz w:val="18"/>
                <w:szCs w:val="18"/>
              </w:rPr>
              <w:t xml:space="preserve">Brassica </w:t>
            </w:r>
            <w:proofErr w:type="spellStart"/>
            <w:r w:rsidRPr="00920775">
              <w:rPr>
                <w:rFonts w:ascii="Arial" w:eastAsia="Calibri" w:hAnsi="Arial" w:cs="Arial"/>
                <w:i/>
                <w:sz w:val="18"/>
                <w:szCs w:val="18"/>
              </w:rPr>
              <w:t>napus</w:t>
            </w:r>
            <w:proofErr w:type="spellEnd"/>
            <w:r w:rsidRPr="00920775">
              <w:rPr>
                <w:rFonts w:ascii="Arial" w:eastAsia="Calibri" w:hAnsi="Arial" w:cs="Arial"/>
                <w:sz w:val="18"/>
                <w:szCs w:val="18"/>
              </w:rPr>
              <w:t xml:space="preserve"> L) is a popular break crop in Irish cereal production. Its high fat containing by-products have been suggested to be effective in reducing enteric </w:t>
            </w:r>
            <w:proofErr w:type="spellStart"/>
            <w:r w:rsidRPr="00920775">
              <w:rPr>
                <w:rFonts w:ascii="Arial" w:eastAsia="Calibri" w:hAnsi="Arial" w:cs="Arial"/>
                <w:sz w:val="18"/>
                <w:szCs w:val="18"/>
              </w:rPr>
              <w:t>methanogenesis</w:t>
            </w:r>
            <w:proofErr w:type="spellEnd"/>
            <w:r w:rsidRPr="00920775">
              <w:rPr>
                <w:rFonts w:ascii="Arial" w:eastAsia="Calibri" w:hAnsi="Arial" w:cs="Arial"/>
                <w:sz w:val="18"/>
                <w:szCs w:val="18"/>
              </w:rPr>
              <w:t xml:space="preserve"> in ruminants (</w:t>
            </w:r>
            <w:proofErr w:type="spellStart"/>
            <w:r w:rsidRPr="00920775">
              <w:rPr>
                <w:rFonts w:ascii="Arial" w:eastAsia="Calibri" w:hAnsi="Arial" w:cs="Arial"/>
                <w:sz w:val="18"/>
                <w:szCs w:val="18"/>
              </w:rPr>
              <w:t>Bayat</w:t>
            </w:r>
            <w:proofErr w:type="spellEnd"/>
            <w:r w:rsidRPr="00920775">
              <w:rPr>
                <w:rFonts w:ascii="Arial" w:eastAsia="Calibri" w:hAnsi="Arial" w:cs="Arial"/>
                <w:sz w:val="18"/>
                <w:szCs w:val="18"/>
              </w:rPr>
              <w:t xml:space="preserve"> et al. 2022). Rapeseed oil is rich in fatty acids including oleic (C18:1), linoleic (C18:2), palmitic acid (C16:0) and </w:t>
            </w:r>
            <w:proofErr w:type="spellStart"/>
            <w:r w:rsidRPr="00920775">
              <w:rPr>
                <w:rFonts w:ascii="Arial" w:eastAsia="Calibri" w:hAnsi="Arial" w:cs="Arial"/>
                <w:sz w:val="18"/>
                <w:szCs w:val="18"/>
              </w:rPr>
              <w:t>linolenic</w:t>
            </w:r>
            <w:proofErr w:type="spellEnd"/>
            <w:r w:rsidRPr="00920775">
              <w:rPr>
                <w:rFonts w:ascii="Arial" w:eastAsia="Calibri" w:hAnsi="Arial" w:cs="Arial"/>
                <w:sz w:val="18"/>
                <w:szCs w:val="18"/>
              </w:rPr>
              <w:t xml:space="preserve"> acid (C18:3), which are putatively responsible for the observed CH</w:t>
            </w:r>
            <w:r w:rsidRPr="00920775">
              <w:rPr>
                <w:rFonts w:ascii="Arial" w:eastAsia="Calibri" w:hAnsi="Arial" w:cs="Arial"/>
                <w:sz w:val="18"/>
                <w:szCs w:val="18"/>
                <w:vertAlign w:val="subscript"/>
              </w:rPr>
              <w:t>4</w:t>
            </w:r>
            <w:r w:rsidRPr="00920775">
              <w:rPr>
                <w:rFonts w:ascii="Arial" w:eastAsia="Calibri" w:hAnsi="Arial" w:cs="Arial"/>
                <w:sz w:val="18"/>
                <w:szCs w:val="18"/>
              </w:rPr>
              <w:t xml:space="preserve"> inhibition (</w:t>
            </w:r>
            <w:proofErr w:type="spellStart"/>
            <w:r w:rsidRPr="00920775">
              <w:rPr>
                <w:rFonts w:ascii="Arial" w:eastAsia="Calibri" w:hAnsi="Arial" w:cs="Arial"/>
                <w:sz w:val="18"/>
                <w:szCs w:val="18"/>
              </w:rPr>
              <w:t>Lewinska</w:t>
            </w:r>
            <w:proofErr w:type="spellEnd"/>
            <w:r w:rsidRPr="00920775">
              <w:rPr>
                <w:rFonts w:ascii="Arial" w:eastAsia="Calibri" w:hAnsi="Arial" w:cs="Arial"/>
                <w:sz w:val="18"/>
                <w:szCs w:val="18"/>
              </w:rPr>
              <w:t xml:space="preserve"> et al. 2015). Additionally, high fat diets have been shown to positively affect intramuscular fat content of meat (Hess et al. 2008). With high rapeseed oil by-products such as cold pressed rapeseed cake, there is an opportunity to also improve nutrient circularity by reducing reliance on imported ration ingredients for finishing diets. The objective of this study was to holistically examine the effect of fatty acid supplementation from different physical forms of rapeseed (cold pressed rapeseed cake and rapeseed oil) on dry matter intake (DMI), average daily gain (ADG), enteric gaseous emissions, haematological profile and poly unsaturated fatty acid (PUFA) content of </w:t>
            </w:r>
            <w:r w:rsidRPr="00920775">
              <w:rPr>
                <w:rFonts w:ascii="Arial" w:eastAsia="Calibri" w:hAnsi="Arial" w:cs="Arial"/>
                <w:i/>
                <w:sz w:val="18"/>
                <w:szCs w:val="18"/>
              </w:rPr>
              <w:t xml:space="preserve">longissimus </w:t>
            </w:r>
            <w:proofErr w:type="spellStart"/>
            <w:r w:rsidRPr="00920775">
              <w:rPr>
                <w:rFonts w:ascii="Arial" w:eastAsia="Calibri" w:hAnsi="Arial" w:cs="Arial"/>
                <w:i/>
                <w:sz w:val="18"/>
                <w:szCs w:val="18"/>
              </w:rPr>
              <w:t>dorsi</w:t>
            </w:r>
            <w:proofErr w:type="spellEnd"/>
            <w:r w:rsidRPr="00920775">
              <w:rPr>
                <w:rFonts w:ascii="Arial" w:eastAsia="Calibri" w:hAnsi="Arial" w:cs="Arial"/>
                <w:sz w:val="18"/>
                <w:szCs w:val="18"/>
              </w:rPr>
              <w:t xml:space="preserve"> muscle of beef ca</w:t>
            </w:r>
            <w:r w:rsidR="00651AEF">
              <w:rPr>
                <w:rFonts w:ascii="Arial" w:eastAsia="Calibri" w:hAnsi="Arial" w:cs="Arial"/>
                <w:sz w:val="18"/>
                <w:szCs w:val="18"/>
              </w:rPr>
              <w:t>ttle on a winter finishing diet.</w:t>
            </w:r>
          </w:p>
          <w:p w:rsidR="00176BF8" w:rsidRPr="00920775" w:rsidRDefault="00176BF8" w:rsidP="00176BF8">
            <w:pPr>
              <w:jc w:val="both"/>
              <w:rPr>
                <w:rFonts w:ascii="Arial" w:eastAsia="Calibri" w:hAnsi="Arial" w:cs="Arial"/>
                <w:sz w:val="18"/>
                <w:szCs w:val="18"/>
              </w:rPr>
            </w:pPr>
            <w:r w:rsidRPr="00920775">
              <w:rPr>
                <w:rFonts w:ascii="Arial" w:eastAsia="Calibri" w:hAnsi="Arial" w:cs="Arial"/>
                <w:b/>
                <w:sz w:val="18"/>
                <w:szCs w:val="18"/>
              </w:rPr>
              <w:t>Materials and methods:</w:t>
            </w:r>
            <w:r w:rsidR="00A56154">
              <w:rPr>
                <w:rFonts w:ascii="Arial" w:eastAsia="Calibri" w:hAnsi="Arial" w:cs="Arial"/>
                <w:sz w:val="18"/>
                <w:szCs w:val="18"/>
              </w:rPr>
              <w:t xml:space="preserve"> For the experiment</w:t>
            </w:r>
            <w:r w:rsidRPr="00920775">
              <w:rPr>
                <w:rFonts w:ascii="Arial" w:eastAsia="Calibri" w:hAnsi="Arial" w:cs="Arial"/>
                <w:sz w:val="18"/>
                <w:szCs w:val="18"/>
              </w:rPr>
              <w:t xml:space="preserve">, 54 crossbred </w:t>
            </w:r>
            <w:proofErr w:type="spellStart"/>
            <w:r w:rsidRPr="00920775">
              <w:rPr>
                <w:rFonts w:ascii="Arial" w:eastAsia="Calibri" w:hAnsi="Arial" w:cs="Arial"/>
                <w:sz w:val="18"/>
                <w:szCs w:val="18"/>
              </w:rPr>
              <w:t>Charolais</w:t>
            </w:r>
            <w:proofErr w:type="spellEnd"/>
            <w:r w:rsidRPr="00920775">
              <w:rPr>
                <w:rFonts w:ascii="Arial" w:eastAsia="Calibri" w:hAnsi="Arial" w:cs="Arial"/>
                <w:sz w:val="18"/>
                <w:szCs w:val="18"/>
              </w:rPr>
              <w:t xml:space="preserve"> steers and heifers; with an initial body weight (BW) of 384 kg (SD 39.5) at </w:t>
            </w:r>
            <w:proofErr w:type="spellStart"/>
            <w:r w:rsidRPr="00920775">
              <w:rPr>
                <w:rFonts w:ascii="Arial" w:eastAsia="Calibri" w:hAnsi="Arial" w:cs="Arial"/>
                <w:sz w:val="18"/>
                <w:szCs w:val="18"/>
              </w:rPr>
              <w:t>Teagasc</w:t>
            </w:r>
            <w:proofErr w:type="spellEnd"/>
            <w:r w:rsidRPr="00920775">
              <w:rPr>
                <w:rFonts w:ascii="Arial" w:eastAsia="Calibri" w:hAnsi="Arial" w:cs="Arial"/>
                <w:sz w:val="18"/>
                <w:szCs w:val="18"/>
              </w:rPr>
              <w:t xml:space="preserve"> Grange, Animal &amp; Grassland Research and Innovation Centre were offered concentrate feed at 41% of total DMI (exclusive to silage) con</w:t>
            </w:r>
            <w:r w:rsidR="00026D4C" w:rsidRPr="00920775">
              <w:rPr>
                <w:rFonts w:ascii="Arial" w:eastAsia="Calibri" w:hAnsi="Arial" w:cs="Arial"/>
                <w:sz w:val="18"/>
                <w:szCs w:val="18"/>
              </w:rPr>
              <w:t xml:space="preserve">taining one of the following: </w:t>
            </w:r>
            <w:r w:rsidR="00F00D72">
              <w:rPr>
                <w:rFonts w:ascii="Arial" w:eastAsia="Calibri" w:hAnsi="Arial" w:cs="Arial"/>
                <w:sz w:val="18"/>
                <w:szCs w:val="18"/>
              </w:rPr>
              <w:t xml:space="preserve">1. </w:t>
            </w:r>
            <w:proofErr w:type="spellStart"/>
            <w:r w:rsidR="00F00D72">
              <w:rPr>
                <w:rFonts w:ascii="Arial" w:eastAsia="Calibri" w:hAnsi="Arial" w:cs="Arial"/>
                <w:sz w:val="18"/>
                <w:szCs w:val="18"/>
              </w:rPr>
              <w:t>Unsupplemented</w:t>
            </w:r>
            <w:proofErr w:type="spellEnd"/>
            <w:r w:rsidR="00F00D72">
              <w:rPr>
                <w:rFonts w:ascii="Arial" w:eastAsia="Calibri" w:hAnsi="Arial" w:cs="Arial"/>
                <w:sz w:val="18"/>
                <w:szCs w:val="18"/>
              </w:rPr>
              <w:t xml:space="preserve"> control (CON), 2. Rapeseed cake (RSC)</w:t>
            </w:r>
            <w:r w:rsidRPr="00920775">
              <w:rPr>
                <w:rFonts w:ascii="Arial" w:eastAsia="Calibri" w:hAnsi="Arial" w:cs="Arial"/>
                <w:sz w:val="18"/>
                <w:szCs w:val="18"/>
              </w:rPr>
              <w:t xml:space="preserve"> or 3. Rapeseed oil (RSO). Dietary inclusion of rapeseed oil and cake (2.5 and 14.5%, respectively) was balanced on oil, total fatty acid, PUFA and mono unsaturated fatty acid (MUFA) content. Cattle were offered their respective diets with grass silage on an </w:t>
            </w:r>
            <w:r w:rsidRPr="00920775">
              <w:rPr>
                <w:rFonts w:ascii="Arial" w:eastAsia="Calibri" w:hAnsi="Arial" w:cs="Arial"/>
                <w:i/>
                <w:sz w:val="18"/>
                <w:szCs w:val="18"/>
              </w:rPr>
              <w:t>ad libitum</w:t>
            </w:r>
            <w:r w:rsidRPr="00920775">
              <w:rPr>
                <w:rFonts w:ascii="Arial" w:eastAsia="Calibri" w:hAnsi="Arial" w:cs="Arial"/>
                <w:sz w:val="18"/>
                <w:szCs w:val="18"/>
              </w:rPr>
              <w:t xml:space="preserve"> basis during which feed intake and gaseous emissions analysis (</w:t>
            </w:r>
            <w:proofErr w:type="spellStart"/>
            <w:r w:rsidRPr="00920775">
              <w:rPr>
                <w:rFonts w:ascii="Arial" w:eastAsia="Calibri" w:hAnsi="Arial" w:cs="Arial"/>
                <w:sz w:val="18"/>
                <w:szCs w:val="18"/>
              </w:rPr>
              <w:t>GreenFeed</w:t>
            </w:r>
            <w:proofErr w:type="spellEnd"/>
            <w:r w:rsidRPr="00920775">
              <w:rPr>
                <w:rFonts w:ascii="Arial" w:eastAsia="Calibri" w:hAnsi="Arial" w:cs="Arial"/>
                <w:sz w:val="18"/>
                <w:szCs w:val="18"/>
              </w:rPr>
              <w:t xml:space="preserve"> emissions monitoring system - GEM) were recorded over 88 c</w:t>
            </w:r>
            <w:r w:rsidR="00FF2BC4" w:rsidRPr="00920775">
              <w:rPr>
                <w:rFonts w:ascii="Arial" w:eastAsia="Calibri" w:hAnsi="Arial" w:cs="Arial"/>
                <w:sz w:val="18"/>
                <w:szCs w:val="18"/>
              </w:rPr>
              <w:t>onsecutive days, including a</w:t>
            </w:r>
            <w:r w:rsidR="00EE071F" w:rsidRPr="00920775">
              <w:rPr>
                <w:rFonts w:ascii="Arial" w:eastAsia="Calibri" w:hAnsi="Arial" w:cs="Arial"/>
                <w:sz w:val="18"/>
                <w:szCs w:val="18"/>
              </w:rPr>
              <w:t xml:space="preserve"> 17</w:t>
            </w:r>
            <w:r w:rsidRPr="00920775">
              <w:rPr>
                <w:rFonts w:ascii="Arial" w:eastAsia="Calibri" w:hAnsi="Arial" w:cs="Arial"/>
                <w:sz w:val="18"/>
                <w:szCs w:val="18"/>
              </w:rPr>
              <w:t xml:space="preserve"> day pre- baseline period. Cattle were weighed weekly to calculate ADG. Ultrasonic muscle and fat deposition measurements were recorded at day 1 and 87. Blood serum samples were collected from the jugular vein on day 10, 53 and 88 of the experiment. A muscle biopsy was collected from 15 animals per treatment from the </w:t>
            </w:r>
            <w:r w:rsidRPr="00920775">
              <w:rPr>
                <w:rFonts w:ascii="Arial" w:eastAsia="Calibri" w:hAnsi="Arial" w:cs="Arial"/>
                <w:bCs/>
                <w:i/>
                <w:sz w:val="18"/>
                <w:szCs w:val="18"/>
              </w:rPr>
              <w:t xml:space="preserve">longissimus </w:t>
            </w:r>
            <w:proofErr w:type="spellStart"/>
            <w:r w:rsidRPr="00920775">
              <w:rPr>
                <w:rFonts w:ascii="Arial" w:eastAsia="Calibri" w:hAnsi="Arial" w:cs="Arial"/>
                <w:bCs/>
                <w:i/>
                <w:sz w:val="18"/>
                <w:szCs w:val="18"/>
              </w:rPr>
              <w:t>dorsi</w:t>
            </w:r>
            <w:proofErr w:type="spellEnd"/>
            <w:r w:rsidRPr="00920775">
              <w:rPr>
                <w:rFonts w:ascii="Arial" w:eastAsia="Calibri" w:hAnsi="Arial" w:cs="Arial"/>
                <w:bCs/>
                <w:sz w:val="18"/>
                <w:szCs w:val="18"/>
              </w:rPr>
              <w:t xml:space="preserve"> muscle on day 89 to assess the fatty acid composition.</w:t>
            </w:r>
            <w:r w:rsidR="00651AEF">
              <w:rPr>
                <w:rFonts w:ascii="Arial" w:eastAsia="Calibri" w:hAnsi="Arial" w:cs="Arial"/>
                <w:sz w:val="18"/>
                <w:szCs w:val="18"/>
              </w:rPr>
              <w:t xml:space="preserve"> </w:t>
            </w:r>
            <w:r w:rsidRPr="00920775">
              <w:rPr>
                <w:rFonts w:ascii="Arial" w:eastAsia="Calibri" w:hAnsi="Arial" w:cs="Arial"/>
                <w:sz w:val="18"/>
                <w:szCs w:val="18"/>
              </w:rPr>
              <w:t>Statistical analysis was performed on SAS (version 9.4) where repeated measure</w:t>
            </w:r>
            <w:r w:rsidR="003A53C8">
              <w:rPr>
                <w:rFonts w:ascii="Arial" w:eastAsia="Calibri" w:hAnsi="Arial" w:cs="Arial"/>
                <w:sz w:val="18"/>
                <w:szCs w:val="18"/>
              </w:rPr>
              <w:t>s was used to assess changes</w:t>
            </w:r>
            <w:r w:rsidRPr="00920775">
              <w:rPr>
                <w:rFonts w:ascii="Arial" w:eastAsia="Calibri" w:hAnsi="Arial" w:cs="Arial"/>
                <w:sz w:val="18"/>
                <w:szCs w:val="18"/>
              </w:rPr>
              <w:t xml:space="preserve"> in </w:t>
            </w:r>
            <w:r w:rsidR="00DE35AE" w:rsidRPr="00920775">
              <w:rPr>
                <w:rFonts w:ascii="Arial" w:eastAsia="Calibri" w:hAnsi="Arial" w:cs="Arial"/>
                <w:sz w:val="18"/>
                <w:szCs w:val="18"/>
              </w:rPr>
              <w:t xml:space="preserve">gaseous emissions, </w:t>
            </w:r>
            <w:r w:rsidR="0085268C">
              <w:rPr>
                <w:rFonts w:ascii="Arial" w:eastAsia="Calibri" w:hAnsi="Arial" w:cs="Arial"/>
                <w:sz w:val="18"/>
                <w:szCs w:val="18"/>
              </w:rPr>
              <w:t>DMI,</w:t>
            </w:r>
            <w:r w:rsidR="003A53C8">
              <w:rPr>
                <w:rFonts w:ascii="Arial" w:eastAsia="Calibri" w:hAnsi="Arial" w:cs="Arial"/>
                <w:sz w:val="18"/>
                <w:szCs w:val="18"/>
              </w:rPr>
              <w:t xml:space="preserve"> and </w:t>
            </w:r>
            <w:r w:rsidRPr="00920775">
              <w:rPr>
                <w:rFonts w:ascii="Arial" w:eastAsia="Calibri" w:hAnsi="Arial" w:cs="Arial"/>
                <w:sz w:val="18"/>
                <w:szCs w:val="18"/>
              </w:rPr>
              <w:t>blood m</w:t>
            </w:r>
            <w:r w:rsidR="003A53C8">
              <w:rPr>
                <w:rFonts w:ascii="Arial" w:eastAsia="Calibri" w:hAnsi="Arial" w:cs="Arial"/>
                <w:sz w:val="18"/>
                <w:szCs w:val="18"/>
              </w:rPr>
              <w:t xml:space="preserve">etabolites </w:t>
            </w:r>
            <w:r w:rsidR="00DE35AE" w:rsidRPr="00920775">
              <w:rPr>
                <w:rFonts w:ascii="Arial" w:eastAsia="Calibri" w:hAnsi="Arial" w:cs="Arial"/>
                <w:sz w:val="18"/>
                <w:szCs w:val="18"/>
              </w:rPr>
              <w:t xml:space="preserve">over </w:t>
            </w:r>
            <w:r w:rsidR="0085268C">
              <w:rPr>
                <w:rFonts w:ascii="Arial" w:eastAsia="Calibri" w:hAnsi="Arial" w:cs="Arial"/>
                <w:sz w:val="18"/>
                <w:szCs w:val="18"/>
              </w:rPr>
              <w:t xml:space="preserve">time. Linear regression was used to calculate ADG. </w:t>
            </w:r>
            <w:r w:rsidR="00DE35AE" w:rsidRPr="00920775">
              <w:rPr>
                <w:rFonts w:ascii="Arial" w:eastAsia="Calibri" w:hAnsi="Arial" w:cs="Arial"/>
                <w:sz w:val="18"/>
                <w:szCs w:val="18"/>
              </w:rPr>
              <w:t>For</w:t>
            </w:r>
            <w:r w:rsidR="00A96AA5">
              <w:rPr>
                <w:rFonts w:ascii="Arial" w:eastAsia="Calibri" w:hAnsi="Arial" w:cs="Arial"/>
                <w:sz w:val="18"/>
                <w:szCs w:val="18"/>
              </w:rPr>
              <w:t xml:space="preserve"> muscle and fat deposition </w:t>
            </w:r>
            <w:r w:rsidR="00A96AA5" w:rsidRPr="00920775">
              <w:rPr>
                <w:rFonts w:ascii="Arial" w:eastAsia="Calibri" w:hAnsi="Arial" w:cs="Arial"/>
                <w:sz w:val="18"/>
                <w:szCs w:val="18"/>
              </w:rPr>
              <w:t xml:space="preserve">measurements </w:t>
            </w:r>
            <w:r w:rsidR="00A96AA5">
              <w:rPr>
                <w:rFonts w:ascii="Arial" w:eastAsia="Calibri" w:hAnsi="Arial" w:cs="Arial"/>
                <w:sz w:val="18"/>
                <w:szCs w:val="18"/>
              </w:rPr>
              <w:t>and</w:t>
            </w:r>
            <w:r w:rsidR="00DE35AE" w:rsidRPr="00920775">
              <w:rPr>
                <w:rFonts w:ascii="Arial" w:eastAsia="Calibri" w:hAnsi="Arial" w:cs="Arial"/>
                <w:sz w:val="18"/>
                <w:szCs w:val="18"/>
              </w:rPr>
              <w:t xml:space="preserve"> fatty acid composition of the </w:t>
            </w:r>
            <w:r w:rsidR="00DE35AE" w:rsidRPr="00920775">
              <w:rPr>
                <w:rFonts w:ascii="Arial" w:eastAsia="Calibri" w:hAnsi="Arial" w:cs="Arial"/>
                <w:bCs/>
                <w:i/>
                <w:sz w:val="18"/>
                <w:szCs w:val="18"/>
              </w:rPr>
              <w:t xml:space="preserve">longissimus </w:t>
            </w:r>
            <w:proofErr w:type="spellStart"/>
            <w:r w:rsidR="00DE35AE" w:rsidRPr="00920775">
              <w:rPr>
                <w:rFonts w:ascii="Arial" w:eastAsia="Calibri" w:hAnsi="Arial" w:cs="Arial"/>
                <w:bCs/>
                <w:i/>
                <w:sz w:val="18"/>
                <w:szCs w:val="18"/>
              </w:rPr>
              <w:t>dorsi</w:t>
            </w:r>
            <w:proofErr w:type="spellEnd"/>
            <w:r w:rsidR="00DE35AE" w:rsidRPr="00920775">
              <w:rPr>
                <w:rFonts w:ascii="Arial" w:eastAsia="Calibri" w:hAnsi="Arial" w:cs="Arial"/>
                <w:bCs/>
                <w:i/>
                <w:sz w:val="18"/>
                <w:szCs w:val="18"/>
              </w:rPr>
              <w:t xml:space="preserve"> </w:t>
            </w:r>
            <w:r w:rsidR="00DE35AE" w:rsidRPr="00920775">
              <w:rPr>
                <w:rFonts w:ascii="Arial" w:eastAsia="Calibri" w:hAnsi="Arial" w:cs="Arial"/>
                <w:bCs/>
                <w:sz w:val="18"/>
                <w:szCs w:val="18"/>
              </w:rPr>
              <w:t>muscle</w:t>
            </w:r>
            <w:r w:rsidRPr="00920775">
              <w:rPr>
                <w:rFonts w:ascii="Arial" w:eastAsia="Calibri" w:hAnsi="Arial" w:cs="Arial"/>
                <w:sz w:val="18"/>
                <w:szCs w:val="18"/>
              </w:rPr>
              <w:t>, data was analysed using the mixed-model procedure (PROC MIXED). The probability value for statistical significance is </w:t>
            </w:r>
            <w:r w:rsidRPr="00920775">
              <w:rPr>
                <w:rFonts w:ascii="Arial" w:eastAsia="Calibri" w:hAnsi="Arial" w:cs="Arial"/>
                <w:i/>
                <w:sz w:val="18"/>
                <w:szCs w:val="18"/>
              </w:rPr>
              <w:t>P</w:t>
            </w:r>
            <w:r w:rsidRPr="00920775">
              <w:rPr>
                <w:rFonts w:ascii="Arial" w:eastAsia="Calibri" w:hAnsi="Arial" w:cs="Arial"/>
                <w:sz w:val="18"/>
                <w:szCs w:val="18"/>
              </w:rPr>
              <w:t xml:space="preserve"> &lt; 0.05.</w:t>
            </w:r>
          </w:p>
          <w:p w:rsidR="00176BF8" w:rsidRPr="00176BF8" w:rsidRDefault="00176BF8" w:rsidP="00176BF8">
            <w:pPr>
              <w:jc w:val="both"/>
              <w:rPr>
                <w:rFonts w:ascii="Arial" w:eastAsia="Calibri" w:hAnsi="Arial" w:cs="Arial"/>
                <w:sz w:val="18"/>
                <w:szCs w:val="18"/>
              </w:rPr>
            </w:pPr>
            <w:r w:rsidRPr="00176BF8">
              <w:rPr>
                <w:rFonts w:ascii="Arial" w:eastAsia="Calibri" w:hAnsi="Arial" w:cs="Arial"/>
                <w:b/>
                <w:sz w:val="18"/>
                <w:szCs w:val="18"/>
              </w:rPr>
              <w:t>Results:</w:t>
            </w:r>
            <w:r w:rsidRPr="00176BF8">
              <w:rPr>
                <w:rFonts w:ascii="Arial" w:eastAsia="Calibri" w:hAnsi="Arial" w:cs="Arial"/>
                <w:sz w:val="18"/>
                <w:szCs w:val="18"/>
              </w:rPr>
              <w:t xml:space="preserve"> </w:t>
            </w:r>
            <w:r w:rsidRPr="00920775">
              <w:rPr>
                <w:rFonts w:ascii="Arial" w:eastAsia="Calibri" w:hAnsi="Arial" w:cs="Arial"/>
                <w:sz w:val="18"/>
                <w:szCs w:val="18"/>
              </w:rPr>
              <w:t>Ca</w:t>
            </w:r>
            <w:r w:rsidR="002247E5" w:rsidRPr="00920775">
              <w:rPr>
                <w:rFonts w:ascii="Arial" w:eastAsia="Calibri" w:hAnsi="Arial" w:cs="Arial"/>
                <w:sz w:val="18"/>
                <w:szCs w:val="18"/>
              </w:rPr>
              <w:t>ttle achieved a mean DMI of 7.44 kg/day (SD = 1.3</w:t>
            </w:r>
            <w:r w:rsidRPr="00920775">
              <w:rPr>
                <w:rFonts w:ascii="Arial" w:eastAsia="Calibri" w:hAnsi="Arial" w:cs="Arial"/>
                <w:sz w:val="18"/>
                <w:szCs w:val="18"/>
              </w:rPr>
              <w:t>) and there was no statistically significant difference between treatments (</w:t>
            </w:r>
            <w:r w:rsidRPr="00920775">
              <w:rPr>
                <w:rFonts w:ascii="Arial" w:eastAsia="Calibri" w:hAnsi="Arial" w:cs="Arial"/>
                <w:i/>
                <w:sz w:val="18"/>
                <w:szCs w:val="18"/>
              </w:rPr>
              <w:t>P</w:t>
            </w:r>
            <w:r w:rsidR="00FA158C" w:rsidRPr="00920775">
              <w:rPr>
                <w:rFonts w:ascii="Arial" w:eastAsia="Calibri" w:hAnsi="Arial" w:cs="Arial"/>
                <w:sz w:val="18"/>
                <w:szCs w:val="18"/>
              </w:rPr>
              <w:t xml:space="preserve"> &gt; 0.05). Cattle fed RSO</w:t>
            </w:r>
            <w:r w:rsidRPr="00920775">
              <w:rPr>
                <w:rFonts w:ascii="Arial" w:eastAsia="Calibri" w:hAnsi="Arial" w:cs="Arial"/>
                <w:sz w:val="18"/>
                <w:szCs w:val="18"/>
              </w:rPr>
              <w:t xml:space="preserve"> </w:t>
            </w:r>
            <w:r w:rsidR="00EF7703" w:rsidRPr="00920775">
              <w:rPr>
                <w:rFonts w:ascii="Arial" w:eastAsia="Calibri" w:hAnsi="Arial" w:cs="Arial"/>
                <w:sz w:val="18"/>
                <w:szCs w:val="18"/>
              </w:rPr>
              <w:t>and CON had a higher ADG than RSC (1.24, 1.17 and 1.05</w:t>
            </w:r>
            <w:r w:rsidR="00EC1B85">
              <w:rPr>
                <w:rFonts w:ascii="Arial" w:eastAsia="Calibri" w:hAnsi="Arial" w:cs="Arial"/>
                <w:sz w:val="18"/>
                <w:szCs w:val="18"/>
              </w:rPr>
              <w:t xml:space="preserve"> </w:t>
            </w:r>
            <w:r w:rsidR="00EF7703" w:rsidRPr="00920775">
              <w:rPr>
                <w:rFonts w:ascii="Arial" w:eastAsia="Calibri" w:hAnsi="Arial" w:cs="Arial"/>
                <w:sz w:val="18"/>
                <w:szCs w:val="18"/>
              </w:rPr>
              <w:t>kg/day respectively)</w:t>
            </w:r>
            <w:r w:rsidRPr="00920775">
              <w:rPr>
                <w:rFonts w:ascii="Arial" w:eastAsia="Calibri" w:hAnsi="Arial" w:cs="Arial"/>
                <w:sz w:val="18"/>
                <w:szCs w:val="18"/>
              </w:rPr>
              <w:t>. A total CH</w:t>
            </w:r>
            <w:r w:rsidRPr="00920775">
              <w:rPr>
                <w:rFonts w:ascii="Arial" w:eastAsia="Calibri" w:hAnsi="Arial" w:cs="Arial"/>
                <w:sz w:val="18"/>
                <w:szCs w:val="18"/>
                <w:vertAlign w:val="subscript"/>
              </w:rPr>
              <w:t>4</w:t>
            </w:r>
            <w:r w:rsidR="00EF7703" w:rsidRPr="00920775">
              <w:rPr>
                <w:rFonts w:ascii="Arial" w:eastAsia="Calibri" w:hAnsi="Arial" w:cs="Arial"/>
                <w:sz w:val="18"/>
                <w:szCs w:val="18"/>
              </w:rPr>
              <w:t xml:space="preserve"> reduction of 15.52 and 15.91</w:t>
            </w:r>
            <w:r w:rsidRPr="00920775">
              <w:rPr>
                <w:rFonts w:ascii="Arial" w:eastAsia="Calibri" w:hAnsi="Arial" w:cs="Arial"/>
                <w:sz w:val="18"/>
                <w:szCs w:val="18"/>
              </w:rPr>
              <w:t xml:space="preserve"> g/day was observed in RSC and RSO supplemented cattle, respectively, compared to CON. This equated to a lower CH</w:t>
            </w:r>
            <w:r w:rsidRPr="00920775">
              <w:rPr>
                <w:rFonts w:ascii="Arial" w:eastAsia="Calibri" w:hAnsi="Arial" w:cs="Arial"/>
                <w:sz w:val="18"/>
                <w:szCs w:val="18"/>
                <w:vertAlign w:val="subscript"/>
              </w:rPr>
              <w:t xml:space="preserve">4 </w:t>
            </w:r>
            <w:r w:rsidR="00EF7703" w:rsidRPr="00920775">
              <w:rPr>
                <w:rFonts w:ascii="Arial" w:eastAsia="Calibri" w:hAnsi="Arial" w:cs="Arial"/>
                <w:sz w:val="18"/>
                <w:szCs w:val="18"/>
              </w:rPr>
              <w:t>intensity of 2.01 and 2.79</w:t>
            </w:r>
            <w:r w:rsidRPr="00920775">
              <w:rPr>
                <w:rFonts w:ascii="Arial" w:eastAsia="Calibri" w:hAnsi="Arial" w:cs="Arial"/>
                <w:sz w:val="18"/>
                <w:szCs w:val="18"/>
              </w:rPr>
              <w:t xml:space="preserve"> g/kg DMI</w:t>
            </w:r>
            <w:r w:rsidRPr="00920775">
              <w:rPr>
                <w:rFonts w:ascii="Arial" w:eastAsia="Calibri" w:hAnsi="Arial" w:cs="Arial"/>
                <w:sz w:val="18"/>
                <w:szCs w:val="18"/>
                <w:vertAlign w:val="subscript"/>
              </w:rPr>
              <w:t xml:space="preserve"> </w:t>
            </w:r>
            <w:r w:rsidRPr="00920775">
              <w:rPr>
                <w:rFonts w:ascii="Arial" w:eastAsia="Calibri" w:hAnsi="Arial" w:cs="Arial"/>
                <w:sz w:val="18"/>
                <w:szCs w:val="18"/>
              </w:rPr>
              <w:t>for RSC an</w:t>
            </w:r>
            <w:r w:rsidR="00EF7703" w:rsidRPr="00920775">
              <w:rPr>
                <w:rFonts w:ascii="Arial" w:eastAsia="Calibri" w:hAnsi="Arial" w:cs="Arial"/>
                <w:sz w:val="18"/>
                <w:szCs w:val="18"/>
              </w:rPr>
              <w:t>d RSO compared to CON, and 0.03 and 0.04</w:t>
            </w:r>
            <w:r w:rsidRPr="00920775">
              <w:rPr>
                <w:rFonts w:ascii="Arial" w:eastAsia="Calibri" w:hAnsi="Arial" w:cs="Arial"/>
                <w:sz w:val="18"/>
                <w:szCs w:val="18"/>
              </w:rPr>
              <w:t xml:space="preserve"> g/kg BW, respectively. </w:t>
            </w:r>
            <w:r w:rsidR="00EF7703" w:rsidRPr="00920775">
              <w:rPr>
                <w:rFonts w:ascii="Arial" w:eastAsia="Calibri" w:hAnsi="Arial" w:cs="Arial"/>
                <w:sz w:val="18"/>
                <w:szCs w:val="18"/>
              </w:rPr>
              <w:t>The production</w:t>
            </w:r>
            <w:r w:rsidR="00812A8E" w:rsidRPr="00920775">
              <w:rPr>
                <w:rFonts w:ascii="Arial" w:eastAsia="Calibri" w:hAnsi="Arial" w:cs="Arial"/>
                <w:sz w:val="18"/>
                <w:szCs w:val="18"/>
              </w:rPr>
              <w:t xml:space="preserve"> of</w:t>
            </w:r>
            <w:r w:rsidR="00EF7703" w:rsidRPr="00920775">
              <w:rPr>
                <w:rFonts w:ascii="Arial" w:eastAsia="Calibri" w:hAnsi="Arial" w:cs="Arial"/>
                <w:sz w:val="18"/>
                <w:szCs w:val="18"/>
              </w:rPr>
              <w:t xml:space="preserve"> </w:t>
            </w:r>
            <w:r w:rsidR="00812A8E" w:rsidRPr="00920775">
              <w:rPr>
                <w:rFonts w:ascii="Arial" w:eastAsia="Calibri" w:hAnsi="Arial" w:cs="Arial"/>
                <w:sz w:val="18"/>
                <w:szCs w:val="18"/>
              </w:rPr>
              <w:t>CO</w:t>
            </w:r>
            <w:r w:rsidR="00812A8E" w:rsidRPr="00920775">
              <w:rPr>
                <w:rFonts w:ascii="Arial" w:eastAsia="Calibri" w:hAnsi="Arial" w:cs="Arial"/>
                <w:sz w:val="18"/>
                <w:szCs w:val="18"/>
                <w:vertAlign w:val="subscript"/>
              </w:rPr>
              <w:t>2</w:t>
            </w:r>
            <w:r w:rsidR="00812A8E" w:rsidRPr="00920775">
              <w:rPr>
                <w:rFonts w:ascii="Arial" w:eastAsia="Calibri" w:hAnsi="Arial" w:cs="Arial"/>
                <w:sz w:val="18"/>
                <w:szCs w:val="18"/>
              </w:rPr>
              <w:t xml:space="preserve"> in the rumen was not affected however, </w:t>
            </w:r>
            <w:r w:rsidR="00EF7703" w:rsidRPr="00920775">
              <w:rPr>
                <w:rFonts w:ascii="Arial" w:eastAsia="Calibri" w:hAnsi="Arial" w:cs="Arial"/>
                <w:sz w:val="18"/>
                <w:szCs w:val="18"/>
              </w:rPr>
              <w:t>H</w:t>
            </w:r>
            <w:r w:rsidR="00EF7703" w:rsidRPr="00920775">
              <w:rPr>
                <w:rFonts w:ascii="Arial" w:eastAsia="Calibri" w:hAnsi="Arial" w:cs="Arial"/>
                <w:sz w:val="18"/>
                <w:szCs w:val="18"/>
                <w:vertAlign w:val="subscript"/>
              </w:rPr>
              <w:t>2</w:t>
            </w:r>
            <w:r w:rsidR="00812A8E" w:rsidRPr="00920775">
              <w:rPr>
                <w:rFonts w:ascii="Arial" w:eastAsia="Calibri" w:hAnsi="Arial" w:cs="Arial"/>
                <w:sz w:val="18"/>
                <w:szCs w:val="18"/>
              </w:rPr>
              <w:t xml:space="preserve"> was reduced by</w:t>
            </w:r>
            <w:r w:rsidR="00EF7703" w:rsidRPr="00920775">
              <w:rPr>
                <w:rFonts w:ascii="Arial" w:eastAsia="Calibri" w:hAnsi="Arial" w:cs="Arial"/>
                <w:sz w:val="18"/>
                <w:szCs w:val="18"/>
              </w:rPr>
              <w:t xml:space="preserve"> RSO supplementation</w:t>
            </w:r>
            <w:r w:rsidR="00DE35AE" w:rsidRPr="00920775">
              <w:rPr>
                <w:rFonts w:ascii="Arial" w:eastAsia="Calibri" w:hAnsi="Arial" w:cs="Arial"/>
                <w:sz w:val="18"/>
                <w:szCs w:val="18"/>
              </w:rPr>
              <w:t xml:space="preserve">. </w:t>
            </w:r>
            <w:r w:rsidRPr="00920775">
              <w:rPr>
                <w:rFonts w:ascii="Arial" w:eastAsia="Calibri" w:hAnsi="Arial" w:cs="Arial"/>
                <w:sz w:val="18"/>
                <w:szCs w:val="18"/>
              </w:rPr>
              <w:t>There was an increase in seru</w:t>
            </w:r>
            <w:r w:rsidR="0085268C">
              <w:rPr>
                <w:rFonts w:ascii="Arial" w:eastAsia="Calibri" w:hAnsi="Arial" w:cs="Arial"/>
                <w:sz w:val="18"/>
                <w:szCs w:val="18"/>
              </w:rPr>
              <w:t xml:space="preserve">m concentrations of HDL and LDL </w:t>
            </w:r>
            <w:r w:rsidRPr="00920775">
              <w:rPr>
                <w:rFonts w:ascii="Arial" w:eastAsia="Calibri" w:hAnsi="Arial" w:cs="Arial"/>
                <w:sz w:val="18"/>
                <w:szCs w:val="18"/>
              </w:rPr>
              <w:t>cholesterol for RSC and RSO (</w:t>
            </w:r>
            <w:r w:rsidRPr="00920775">
              <w:rPr>
                <w:rFonts w:ascii="Arial" w:eastAsia="Calibri" w:hAnsi="Arial" w:cs="Arial"/>
                <w:i/>
                <w:sz w:val="18"/>
                <w:szCs w:val="18"/>
              </w:rPr>
              <w:t xml:space="preserve">P </w:t>
            </w:r>
            <w:r w:rsidR="00FA158C" w:rsidRPr="00920775">
              <w:rPr>
                <w:rFonts w:ascii="Arial" w:eastAsia="Calibri" w:hAnsi="Arial" w:cs="Arial"/>
                <w:sz w:val="18"/>
                <w:szCs w:val="18"/>
              </w:rPr>
              <w:t>&lt; 0.05).</w:t>
            </w:r>
            <w:r w:rsidR="00A96AA5">
              <w:rPr>
                <w:rFonts w:ascii="Arial" w:eastAsia="Calibri" w:hAnsi="Arial" w:cs="Arial"/>
                <w:sz w:val="18"/>
                <w:szCs w:val="18"/>
              </w:rPr>
              <w:t xml:space="preserve"> </w:t>
            </w:r>
            <w:r w:rsidR="00A96AA5" w:rsidRPr="00920775">
              <w:rPr>
                <w:rFonts w:ascii="Arial" w:eastAsia="Calibri" w:hAnsi="Arial" w:cs="Arial"/>
                <w:sz w:val="18"/>
                <w:szCs w:val="18"/>
              </w:rPr>
              <w:t>Diets had no eff</w:t>
            </w:r>
            <w:r w:rsidR="00A96AA5">
              <w:rPr>
                <w:rFonts w:ascii="Arial" w:eastAsia="Calibri" w:hAnsi="Arial" w:cs="Arial"/>
                <w:sz w:val="18"/>
                <w:szCs w:val="18"/>
              </w:rPr>
              <w:t xml:space="preserve">ect on muscle and fat accretion, and </w:t>
            </w:r>
            <w:r w:rsidR="00920775" w:rsidRPr="00920775">
              <w:rPr>
                <w:rFonts w:ascii="Arial" w:eastAsia="Calibri" w:hAnsi="Arial" w:cs="Arial"/>
                <w:sz w:val="18"/>
                <w:szCs w:val="18"/>
              </w:rPr>
              <w:t xml:space="preserve">did not alter the fatty acid composition </w:t>
            </w:r>
            <w:r w:rsidR="00920775">
              <w:rPr>
                <w:rFonts w:ascii="Arial" w:eastAsia="Calibri" w:hAnsi="Arial" w:cs="Arial"/>
                <w:sz w:val="18"/>
                <w:szCs w:val="18"/>
              </w:rPr>
              <w:t>of</w:t>
            </w:r>
            <w:r w:rsidR="00812A8E" w:rsidRPr="00920775">
              <w:rPr>
                <w:rFonts w:ascii="Arial" w:eastAsia="Calibri" w:hAnsi="Arial" w:cs="Arial"/>
                <w:sz w:val="18"/>
                <w:szCs w:val="18"/>
              </w:rPr>
              <w:t xml:space="preserve"> the muscle</w:t>
            </w:r>
            <w:r w:rsidR="00651AEF">
              <w:rPr>
                <w:rFonts w:ascii="Arial" w:eastAsia="Calibri" w:hAnsi="Arial" w:cs="Arial"/>
                <w:sz w:val="18"/>
                <w:szCs w:val="18"/>
              </w:rPr>
              <w:t xml:space="preserve"> </w:t>
            </w:r>
            <w:r w:rsidRPr="00920775">
              <w:rPr>
                <w:rFonts w:ascii="Arial" w:eastAsia="Calibri" w:hAnsi="Arial" w:cs="Arial"/>
                <w:sz w:val="18"/>
                <w:szCs w:val="18"/>
              </w:rPr>
              <w:t>(</w:t>
            </w:r>
            <w:r w:rsidRPr="00920775">
              <w:rPr>
                <w:rFonts w:ascii="Arial" w:eastAsia="Calibri" w:hAnsi="Arial" w:cs="Arial"/>
                <w:i/>
                <w:sz w:val="18"/>
                <w:szCs w:val="18"/>
              </w:rPr>
              <w:t xml:space="preserve">P </w:t>
            </w:r>
            <w:r w:rsidRPr="00920775">
              <w:rPr>
                <w:rFonts w:ascii="Arial" w:eastAsia="Calibri" w:hAnsi="Arial" w:cs="Arial"/>
                <w:sz w:val="18"/>
                <w:szCs w:val="18"/>
              </w:rPr>
              <w:t>&gt; 0.05).</w:t>
            </w:r>
          </w:p>
          <w:tbl>
            <w:tblPr>
              <w:tblW w:w="7294" w:type="dxa"/>
              <w:tblLook w:val="04A0" w:firstRow="1" w:lastRow="0" w:firstColumn="1" w:lastColumn="0" w:noHBand="0" w:noVBand="1"/>
            </w:tblPr>
            <w:tblGrid>
              <w:gridCol w:w="2202"/>
              <w:gridCol w:w="1101"/>
              <w:gridCol w:w="1101"/>
              <w:gridCol w:w="1101"/>
              <w:gridCol w:w="826"/>
              <w:gridCol w:w="963"/>
            </w:tblGrid>
            <w:tr w:rsidR="007E5116" w:rsidRPr="007E5116" w:rsidTr="00453939">
              <w:trPr>
                <w:trHeight w:val="261"/>
              </w:trPr>
              <w:tc>
                <w:tcPr>
                  <w:tcW w:w="2202" w:type="dxa"/>
                  <w:tcBorders>
                    <w:top w:val="single" w:sz="4" w:space="0" w:color="auto"/>
                  </w:tcBorders>
                  <w:shd w:val="clear" w:color="auto" w:fill="auto"/>
                </w:tcPr>
                <w:p w:rsidR="00176BF8" w:rsidRPr="007E5116" w:rsidRDefault="00176BF8" w:rsidP="003B11C8">
                  <w:pPr>
                    <w:framePr w:hSpace="180" w:wrap="around" w:hAnchor="margin" w:xAlign="center" w:y="-1168"/>
                    <w:spacing w:after="0" w:line="240" w:lineRule="auto"/>
                    <w:jc w:val="both"/>
                    <w:rPr>
                      <w:rFonts w:ascii="Arial" w:eastAsia="Calibri" w:hAnsi="Arial" w:cs="Arial"/>
                      <w:sz w:val="18"/>
                      <w:szCs w:val="18"/>
                    </w:rPr>
                  </w:pPr>
                </w:p>
              </w:tc>
              <w:tc>
                <w:tcPr>
                  <w:tcW w:w="1101" w:type="dxa"/>
                  <w:tcBorders>
                    <w:top w:val="single" w:sz="4" w:space="0" w:color="auto"/>
                    <w:bottom w:val="single" w:sz="4" w:space="0" w:color="auto"/>
                  </w:tcBorders>
                  <w:shd w:val="clear" w:color="auto" w:fill="auto"/>
                </w:tcPr>
                <w:p w:rsidR="00176BF8" w:rsidRPr="007E5116" w:rsidRDefault="00176BF8" w:rsidP="003B11C8">
                  <w:pPr>
                    <w:framePr w:hSpace="180" w:wrap="around" w:hAnchor="margin" w:xAlign="center" w:y="-1168"/>
                    <w:spacing w:after="0" w:line="240" w:lineRule="auto"/>
                    <w:jc w:val="both"/>
                    <w:rPr>
                      <w:rFonts w:ascii="Arial" w:eastAsia="Calibri" w:hAnsi="Arial" w:cs="Arial"/>
                      <w:sz w:val="18"/>
                      <w:szCs w:val="18"/>
                    </w:rPr>
                  </w:pPr>
                </w:p>
              </w:tc>
              <w:tc>
                <w:tcPr>
                  <w:tcW w:w="1101" w:type="dxa"/>
                  <w:tcBorders>
                    <w:top w:val="single" w:sz="4" w:space="0" w:color="auto"/>
                    <w:bottom w:val="single" w:sz="4" w:space="0" w:color="auto"/>
                  </w:tcBorders>
                  <w:shd w:val="clear" w:color="auto" w:fill="auto"/>
                </w:tcPr>
                <w:p w:rsidR="00176BF8" w:rsidRPr="007E5116" w:rsidRDefault="00176BF8" w:rsidP="003B11C8">
                  <w:pPr>
                    <w:framePr w:hSpace="180" w:wrap="around" w:hAnchor="margin" w:xAlign="center" w:y="-1168"/>
                    <w:spacing w:after="0" w:line="240" w:lineRule="auto"/>
                    <w:jc w:val="both"/>
                    <w:rPr>
                      <w:rFonts w:ascii="Arial" w:eastAsia="Calibri" w:hAnsi="Arial" w:cs="Arial"/>
                      <w:sz w:val="18"/>
                      <w:szCs w:val="18"/>
                    </w:rPr>
                  </w:pPr>
                </w:p>
              </w:tc>
              <w:tc>
                <w:tcPr>
                  <w:tcW w:w="1101" w:type="dxa"/>
                  <w:tcBorders>
                    <w:top w:val="single" w:sz="4" w:space="0" w:color="auto"/>
                    <w:bottom w:val="single" w:sz="4" w:space="0" w:color="auto"/>
                  </w:tcBorders>
                  <w:shd w:val="clear" w:color="auto" w:fill="auto"/>
                </w:tcPr>
                <w:p w:rsidR="00176BF8" w:rsidRPr="007E5116" w:rsidRDefault="00176BF8" w:rsidP="003B11C8">
                  <w:pPr>
                    <w:framePr w:hSpace="180" w:wrap="around" w:hAnchor="margin" w:xAlign="center" w:y="-1168"/>
                    <w:spacing w:after="0" w:line="240" w:lineRule="auto"/>
                    <w:jc w:val="both"/>
                    <w:rPr>
                      <w:rFonts w:ascii="Arial" w:eastAsia="Calibri" w:hAnsi="Arial" w:cs="Arial"/>
                      <w:sz w:val="18"/>
                      <w:szCs w:val="18"/>
                    </w:rPr>
                  </w:pPr>
                </w:p>
              </w:tc>
              <w:tc>
                <w:tcPr>
                  <w:tcW w:w="826" w:type="dxa"/>
                  <w:tcBorders>
                    <w:top w:val="single" w:sz="4" w:space="0" w:color="auto"/>
                  </w:tcBorders>
                  <w:shd w:val="clear" w:color="auto" w:fill="auto"/>
                </w:tcPr>
                <w:p w:rsidR="00176BF8" w:rsidRPr="007E5116" w:rsidRDefault="00176BF8" w:rsidP="003B11C8">
                  <w:pPr>
                    <w:framePr w:hSpace="180" w:wrap="around" w:hAnchor="margin" w:xAlign="center" w:y="-1168"/>
                    <w:spacing w:after="0" w:line="240" w:lineRule="auto"/>
                    <w:jc w:val="both"/>
                    <w:rPr>
                      <w:rFonts w:ascii="Arial" w:eastAsia="Calibri" w:hAnsi="Arial" w:cs="Arial"/>
                      <w:sz w:val="18"/>
                      <w:szCs w:val="18"/>
                    </w:rPr>
                  </w:pPr>
                </w:p>
              </w:tc>
              <w:tc>
                <w:tcPr>
                  <w:tcW w:w="963" w:type="dxa"/>
                  <w:tcBorders>
                    <w:top w:val="single" w:sz="4" w:space="0" w:color="auto"/>
                  </w:tcBorders>
                  <w:shd w:val="clear" w:color="auto" w:fill="auto"/>
                </w:tcPr>
                <w:p w:rsidR="00176BF8" w:rsidRPr="007E5116" w:rsidRDefault="00176BF8" w:rsidP="003B11C8">
                  <w:pPr>
                    <w:framePr w:hSpace="180" w:wrap="around" w:hAnchor="margin" w:xAlign="center" w:y="-1168"/>
                    <w:spacing w:after="0" w:line="240" w:lineRule="auto"/>
                    <w:jc w:val="both"/>
                    <w:rPr>
                      <w:rFonts w:ascii="Arial" w:eastAsia="Calibri" w:hAnsi="Arial" w:cs="Arial"/>
                      <w:sz w:val="18"/>
                      <w:szCs w:val="18"/>
                    </w:rPr>
                  </w:pPr>
                </w:p>
              </w:tc>
            </w:tr>
            <w:tr w:rsidR="007E5116" w:rsidRPr="007E5116" w:rsidTr="00453939">
              <w:trPr>
                <w:trHeight w:val="249"/>
              </w:trPr>
              <w:tc>
                <w:tcPr>
                  <w:tcW w:w="2202" w:type="dxa"/>
                  <w:shd w:val="clear" w:color="auto" w:fill="auto"/>
                </w:tcPr>
                <w:p w:rsidR="00176BF8" w:rsidRPr="00521453" w:rsidRDefault="00176BF8" w:rsidP="003B11C8">
                  <w:pPr>
                    <w:framePr w:hSpace="180" w:wrap="around" w:hAnchor="margin" w:xAlign="center" w:y="-1168"/>
                    <w:spacing w:after="0" w:line="240" w:lineRule="auto"/>
                    <w:jc w:val="both"/>
                    <w:rPr>
                      <w:rFonts w:ascii="Arial" w:eastAsia="Calibri" w:hAnsi="Arial" w:cs="Arial"/>
                      <w:sz w:val="18"/>
                      <w:szCs w:val="18"/>
                    </w:rPr>
                  </w:pPr>
                </w:p>
              </w:tc>
              <w:tc>
                <w:tcPr>
                  <w:tcW w:w="1101" w:type="dxa"/>
                  <w:tcBorders>
                    <w:top w:val="single" w:sz="4" w:space="0" w:color="auto"/>
                    <w:bottom w:val="single" w:sz="4" w:space="0" w:color="auto"/>
                  </w:tcBorders>
                  <w:shd w:val="clear" w:color="auto" w:fill="auto"/>
                </w:tcPr>
                <w:p w:rsidR="00176BF8" w:rsidRPr="00521453" w:rsidRDefault="00176BF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CON</w:t>
                  </w:r>
                </w:p>
              </w:tc>
              <w:tc>
                <w:tcPr>
                  <w:tcW w:w="1101" w:type="dxa"/>
                  <w:tcBorders>
                    <w:top w:val="single" w:sz="4" w:space="0" w:color="auto"/>
                    <w:bottom w:val="single" w:sz="4" w:space="0" w:color="auto"/>
                  </w:tcBorders>
                  <w:shd w:val="clear" w:color="auto" w:fill="auto"/>
                </w:tcPr>
                <w:p w:rsidR="00176BF8" w:rsidRPr="00521453" w:rsidRDefault="00176BF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RSC</w:t>
                  </w:r>
                </w:p>
              </w:tc>
              <w:tc>
                <w:tcPr>
                  <w:tcW w:w="1101" w:type="dxa"/>
                  <w:tcBorders>
                    <w:top w:val="single" w:sz="4" w:space="0" w:color="auto"/>
                    <w:bottom w:val="single" w:sz="4" w:space="0" w:color="auto"/>
                  </w:tcBorders>
                  <w:shd w:val="clear" w:color="auto" w:fill="auto"/>
                </w:tcPr>
                <w:p w:rsidR="00176BF8" w:rsidRPr="00521453" w:rsidRDefault="00176BF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RSO</w:t>
                  </w:r>
                </w:p>
              </w:tc>
              <w:tc>
                <w:tcPr>
                  <w:tcW w:w="826" w:type="dxa"/>
                  <w:shd w:val="clear" w:color="auto" w:fill="auto"/>
                </w:tcPr>
                <w:p w:rsidR="00176BF8" w:rsidRPr="00521453" w:rsidRDefault="00176BF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S.E.M</w:t>
                  </w:r>
                </w:p>
              </w:tc>
              <w:tc>
                <w:tcPr>
                  <w:tcW w:w="963" w:type="dxa"/>
                  <w:shd w:val="clear" w:color="auto" w:fill="auto"/>
                </w:tcPr>
                <w:p w:rsidR="00176BF8" w:rsidRPr="00521453" w:rsidRDefault="00176BF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i/>
                      <w:sz w:val="18"/>
                      <w:szCs w:val="18"/>
                    </w:rPr>
                    <w:t>P</w:t>
                  </w:r>
                  <w:r w:rsidRPr="00521453">
                    <w:rPr>
                      <w:rFonts w:ascii="Arial" w:eastAsia="Calibri" w:hAnsi="Arial" w:cs="Arial"/>
                      <w:sz w:val="18"/>
                      <w:szCs w:val="18"/>
                    </w:rPr>
                    <w:t xml:space="preserve"> value</w:t>
                  </w:r>
                </w:p>
              </w:tc>
            </w:tr>
            <w:tr w:rsidR="007E5116" w:rsidRPr="007E5116" w:rsidTr="00453939">
              <w:trPr>
                <w:trHeight w:val="261"/>
              </w:trPr>
              <w:tc>
                <w:tcPr>
                  <w:tcW w:w="2202" w:type="dxa"/>
                  <w:shd w:val="clear" w:color="auto" w:fill="auto"/>
                </w:tcPr>
                <w:p w:rsidR="00176BF8" w:rsidRPr="00521453" w:rsidRDefault="00176BF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DMI; kg</w:t>
                  </w:r>
                </w:p>
              </w:tc>
              <w:tc>
                <w:tcPr>
                  <w:tcW w:w="1101" w:type="dxa"/>
                  <w:tcBorders>
                    <w:top w:val="single" w:sz="4" w:space="0" w:color="auto"/>
                  </w:tcBorders>
                  <w:shd w:val="clear" w:color="auto" w:fill="auto"/>
                </w:tcPr>
                <w:p w:rsidR="00176BF8" w:rsidRPr="00521453" w:rsidRDefault="007F10DA"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7.5</w:t>
                  </w:r>
                </w:p>
              </w:tc>
              <w:tc>
                <w:tcPr>
                  <w:tcW w:w="1101" w:type="dxa"/>
                  <w:tcBorders>
                    <w:top w:val="single" w:sz="4" w:space="0" w:color="auto"/>
                  </w:tcBorders>
                  <w:shd w:val="clear" w:color="auto" w:fill="auto"/>
                </w:tcPr>
                <w:p w:rsidR="00176BF8" w:rsidRPr="00521453" w:rsidRDefault="007F10DA"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7.61</w:t>
                  </w:r>
                </w:p>
              </w:tc>
              <w:tc>
                <w:tcPr>
                  <w:tcW w:w="1101" w:type="dxa"/>
                  <w:tcBorders>
                    <w:top w:val="single" w:sz="4" w:space="0" w:color="auto"/>
                  </w:tcBorders>
                  <w:shd w:val="clear" w:color="auto" w:fill="auto"/>
                </w:tcPr>
                <w:p w:rsidR="00176BF8" w:rsidRPr="00521453" w:rsidRDefault="007F10DA"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7.74</w:t>
                  </w:r>
                </w:p>
              </w:tc>
              <w:tc>
                <w:tcPr>
                  <w:tcW w:w="826" w:type="dxa"/>
                  <w:shd w:val="clear" w:color="auto" w:fill="auto"/>
                </w:tcPr>
                <w:p w:rsidR="00176BF8" w:rsidRPr="00521453" w:rsidRDefault="007F10DA"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0.012</w:t>
                  </w:r>
                </w:p>
              </w:tc>
              <w:tc>
                <w:tcPr>
                  <w:tcW w:w="963" w:type="dxa"/>
                  <w:shd w:val="clear" w:color="auto" w:fill="auto"/>
                </w:tcPr>
                <w:p w:rsidR="00176BF8" w:rsidRPr="00521453" w:rsidRDefault="007F10DA"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0.22</w:t>
                  </w:r>
                </w:p>
              </w:tc>
            </w:tr>
            <w:tr w:rsidR="007E5116" w:rsidRPr="007E5116" w:rsidTr="00453939">
              <w:trPr>
                <w:trHeight w:val="261"/>
              </w:trPr>
              <w:tc>
                <w:tcPr>
                  <w:tcW w:w="2202" w:type="dxa"/>
                  <w:shd w:val="clear" w:color="auto" w:fill="auto"/>
                </w:tcPr>
                <w:p w:rsidR="007E5116" w:rsidRPr="00521453" w:rsidRDefault="00176BF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ADG; kg</w:t>
                  </w:r>
                </w:p>
              </w:tc>
              <w:tc>
                <w:tcPr>
                  <w:tcW w:w="1101" w:type="dxa"/>
                  <w:shd w:val="clear" w:color="auto" w:fill="auto"/>
                </w:tcPr>
                <w:p w:rsidR="007E5116" w:rsidRPr="00521453" w:rsidRDefault="007F10DA" w:rsidP="003B11C8">
                  <w:pPr>
                    <w:framePr w:hSpace="180" w:wrap="around" w:hAnchor="margin" w:xAlign="center" w:y="-1168"/>
                    <w:jc w:val="both"/>
                    <w:rPr>
                      <w:rFonts w:ascii="Arial" w:hAnsi="Arial" w:cs="Arial"/>
                      <w:color w:val="000000"/>
                      <w:sz w:val="18"/>
                      <w:szCs w:val="18"/>
                    </w:rPr>
                  </w:pPr>
                  <w:r w:rsidRPr="00521453">
                    <w:rPr>
                      <w:rFonts w:ascii="Arial" w:hAnsi="Arial" w:cs="Arial"/>
                      <w:color w:val="000000"/>
                      <w:sz w:val="18"/>
                      <w:szCs w:val="18"/>
                    </w:rPr>
                    <w:t>1.17</w:t>
                  </w:r>
                  <w:r w:rsidR="007E5116" w:rsidRPr="00521453">
                    <w:rPr>
                      <w:rFonts w:ascii="Arial" w:hAnsi="Arial" w:cs="Arial"/>
                      <w:color w:val="000000"/>
                      <w:sz w:val="18"/>
                      <w:szCs w:val="18"/>
                      <w:vertAlign w:val="superscript"/>
                    </w:rPr>
                    <w:t>a</w:t>
                  </w:r>
                </w:p>
              </w:tc>
              <w:tc>
                <w:tcPr>
                  <w:tcW w:w="1101" w:type="dxa"/>
                  <w:shd w:val="clear" w:color="auto" w:fill="auto"/>
                </w:tcPr>
                <w:p w:rsidR="00176BF8" w:rsidRPr="00521453" w:rsidRDefault="007F10DA" w:rsidP="003B11C8">
                  <w:pPr>
                    <w:framePr w:hSpace="180" w:wrap="around" w:hAnchor="margin" w:xAlign="center" w:y="-1168"/>
                    <w:jc w:val="both"/>
                    <w:rPr>
                      <w:rFonts w:ascii="Arial" w:hAnsi="Arial" w:cs="Arial"/>
                      <w:color w:val="000000"/>
                      <w:sz w:val="18"/>
                      <w:szCs w:val="18"/>
                    </w:rPr>
                  </w:pPr>
                  <w:r w:rsidRPr="00521453">
                    <w:rPr>
                      <w:rFonts w:ascii="Arial" w:hAnsi="Arial" w:cs="Arial"/>
                      <w:color w:val="000000"/>
                      <w:sz w:val="18"/>
                      <w:szCs w:val="18"/>
                    </w:rPr>
                    <w:t>1.05</w:t>
                  </w:r>
                  <w:r w:rsidR="007E5116" w:rsidRPr="00521453">
                    <w:rPr>
                      <w:rFonts w:ascii="Arial" w:hAnsi="Arial" w:cs="Arial"/>
                      <w:color w:val="000000"/>
                      <w:sz w:val="18"/>
                      <w:szCs w:val="18"/>
                      <w:vertAlign w:val="superscript"/>
                    </w:rPr>
                    <w:t>b</w:t>
                  </w:r>
                </w:p>
              </w:tc>
              <w:tc>
                <w:tcPr>
                  <w:tcW w:w="1101" w:type="dxa"/>
                  <w:shd w:val="clear" w:color="auto" w:fill="auto"/>
                </w:tcPr>
                <w:p w:rsidR="00176BF8" w:rsidRPr="00521453" w:rsidRDefault="007F10DA" w:rsidP="003B11C8">
                  <w:pPr>
                    <w:framePr w:hSpace="180" w:wrap="around" w:hAnchor="margin" w:xAlign="center" w:y="-1168"/>
                    <w:jc w:val="both"/>
                    <w:rPr>
                      <w:rFonts w:ascii="Arial" w:hAnsi="Arial" w:cs="Arial"/>
                      <w:color w:val="000000"/>
                      <w:sz w:val="18"/>
                      <w:szCs w:val="18"/>
                    </w:rPr>
                  </w:pPr>
                  <w:r w:rsidRPr="00521453">
                    <w:rPr>
                      <w:rFonts w:ascii="Arial" w:hAnsi="Arial" w:cs="Arial"/>
                      <w:color w:val="000000"/>
                      <w:sz w:val="18"/>
                      <w:szCs w:val="18"/>
                    </w:rPr>
                    <w:t>1.24</w:t>
                  </w:r>
                  <w:r w:rsidR="007E5116" w:rsidRPr="00521453">
                    <w:rPr>
                      <w:rFonts w:ascii="Arial" w:hAnsi="Arial" w:cs="Arial"/>
                      <w:color w:val="000000"/>
                      <w:sz w:val="18"/>
                      <w:szCs w:val="18"/>
                      <w:vertAlign w:val="superscript"/>
                    </w:rPr>
                    <w:t>a</w:t>
                  </w:r>
                </w:p>
              </w:tc>
              <w:tc>
                <w:tcPr>
                  <w:tcW w:w="826" w:type="dxa"/>
                  <w:shd w:val="clear" w:color="auto" w:fill="auto"/>
                </w:tcPr>
                <w:p w:rsidR="00176BF8" w:rsidRPr="00521453" w:rsidRDefault="007F10DA" w:rsidP="003B11C8">
                  <w:pPr>
                    <w:framePr w:hSpace="180" w:wrap="around" w:hAnchor="margin" w:xAlign="center" w:y="-1168"/>
                    <w:jc w:val="both"/>
                    <w:rPr>
                      <w:rFonts w:ascii="Arial" w:hAnsi="Arial" w:cs="Arial"/>
                      <w:color w:val="000000"/>
                      <w:sz w:val="18"/>
                      <w:szCs w:val="18"/>
                    </w:rPr>
                  </w:pPr>
                  <w:r w:rsidRPr="00521453">
                    <w:rPr>
                      <w:rFonts w:ascii="Arial" w:hAnsi="Arial" w:cs="Arial"/>
                      <w:color w:val="000000"/>
                      <w:sz w:val="18"/>
                      <w:szCs w:val="18"/>
                    </w:rPr>
                    <w:t>0.027</w:t>
                  </w:r>
                </w:p>
              </w:tc>
              <w:tc>
                <w:tcPr>
                  <w:tcW w:w="963" w:type="dxa"/>
                  <w:shd w:val="clear" w:color="auto" w:fill="auto"/>
                </w:tcPr>
                <w:p w:rsidR="00176BF8" w:rsidRPr="00521453" w:rsidRDefault="007F10DA" w:rsidP="003B11C8">
                  <w:pPr>
                    <w:framePr w:hSpace="180" w:wrap="around" w:hAnchor="margin" w:xAlign="center" w:y="-1168"/>
                    <w:jc w:val="both"/>
                    <w:rPr>
                      <w:rFonts w:ascii="Arial" w:hAnsi="Arial" w:cs="Arial"/>
                      <w:color w:val="000000"/>
                      <w:sz w:val="18"/>
                      <w:szCs w:val="18"/>
                    </w:rPr>
                  </w:pPr>
                  <w:r w:rsidRPr="00521453">
                    <w:rPr>
                      <w:rFonts w:ascii="Arial" w:hAnsi="Arial" w:cs="Arial"/>
                      <w:color w:val="000000"/>
                      <w:sz w:val="18"/>
                      <w:szCs w:val="18"/>
                    </w:rPr>
                    <w:t>*0.01</w:t>
                  </w:r>
                </w:p>
              </w:tc>
            </w:tr>
            <w:tr w:rsidR="003B11C8" w:rsidRPr="007E5116" w:rsidTr="00453939">
              <w:trPr>
                <w:trHeight w:val="261"/>
              </w:trPr>
              <w:tc>
                <w:tcPr>
                  <w:tcW w:w="2202"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Start weight; kg</w:t>
                  </w:r>
                </w:p>
              </w:tc>
              <w:tc>
                <w:tcPr>
                  <w:tcW w:w="1101" w:type="dxa"/>
                  <w:shd w:val="clear" w:color="auto" w:fill="auto"/>
                </w:tcPr>
                <w:p w:rsidR="003B11C8" w:rsidRPr="00521453" w:rsidRDefault="003B11C8" w:rsidP="003B11C8">
                  <w:pPr>
                    <w:framePr w:hSpace="180" w:wrap="around" w:hAnchor="margin" w:xAlign="center" w:y="-1168"/>
                    <w:jc w:val="both"/>
                    <w:rPr>
                      <w:rFonts w:ascii="Arial" w:hAnsi="Arial" w:cs="Arial"/>
                      <w:color w:val="000000"/>
                      <w:sz w:val="18"/>
                      <w:szCs w:val="18"/>
                    </w:rPr>
                  </w:pPr>
                  <w:r w:rsidRPr="00521453">
                    <w:rPr>
                      <w:rFonts w:ascii="Arial" w:hAnsi="Arial" w:cs="Arial"/>
                      <w:color w:val="000000"/>
                      <w:sz w:val="18"/>
                      <w:szCs w:val="18"/>
                    </w:rPr>
                    <w:t>383.9</w:t>
                  </w:r>
                </w:p>
              </w:tc>
              <w:tc>
                <w:tcPr>
                  <w:tcW w:w="1101" w:type="dxa"/>
                  <w:shd w:val="clear" w:color="auto" w:fill="auto"/>
                </w:tcPr>
                <w:p w:rsidR="003B11C8" w:rsidRPr="00521453" w:rsidRDefault="003B11C8" w:rsidP="003B11C8">
                  <w:pPr>
                    <w:framePr w:hSpace="180" w:wrap="around" w:hAnchor="margin" w:xAlign="center" w:y="-1168"/>
                    <w:jc w:val="both"/>
                    <w:rPr>
                      <w:rFonts w:ascii="Arial" w:hAnsi="Arial" w:cs="Arial"/>
                      <w:color w:val="000000"/>
                      <w:sz w:val="18"/>
                      <w:szCs w:val="18"/>
                    </w:rPr>
                  </w:pPr>
                  <w:r w:rsidRPr="00521453">
                    <w:rPr>
                      <w:rFonts w:ascii="Arial" w:hAnsi="Arial" w:cs="Arial"/>
                      <w:color w:val="000000"/>
                      <w:sz w:val="18"/>
                      <w:szCs w:val="18"/>
                    </w:rPr>
                    <w:t>384.3</w:t>
                  </w:r>
                </w:p>
              </w:tc>
              <w:tc>
                <w:tcPr>
                  <w:tcW w:w="1101" w:type="dxa"/>
                  <w:shd w:val="clear" w:color="auto" w:fill="auto"/>
                </w:tcPr>
                <w:p w:rsidR="003B11C8" w:rsidRPr="00521453" w:rsidRDefault="003B11C8" w:rsidP="003B11C8">
                  <w:pPr>
                    <w:framePr w:hSpace="180" w:wrap="around" w:hAnchor="margin" w:xAlign="center" w:y="-1168"/>
                    <w:jc w:val="both"/>
                    <w:rPr>
                      <w:rFonts w:ascii="Arial" w:hAnsi="Arial" w:cs="Arial"/>
                      <w:color w:val="000000"/>
                      <w:sz w:val="18"/>
                      <w:szCs w:val="18"/>
                    </w:rPr>
                  </w:pPr>
                  <w:r w:rsidRPr="00521453">
                    <w:rPr>
                      <w:rFonts w:ascii="Arial" w:hAnsi="Arial" w:cs="Arial"/>
                      <w:color w:val="000000"/>
                      <w:sz w:val="18"/>
                      <w:szCs w:val="18"/>
                    </w:rPr>
                    <w:t>383.6</w:t>
                  </w:r>
                </w:p>
              </w:tc>
              <w:tc>
                <w:tcPr>
                  <w:tcW w:w="826" w:type="dxa"/>
                  <w:shd w:val="clear" w:color="auto" w:fill="auto"/>
                </w:tcPr>
                <w:p w:rsidR="003B11C8" w:rsidRPr="00521453" w:rsidRDefault="003B11C8" w:rsidP="003B11C8">
                  <w:pPr>
                    <w:framePr w:hSpace="180" w:wrap="around" w:hAnchor="margin" w:xAlign="center" w:y="-1168"/>
                    <w:jc w:val="both"/>
                    <w:rPr>
                      <w:rFonts w:ascii="Arial" w:hAnsi="Arial" w:cs="Arial"/>
                      <w:color w:val="000000"/>
                      <w:sz w:val="18"/>
                      <w:szCs w:val="18"/>
                    </w:rPr>
                  </w:pPr>
                  <w:r w:rsidRPr="00521453">
                    <w:rPr>
                      <w:rFonts w:ascii="Arial" w:hAnsi="Arial" w:cs="Arial"/>
                      <w:color w:val="000000"/>
                      <w:sz w:val="18"/>
                      <w:szCs w:val="18"/>
                    </w:rPr>
                    <w:t>5.61</w:t>
                  </w:r>
                </w:p>
              </w:tc>
              <w:tc>
                <w:tcPr>
                  <w:tcW w:w="963" w:type="dxa"/>
                  <w:shd w:val="clear" w:color="auto" w:fill="auto"/>
                </w:tcPr>
                <w:p w:rsidR="003B11C8" w:rsidRPr="00521453" w:rsidRDefault="003B11C8" w:rsidP="003B11C8">
                  <w:pPr>
                    <w:framePr w:hSpace="180" w:wrap="around" w:hAnchor="margin" w:xAlign="center" w:y="-1168"/>
                    <w:jc w:val="both"/>
                    <w:rPr>
                      <w:rFonts w:ascii="Arial" w:hAnsi="Arial" w:cs="Arial"/>
                      <w:color w:val="000000"/>
                      <w:sz w:val="18"/>
                      <w:szCs w:val="18"/>
                    </w:rPr>
                  </w:pPr>
                  <w:r w:rsidRPr="00521453">
                    <w:rPr>
                      <w:rFonts w:ascii="Arial" w:eastAsia="Calibri" w:hAnsi="Arial" w:cs="Arial"/>
                      <w:sz w:val="18"/>
                      <w:szCs w:val="18"/>
                    </w:rPr>
                    <w:t>0.95</w:t>
                  </w:r>
                </w:p>
              </w:tc>
            </w:tr>
            <w:tr w:rsidR="003B11C8" w:rsidRPr="007E5116" w:rsidTr="00453939">
              <w:trPr>
                <w:trHeight w:val="261"/>
              </w:trPr>
              <w:tc>
                <w:tcPr>
                  <w:tcW w:w="2202"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Middle weight; kg</w:t>
                  </w:r>
                </w:p>
              </w:tc>
              <w:tc>
                <w:tcPr>
                  <w:tcW w:w="1101" w:type="dxa"/>
                  <w:shd w:val="clear" w:color="auto" w:fill="auto"/>
                </w:tcPr>
                <w:p w:rsidR="003B11C8" w:rsidRPr="00521453" w:rsidRDefault="003B11C8" w:rsidP="003B11C8">
                  <w:pPr>
                    <w:framePr w:hSpace="180" w:wrap="around" w:hAnchor="margin" w:xAlign="center" w:y="-1168"/>
                    <w:jc w:val="both"/>
                    <w:rPr>
                      <w:rFonts w:ascii="Arial" w:hAnsi="Arial" w:cs="Arial"/>
                      <w:color w:val="000000"/>
                      <w:sz w:val="18"/>
                      <w:szCs w:val="18"/>
                    </w:rPr>
                  </w:pPr>
                  <w:r w:rsidRPr="00521453">
                    <w:rPr>
                      <w:rFonts w:ascii="Arial" w:eastAsia="Calibri" w:hAnsi="Arial" w:cs="Arial"/>
                      <w:sz w:val="18"/>
                      <w:szCs w:val="18"/>
                    </w:rPr>
                    <w:t>421.0</w:t>
                  </w:r>
                </w:p>
              </w:tc>
              <w:tc>
                <w:tcPr>
                  <w:tcW w:w="1101" w:type="dxa"/>
                  <w:shd w:val="clear" w:color="auto" w:fill="auto"/>
                </w:tcPr>
                <w:p w:rsidR="003B11C8" w:rsidRPr="00521453" w:rsidRDefault="003B11C8" w:rsidP="003B11C8">
                  <w:pPr>
                    <w:framePr w:hSpace="180" w:wrap="around" w:hAnchor="margin" w:xAlign="center" w:y="-1168"/>
                    <w:jc w:val="both"/>
                    <w:rPr>
                      <w:rFonts w:ascii="Arial" w:hAnsi="Arial" w:cs="Arial"/>
                      <w:color w:val="000000"/>
                      <w:sz w:val="18"/>
                      <w:szCs w:val="18"/>
                    </w:rPr>
                  </w:pPr>
                  <w:r w:rsidRPr="00521453">
                    <w:rPr>
                      <w:rFonts w:ascii="Arial" w:eastAsia="Calibri" w:hAnsi="Arial" w:cs="Arial"/>
                      <w:sz w:val="18"/>
                      <w:szCs w:val="18"/>
                    </w:rPr>
                    <w:t>418.9</w:t>
                  </w:r>
                </w:p>
              </w:tc>
              <w:tc>
                <w:tcPr>
                  <w:tcW w:w="1101" w:type="dxa"/>
                  <w:shd w:val="clear" w:color="auto" w:fill="auto"/>
                </w:tcPr>
                <w:p w:rsidR="003B11C8" w:rsidRPr="00521453" w:rsidRDefault="003B11C8" w:rsidP="003B11C8">
                  <w:pPr>
                    <w:framePr w:hSpace="180" w:wrap="around" w:hAnchor="margin" w:xAlign="center" w:y="-1168"/>
                    <w:jc w:val="both"/>
                    <w:rPr>
                      <w:rFonts w:ascii="Arial" w:hAnsi="Arial" w:cs="Arial"/>
                      <w:color w:val="000000"/>
                      <w:sz w:val="18"/>
                      <w:szCs w:val="18"/>
                    </w:rPr>
                  </w:pPr>
                  <w:r w:rsidRPr="00521453">
                    <w:rPr>
                      <w:rFonts w:ascii="Arial" w:eastAsia="Calibri" w:hAnsi="Arial" w:cs="Arial"/>
                      <w:sz w:val="18"/>
                      <w:szCs w:val="18"/>
                    </w:rPr>
                    <w:t>424.3</w:t>
                  </w:r>
                </w:p>
              </w:tc>
              <w:tc>
                <w:tcPr>
                  <w:tcW w:w="826"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5.84</w:t>
                  </w:r>
                </w:p>
              </w:tc>
              <w:tc>
                <w:tcPr>
                  <w:tcW w:w="963"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0.41</w:t>
                  </w:r>
                </w:p>
              </w:tc>
            </w:tr>
            <w:tr w:rsidR="003B11C8" w:rsidRPr="007E5116" w:rsidTr="00453939">
              <w:trPr>
                <w:trHeight w:val="261"/>
              </w:trPr>
              <w:tc>
                <w:tcPr>
                  <w:tcW w:w="2202"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End weight; kg</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465.3</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459.5</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464.9</w:t>
                  </w:r>
                </w:p>
              </w:tc>
              <w:tc>
                <w:tcPr>
                  <w:tcW w:w="826"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5.66</w:t>
                  </w:r>
                </w:p>
              </w:tc>
              <w:tc>
                <w:tcPr>
                  <w:tcW w:w="963"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0.54</w:t>
                  </w:r>
                </w:p>
              </w:tc>
            </w:tr>
            <w:tr w:rsidR="003B11C8" w:rsidRPr="007E5116" w:rsidTr="00453939">
              <w:trPr>
                <w:trHeight w:val="261"/>
              </w:trPr>
              <w:tc>
                <w:tcPr>
                  <w:tcW w:w="2202"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i/>
                      <w:sz w:val="18"/>
                      <w:szCs w:val="18"/>
                    </w:rPr>
                    <w:t>Gaseous emissions</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p>
              </w:tc>
              <w:tc>
                <w:tcPr>
                  <w:tcW w:w="826"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p>
              </w:tc>
              <w:tc>
                <w:tcPr>
                  <w:tcW w:w="963"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p>
              </w:tc>
            </w:tr>
            <w:tr w:rsidR="003B11C8" w:rsidRPr="007E5116" w:rsidTr="00453939">
              <w:trPr>
                <w:trHeight w:val="249"/>
              </w:trPr>
              <w:tc>
                <w:tcPr>
                  <w:tcW w:w="2202"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i/>
                      <w:sz w:val="18"/>
                      <w:szCs w:val="18"/>
                    </w:rPr>
                  </w:pPr>
                  <w:r w:rsidRPr="00521453">
                    <w:rPr>
                      <w:rFonts w:ascii="Arial" w:eastAsia="Calibri" w:hAnsi="Arial" w:cs="Arial"/>
                      <w:sz w:val="18"/>
                      <w:szCs w:val="18"/>
                    </w:rPr>
                    <w:t>CH</w:t>
                  </w:r>
                  <w:r w:rsidRPr="00521453">
                    <w:rPr>
                      <w:rFonts w:ascii="Arial" w:eastAsia="Calibri" w:hAnsi="Arial" w:cs="Arial"/>
                      <w:sz w:val="18"/>
                      <w:szCs w:val="18"/>
                      <w:vertAlign w:val="subscript"/>
                    </w:rPr>
                    <w:t>4</w:t>
                  </w:r>
                  <w:r w:rsidRPr="00521453">
                    <w:rPr>
                      <w:rFonts w:ascii="Arial" w:eastAsia="Calibri" w:hAnsi="Arial" w:cs="Arial"/>
                      <w:sz w:val="18"/>
                      <w:szCs w:val="18"/>
                    </w:rPr>
                    <w:t>; g/d</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199.11</w:t>
                  </w:r>
                  <w:r w:rsidRPr="00521453">
                    <w:rPr>
                      <w:rFonts w:ascii="Arial" w:eastAsia="Calibri" w:hAnsi="Arial" w:cs="Arial"/>
                      <w:sz w:val="18"/>
                      <w:szCs w:val="18"/>
                      <w:vertAlign w:val="superscript"/>
                    </w:rPr>
                    <w:t>a</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 xml:space="preserve"> 183.59</w:t>
                  </w:r>
                  <w:r w:rsidRPr="00521453">
                    <w:rPr>
                      <w:rFonts w:ascii="Arial" w:eastAsia="Calibri" w:hAnsi="Arial" w:cs="Arial"/>
                      <w:sz w:val="18"/>
                      <w:szCs w:val="18"/>
                      <w:vertAlign w:val="superscript"/>
                    </w:rPr>
                    <w:t>b</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183.20</w:t>
                  </w:r>
                  <w:r w:rsidRPr="00521453">
                    <w:rPr>
                      <w:rFonts w:ascii="Arial" w:eastAsia="Calibri" w:hAnsi="Arial" w:cs="Arial"/>
                      <w:sz w:val="18"/>
                      <w:szCs w:val="18"/>
                      <w:vertAlign w:val="superscript"/>
                    </w:rPr>
                    <w:t>b</w:t>
                  </w:r>
                </w:p>
              </w:tc>
              <w:tc>
                <w:tcPr>
                  <w:tcW w:w="826"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0.661</w:t>
                  </w:r>
                </w:p>
              </w:tc>
              <w:tc>
                <w:tcPr>
                  <w:tcW w:w="963"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*0.021</w:t>
                  </w:r>
                </w:p>
              </w:tc>
            </w:tr>
            <w:tr w:rsidR="003B11C8" w:rsidRPr="007E5116" w:rsidTr="00453939">
              <w:trPr>
                <w:trHeight w:val="261"/>
              </w:trPr>
              <w:tc>
                <w:tcPr>
                  <w:tcW w:w="2202"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H</w:t>
                  </w:r>
                  <w:r w:rsidRPr="00521453">
                    <w:rPr>
                      <w:rFonts w:ascii="Arial" w:eastAsia="Calibri" w:hAnsi="Arial" w:cs="Arial"/>
                      <w:sz w:val="18"/>
                      <w:szCs w:val="18"/>
                      <w:vertAlign w:val="subscript"/>
                    </w:rPr>
                    <w:t>2</w:t>
                  </w:r>
                  <w:r w:rsidRPr="00521453">
                    <w:rPr>
                      <w:rFonts w:ascii="Arial" w:eastAsia="Calibri" w:hAnsi="Arial" w:cs="Arial"/>
                      <w:sz w:val="18"/>
                      <w:szCs w:val="18"/>
                    </w:rPr>
                    <w:t>; g/d</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0.50</w:t>
                  </w:r>
                  <w:r w:rsidRPr="00521453">
                    <w:rPr>
                      <w:rFonts w:ascii="Arial" w:eastAsia="Calibri" w:hAnsi="Arial" w:cs="Arial"/>
                      <w:sz w:val="18"/>
                      <w:szCs w:val="18"/>
                      <w:vertAlign w:val="superscript"/>
                    </w:rPr>
                    <w:t>a</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0.49</w:t>
                  </w:r>
                  <w:r w:rsidRPr="00521453">
                    <w:rPr>
                      <w:rFonts w:ascii="Arial" w:eastAsia="Calibri" w:hAnsi="Arial" w:cs="Arial"/>
                      <w:sz w:val="18"/>
                      <w:szCs w:val="18"/>
                      <w:vertAlign w:val="superscript"/>
                    </w:rPr>
                    <w:t>a</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0.43</w:t>
                  </w:r>
                  <w:r w:rsidRPr="00521453">
                    <w:rPr>
                      <w:rFonts w:ascii="Arial" w:eastAsia="Calibri" w:hAnsi="Arial" w:cs="Arial"/>
                      <w:sz w:val="18"/>
                      <w:szCs w:val="18"/>
                      <w:vertAlign w:val="superscript"/>
                    </w:rPr>
                    <w:t>b</w:t>
                  </w:r>
                </w:p>
              </w:tc>
              <w:tc>
                <w:tcPr>
                  <w:tcW w:w="826"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0.004</w:t>
                  </w:r>
                </w:p>
              </w:tc>
              <w:tc>
                <w:tcPr>
                  <w:tcW w:w="963"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*0.031</w:t>
                  </w:r>
                </w:p>
              </w:tc>
            </w:tr>
            <w:tr w:rsidR="003B11C8" w:rsidRPr="007E5116" w:rsidTr="00453939">
              <w:trPr>
                <w:trHeight w:val="261"/>
              </w:trPr>
              <w:tc>
                <w:tcPr>
                  <w:tcW w:w="2202"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CO</w:t>
                  </w:r>
                  <w:r w:rsidRPr="00521453">
                    <w:rPr>
                      <w:rFonts w:ascii="Arial" w:eastAsia="Calibri" w:hAnsi="Arial" w:cs="Arial"/>
                      <w:sz w:val="18"/>
                      <w:szCs w:val="18"/>
                      <w:vertAlign w:val="subscript"/>
                    </w:rPr>
                    <w:t>2</w:t>
                  </w:r>
                  <w:r w:rsidRPr="00521453">
                    <w:rPr>
                      <w:rFonts w:ascii="Arial" w:eastAsia="Calibri" w:hAnsi="Arial" w:cs="Arial"/>
                      <w:sz w:val="18"/>
                      <w:szCs w:val="18"/>
                    </w:rPr>
                    <w:t>; g/d</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vertAlign w:val="superscript"/>
                    </w:rPr>
                  </w:pPr>
                  <w:r w:rsidRPr="00521453">
                    <w:rPr>
                      <w:rFonts w:ascii="Arial" w:eastAsia="Calibri" w:hAnsi="Arial" w:cs="Arial"/>
                      <w:sz w:val="18"/>
                      <w:szCs w:val="18"/>
                    </w:rPr>
                    <w:t>6978</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6718</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6843</w:t>
                  </w:r>
                </w:p>
              </w:tc>
              <w:tc>
                <w:tcPr>
                  <w:tcW w:w="826"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15</w:t>
                  </w:r>
                </w:p>
              </w:tc>
              <w:tc>
                <w:tcPr>
                  <w:tcW w:w="963"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0.25</w:t>
                  </w:r>
                </w:p>
              </w:tc>
            </w:tr>
            <w:tr w:rsidR="003B11C8" w:rsidRPr="007E5116" w:rsidTr="00453939">
              <w:trPr>
                <w:trHeight w:val="283"/>
              </w:trPr>
              <w:tc>
                <w:tcPr>
                  <w:tcW w:w="2202"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CH</w:t>
                  </w:r>
                  <w:r w:rsidRPr="00521453">
                    <w:rPr>
                      <w:rFonts w:ascii="Arial" w:eastAsia="Calibri" w:hAnsi="Arial" w:cs="Arial"/>
                      <w:sz w:val="18"/>
                      <w:szCs w:val="18"/>
                      <w:vertAlign w:val="subscript"/>
                    </w:rPr>
                    <w:t>4</w:t>
                  </w:r>
                  <w:r w:rsidRPr="00521453">
                    <w:rPr>
                      <w:rFonts w:ascii="Arial" w:eastAsia="Calibri" w:hAnsi="Arial" w:cs="Arial"/>
                      <w:sz w:val="18"/>
                      <w:szCs w:val="18"/>
                    </w:rPr>
                    <w:t>;</w:t>
                  </w:r>
                  <w:r w:rsidRPr="00521453">
                    <w:rPr>
                      <w:rFonts w:ascii="Arial" w:eastAsia="Calibri" w:hAnsi="Arial" w:cs="Arial"/>
                      <w:sz w:val="18"/>
                      <w:szCs w:val="18"/>
                      <w:vertAlign w:val="subscript"/>
                    </w:rPr>
                    <w:t xml:space="preserve"> </w:t>
                  </w:r>
                  <w:r w:rsidRPr="00521453">
                    <w:rPr>
                      <w:rFonts w:ascii="Arial" w:eastAsia="Calibri" w:hAnsi="Arial" w:cs="Arial"/>
                      <w:sz w:val="18"/>
                      <w:szCs w:val="18"/>
                    </w:rPr>
                    <w:t>g/kg DMI</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26.61</w:t>
                  </w:r>
                  <w:r w:rsidRPr="00521453">
                    <w:rPr>
                      <w:rFonts w:ascii="Arial" w:eastAsia="Calibri" w:hAnsi="Arial" w:cs="Arial"/>
                      <w:sz w:val="18"/>
                      <w:szCs w:val="18"/>
                      <w:vertAlign w:val="superscript"/>
                    </w:rPr>
                    <w:t>a</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24.60</w:t>
                  </w:r>
                  <w:r w:rsidRPr="00521453">
                    <w:rPr>
                      <w:rFonts w:ascii="Arial" w:eastAsia="Calibri" w:hAnsi="Arial" w:cs="Arial"/>
                      <w:sz w:val="18"/>
                      <w:szCs w:val="18"/>
                      <w:vertAlign w:val="superscript"/>
                    </w:rPr>
                    <w:t>ab</w:t>
                  </w:r>
                </w:p>
              </w:tc>
              <w:tc>
                <w:tcPr>
                  <w:tcW w:w="1101"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23.82</w:t>
                  </w:r>
                  <w:r w:rsidRPr="00521453">
                    <w:rPr>
                      <w:rFonts w:ascii="Arial" w:eastAsia="Calibri" w:hAnsi="Arial" w:cs="Arial"/>
                      <w:sz w:val="18"/>
                      <w:szCs w:val="18"/>
                      <w:vertAlign w:val="superscript"/>
                    </w:rPr>
                    <w:t>b</w:t>
                  </w:r>
                </w:p>
              </w:tc>
              <w:tc>
                <w:tcPr>
                  <w:tcW w:w="826"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0.108</w:t>
                  </w:r>
                </w:p>
              </w:tc>
              <w:tc>
                <w:tcPr>
                  <w:tcW w:w="963" w:type="dxa"/>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*0.002</w:t>
                  </w:r>
                </w:p>
              </w:tc>
            </w:tr>
            <w:tr w:rsidR="003B11C8" w:rsidRPr="007E5116" w:rsidTr="001A6F23">
              <w:trPr>
                <w:trHeight w:val="272"/>
              </w:trPr>
              <w:tc>
                <w:tcPr>
                  <w:tcW w:w="2202"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CH</w:t>
                  </w:r>
                  <w:r w:rsidRPr="00521453">
                    <w:rPr>
                      <w:rFonts w:ascii="Arial" w:eastAsia="Calibri" w:hAnsi="Arial" w:cs="Arial"/>
                      <w:sz w:val="18"/>
                      <w:szCs w:val="18"/>
                      <w:vertAlign w:val="subscript"/>
                    </w:rPr>
                    <w:t>4</w:t>
                  </w:r>
                  <w:r w:rsidRPr="00521453">
                    <w:rPr>
                      <w:rFonts w:ascii="Arial" w:eastAsia="Calibri" w:hAnsi="Arial" w:cs="Arial"/>
                      <w:sz w:val="18"/>
                      <w:szCs w:val="18"/>
                    </w:rPr>
                    <w:t>;</w:t>
                  </w:r>
                  <w:r w:rsidRPr="00521453">
                    <w:rPr>
                      <w:rFonts w:ascii="Arial" w:eastAsia="Calibri" w:hAnsi="Arial" w:cs="Arial"/>
                      <w:sz w:val="18"/>
                      <w:szCs w:val="18"/>
                      <w:vertAlign w:val="subscript"/>
                    </w:rPr>
                    <w:t xml:space="preserve"> </w:t>
                  </w:r>
                  <w:r w:rsidRPr="00521453">
                    <w:rPr>
                      <w:rFonts w:ascii="Arial" w:eastAsia="Calibri" w:hAnsi="Arial" w:cs="Arial"/>
                      <w:sz w:val="18"/>
                      <w:szCs w:val="18"/>
                    </w:rPr>
                    <w:t>g/kg BW</w:t>
                  </w:r>
                </w:p>
              </w:tc>
              <w:tc>
                <w:tcPr>
                  <w:tcW w:w="1101"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0.47</w:t>
                  </w:r>
                  <w:r w:rsidRPr="00521453">
                    <w:rPr>
                      <w:rFonts w:ascii="Arial" w:eastAsia="Calibri" w:hAnsi="Arial" w:cs="Arial"/>
                      <w:sz w:val="18"/>
                      <w:szCs w:val="18"/>
                      <w:vertAlign w:val="superscript"/>
                    </w:rPr>
                    <w:t>a</w:t>
                  </w:r>
                </w:p>
              </w:tc>
              <w:tc>
                <w:tcPr>
                  <w:tcW w:w="1101"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0.44</w:t>
                  </w:r>
                  <w:r w:rsidRPr="00521453">
                    <w:rPr>
                      <w:rFonts w:ascii="Arial" w:eastAsia="Calibri" w:hAnsi="Arial" w:cs="Arial"/>
                      <w:sz w:val="18"/>
                      <w:szCs w:val="18"/>
                      <w:vertAlign w:val="superscript"/>
                    </w:rPr>
                    <w:t>b</w:t>
                  </w:r>
                </w:p>
              </w:tc>
              <w:tc>
                <w:tcPr>
                  <w:tcW w:w="1101"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0.43</w:t>
                  </w:r>
                  <w:r w:rsidRPr="00521453">
                    <w:rPr>
                      <w:rFonts w:ascii="Arial" w:eastAsia="Calibri" w:hAnsi="Arial" w:cs="Arial"/>
                      <w:sz w:val="18"/>
                      <w:szCs w:val="18"/>
                      <w:vertAlign w:val="superscript"/>
                    </w:rPr>
                    <w:t>b</w:t>
                  </w:r>
                </w:p>
              </w:tc>
              <w:tc>
                <w:tcPr>
                  <w:tcW w:w="826"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0.001</w:t>
                  </w:r>
                </w:p>
              </w:tc>
              <w:tc>
                <w:tcPr>
                  <w:tcW w:w="963"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r w:rsidRPr="00521453">
                    <w:rPr>
                      <w:rFonts w:ascii="Arial" w:eastAsia="Calibri" w:hAnsi="Arial" w:cs="Arial"/>
                      <w:sz w:val="18"/>
                      <w:szCs w:val="18"/>
                    </w:rPr>
                    <w:t>*0.005</w:t>
                  </w:r>
                </w:p>
              </w:tc>
            </w:tr>
            <w:tr w:rsidR="003B11C8" w:rsidRPr="007E5116" w:rsidTr="00453939">
              <w:trPr>
                <w:trHeight w:val="272"/>
              </w:trPr>
              <w:tc>
                <w:tcPr>
                  <w:tcW w:w="2202"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p>
              </w:tc>
              <w:tc>
                <w:tcPr>
                  <w:tcW w:w="1101"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p>
              </w:tc>
              <w:tc>
                <w:tcPr>
                  <w:tcW w:w="1101"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p>
              </w:tc>
              <w:tc>
                <w:tcPr>
                  <w:tcW w:w="1101"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p>
              </w:tc>
              <w:tc>
                <w:tcPr>
                  <w:tcW w:w="826"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p>
              </w:tc>
              <w:tc>
                <w:tcPr>
                  <w:tcW w:w="963" w:type="dxa"/>
                  <w:tcBorders>
                    <w:bottom w:val="single" w:sz="4" w:space="0" w:color="auto"/>
                  </w:tcBorders>
                  <w:shd w:val="clear" w:color="auto" w:fill="auto"/>
                </w:tcPr>
                <w:p w:rsidR="003B11C8" w:rsidRPr="00521453" w:rsidRDefault="003B11C8" w:rsidP="003B11C8">
                  <w:pPr>
                    <w:framePr w:hSpace="180" w:wrap="around" w:hAnchor="margin" w:xAlign="center" w:y="-1168"/>
                    <w:spacing w:after="0" w:line="240" w:lineRule="auto"/>
                    <w:jc w:val="both"/>
                    <w:rPr>
                      <w:rFonts w:ascii="Arial" w:eastAsia="Calibri" w:hAnsi="Arial" w:cs="Arial"/>
                      <w:sz w:val="18"/>
                      <w:szCs w:val="18"/>
                    </w:rPr>
                  </w:pPr>
                </w:p>
              </w:tc>
            </w:tr>
          </w:tbl>
          <w:p w:rsidR="00176BF8" w:rsidRPr="00176BF8" w:rsidRDefault="00176BF8" w:rsidP="00176BF8">
            <w:pPr>
              <w:jc w:val="both"/>
              <w:rPr>
                <w:rFonts w:ascii="Arial" w:eastAsia="Calibri" w:hAnsi="Arial" w:cs="Arial"/>
                <w:sz w:val="18"/>
                <w:szCs w:val="18"/>
              </w:rPr>
            </w:pPr>
            <w:r w:rsidRPr="00176BF8">
              <w:rPr>
                <w:rFonts w:ascii="Arial" w:eastAsia="Calibri" w:hAnsi="Arial" w:cs="Arial"/>
                <w:sz w:val="18"/>
                <w:szCs w:val="18"/>
              </w:rPr>
              <w:t>DMI = dry matter intake, ADG = Average daily gain, BW = body weight</w:t>
            </w:r>
          </w:p>
          <w:p w:rsidR="00176BF8" w:rsidRPr="00176BF8" w:rsidRDefault="00176BF8" w:rsidP="00176BF8">
            <w:pPr>
              <w:jc w:val="both"/>
              <w:rPr>
                <w:rFonts w:ascii="Arial" w:eastAsia="Calibri" w:hAnsi="Arial" w:cs="Arial"/>
                <w:sz w:val="18"/>
                <w:szCs w:val="18"/>
              </w:rPr>
            </w:pPr>
            <w:r w:rsidRPr="00176BF8">
              <w:rPr>
                <w:rFonts w:ascii="Arial" w:eastAsia="Calibri" w:hAnsi="Arial" w:cs="Arial"/>
                <w:b/>
                <w:sz w:val="18"/>
                <w:szCs w:val="18"/>
              </w:rPr>
              <w:t>Conclusion:</w:t>
            </w:r>
            <w:r w:rsidRPr="00176BF8">
              <w:rPr>
                <w:rFonts w:ascii="Arial" w:eastAsia="Calibri" w:hAnsi="Arial" w:cs="Arial"/>
                <w:sz w:val="18"/>
                <w:szCs w:val="18"/>
              </w:rPr>
              <w:t xml:space="preserve"> </w:t>
            </w:r>
            <w:r w:rsidR="00651AEF">
              <w:rPr>
                <w:rFonts w:ascii="Arial" w:eastAsia="Calibri" w:hAnsi="Arial" w:cs="Arial"/>
                <w:sz w:val="18"/>
                <w:szCs w:val="18"/>
              </w:rPr>
              <w:t>S</w:t>
            </w:r>
            <w:r w:rsidR="008C09A0" w:rsidRPr="008C09A0">
              <w:rPr>
                <w:rFonts w:ascii="Arial" w:eastAsia="Calibri" w:hAnsi="Arial" w:cs="Arial"/>
                <w:sz w:val="18"/>
                <w:szCs w:val="18"/>
              </w:rPr>
              <w:t>upplementing b</w:t>
            </w:r>
            <w:r w:rsidR="00D2199E">
              <w:rPr>
                <w:rFonts w:ascii="Arial" w:eastAsia="Calibri" w:hAnsi="Arial" w:cs="Arial"/>
                <w:sz w:val="18"/>
                <w:szCs w:val="18"/>
              </w:rPr>
              <w:t>eef cattle diets with either rapeseed oil</w:t>
            </w:r>
            <w:r w:rsidR="008C09A0" w:rsidRPr="008C09A0">
              <w:rPr>
                <w:rFonts w:ascii="Arial" w:eastAsia="Calibri" w:hAnsi="Arial" w:cs="Arial"/>
                <w:sz w:val="18"/>
                <w:szCs w:val="18"/>
              </w:rPr>
              <w:t xml:space="preserve"> or rapeseed cake resulted in a similar reduction in ruminal CH</w:t>
            </w:r>
            <w:r w:rsidR="008C09A0" w:rsidRPr="008C09A0">
              <w:rPr>
                <w:rFonts w:ascii="Arial" w:eastAsia="Calibri" w:hAnsi="Arial" w:cs="Arial"/>
                <w:sz w:val="18"/>
                <w:szCs w:val="18"/>
                <w:vertAlign w:val="subscript"/>
              </w:rPr>
              <w:t>4</w:t>
            </w:r>
            <w:r w:rsidR="008C09A0" w:rsidRPr="008C09A0">
              <w:rPr>
                <w:rFonts w:ascii="Arial" w:eastAsia="Calibri" w:hAnsi="Arial" w:cs="Arial"/>
                <w:sz w:val="18"/>
                <w:szCs w:val="18"/>
              </w:rPr>
              <w:t xml:space="preserve"> emissions of approximately 8% when compared with an </w:t>
            </w:r>
            <w:proofErr w:type="spellStart"/>
            <w:r w:rsidR="008C09A0" w:rsidRPr="008C09A0">
              <w:rPr>
                <w:rFonts w:ascii="Arial" w:eastAsia="Calibri" w:hAnsi="Arial" w:cs="Arial"/>
                <w:sz w:val="18"/>
                <w:szCs w:val="18"/>
              </w:rPr>
              <w:t>unsupplemente</w:t>
            </w:r>
            <w:r w:rsidR="00651AEF">
              <w:rPr>
                <w:rFonts w:ascii="Arial" w:eastAsia="Calibri" w:hAnsi="Arial" w:cs="Arial"/>
                <w:sz w:val="18"/>
                <w:szCs w:val="18"/>
              </w:rPr>
              <w:t>d</w:t>
            </w:r>
            <w:proofErr w:type="spellEnd"/>
            <w:r w:rsidR="00651AEF">
              <w:rPr>
                <w:rFonts w:ascii="Arial" w:eastAsia="Calibri" w:hAnsi="Arial" w:cs="Arial"/>
                <w:sz w:val="18"/>
                <w:szCs w:val="18"/>
              </w:rPr>
              <w:t xml:space="preserve"> control diet. Animals supplemented with RSO </w:t>
            </w:r>
            <w:r w:rsidR="008C09A0" w:rsidRPr="008C09A0">
              <w:rPr>
                <w:rFonts w:ascii="Arial" w:eastAsia="Calibri" w:hAnsi="Arial" w:cs="Arial"/>
                <w:sz w:val="18"/>
                <w:szCs w:val="18"/>
              </w:rPr>
              <w:t xml:space="preserve">achieved </w:t>
            </w:r>
            <w:r w:rsidR="0031087E">
              <w:rPr>
                <w:rFonts w:ascii="Arial" w:eastAsia="Calibri" w:hAnsi="Arial" w:cs="Arial"/>
                <w:sz w:val="18"/>
                <w:szCs w:val="18"/>
              </w:rPr>
              <w:t xml:space="preserve">this </w:t>
            </w:r>
            <w:r w:rsidR="008C09A0" w:rsidRPr="008C09A0">
              <w:rPr>
                <w:rFonts w:ascii="Arial" w:eastAsia="Calibri" w:hAnsi="Arial" w:cs="Arial"/>
                <w:sz w:val="18"/>
                <w:szCs w:val="18"/>
              </w:rPr>
              <w:t>without any nota</w:t>
            </w:r>
            <w:r w:rsidR="00227E9B">
              <w:rPr>
                <w:rFonts w:ascii="Arial" w:eastAsia="Calibri" w:hAnsi="Arial" w:cs="Arial"/>
                <w:sz w:val="18"/>
                <w:szCs w:val="18"/>
              </w:rPr>
              <w:t xml:space="preserve">ble effect on </w:t>
            </w:r>
            <w:r w:rsidR="007B5DB3">
              <w:rPr>
                <w:rFonts w:ascii="Arial" w:eastAsia="Calibri" w:hAnsi="Arial" w:cs="Arial"/>
                <w:sz w:val="18"/>
                <w:szCs w:val="18"/>
              </w:rPr>
              <w:t>performance, however RSC</w:t>
            </w:r>
            <w:r w:rsidR="0031087E">
              <w:rPr>
                <w:rFonts w:ascii="Arial" w:eastAsia="Calibri" w:hAnsi="Arial" w:cs="Arial"/>
                <w:sz w:val="18"/>
                <w:szCs w:val="18"/>
              </w:rPr>
              <w:t xml:space="preserve"> reduced ADG. Rapeseed derived ingredients</w:t>
            </w:r>
            <w:r w:rsidR="00651AEF">
              <w:rPr>
                <w:rFonts w:ascii="Arial" w:eastAsia="Calibri" w:hAnsi="Arial" w:cs="Arial"/>
                <w:sz w:val="18"/>
                <w:szCs w:val="18"/>
              </w:rPr>
              <w:t xml:space="preserve"> </w:t>
            </w:r>
            <w:r w:rsidR="008C09A0" w:rsidRPr="008C09A0">
              <w:rPr>
                <w:rFonts w:ascii="Arial" w:eastAsia="Calibri" w:hAnsi="Arial" w:cs="Arial"/>
                <w:sz w:val="18"/>
                <w:szCs w:val="18"/>
              </w:rPr>
              <w:t>a</w:t>
            </w:r>
            <w:r w:rsidR="00651AEF">
              <w:rPr>
                <w:rFonts w:ascii="Arial" w:eastAsia="Calibri" w:hAnsi="Arial" w:cs="Arial"/>
                <w:sz w:val="18"/>
                <w:szCs w:val="18"/>
              </w:rPr>
              <w:t>ltere</w:t>
            </w:r>
            <w:r w:rsidR="006741D8">
              <w:rPr>
                <w:rFonts w:ascii="Arial" w:eastAsia="Calibri" w:hAnsi="Arial" w:cs="Arial"/>
                <w:sz w:val="18"/>
                <w:szCs w:val="18"/>
              </w:rPr>
              <w:t>d HD</w:t>
            </w:r>
            <w:r w:rsidR="00227E9B">
              <w:rPr>
                <w:rFonts w:ascii="Arial" w:eastAsia="Calibri" w:hAnsi="Arial" w:cs="Arial"/>
                <w:sz w:val="18"/>
                <w:szCs w:val="18"/>
              </w:rPr>
              <w:t>L and LDL cholesterol concentrations</w:t>
            </w:r>
            <w:r w:rsidR="00CF3ADB">
              <w:rPr>
                <w:rFonts w:ascii="Arial" w:eastAsia="Calibri" w:hAnsi="Arial" w:cs="Arial"/>
                <w:sz w:val="18"/>
                <w:szCs w:val="18"/>
              </w:rPr>
              <w:t xml:space="preserve"> in</w:t>
            </w:r>
            <w:r w:rsidR="0031087E">
              <w:rPr>
                <w:rFonts w:ascii="Arial" w:eastAsia="Calibri" w:hAnsi="Arial" w:cs="Arial"/>
                <w:sz w:val="18"/>
                <w:szCs w:val="18"/>
              </w:rPr>
              <w:t xml:space="preserve"> the blood</w:t>
            </w:r>
            <w:r w:rsidR="008C09A0" w:rsidRPr="008C09A0">
              <w:rPr>
                <w:rFonts w:ascii="Arial" w:eastAsia="Calibri" w:hAnsi="Arial" w:cs="Arial"/>
                <w:sz w:val="18"/>
                <w:szCs w:val="18"/>
              </w:rPr>
              <w:t>.</w:t>
            </w:r>
            <w:r w:rsidR="00F56270">
              <w:rPr>
                <w:rFonts w:ascii="Arial" w:eastAsia="Calibri" w:hAnsi="Arial" w:cs="Arial"/>
                <w:sz w:val="18"/>
                <w:szCs w:val="18"/>
              </w:rPr>
              <w:t xml:space="preserve"> Rapeseed oil </w:t>
            </w:r>
            <w:r w:rsidR="00F62CDD">
              <w:rPr>
                <w:rFonts w:ascii="Arial" w:hAnsi="Arial" w:cs="Arial"/>
                <w:sz w:val="18"/>
                <w:szCs w:val="18"/>
              </w:rPr>
              <w:t>has</w:t>
            </w:r>
            <w:r w:rsidR="0031087E" w:rsidRPr="0031087E">
              <w:rPr>
                <w:rFonts w:ascii="Arial" w:hAnsi="Arial" w:cs="Arial"/>
                <w:sz w:val="18"/>
                <w:szCs w:val="18"/>
              </w:rPr>
              <w:t xml:space="preserve"> potential as </w:t>
            </w:r>
            <w:r w:rsidR="00227E9B">
              <w:rPr>
                <w:rFonts w:ascii="Arial" w:hAnsi="Arial" w:cs="Arial"/>
                <w:sz w:val="18"/>
                <w:szCs w:val="18"/>
              </w:rPr>
              <w:t xml:space="preserve">an </w:t>
            </w:r>
            <w:r w:rsidR="0031087E" w:rsidRPr="0031087E">
              <w:rPr>
                <w:rFonts w:ascii="Arial" w:hAnsi="Arial" w:cs="Arial"/>
                <w:sz w:val="18"/>
                <w:szCs w:val="18"/>
              </w:rPr>
              <w:t>anti-methanogenic feed supplement with no impact on animal performance</w:t>
            </w:r>
            <w:r w:rsidR="0031087E">
              <w:rPr>
                <w:rFonts w:ascii="Arial" w:hAnsi="Arial" w:cs="Arial"/>
                <w:sz w:val="18"/>
                <w:szCs w:val="18"/>
              </w:rPr>
              <w:t>,</w:t>
            </w:r>
            <w:r w:rsidR="00247DCA">
              <w:rPr>
                <w:rFonts w:ascii="Arial" w:hAnsi="Arial" w:cs="Arial"/>
                <w:sz w:val="18"/>
                <w:szCs w:val="18"/>
              </w:rPr>
              <w:t xml:space="preserve"> </w:t>
            </w:r>
            <w:r w:rsidR="00F00D72">
              <w:rPr>
                <w:rFonts w:ascii="Arial" w:hAnsi="Arial" w:cs="Arial"/>
                <w:sz w:val="18"/>
                <w:szCs w:val="18"/>
              </w:rPr>
              <w:t xml:space="preserve">showing consistent efficacy over the duration of </w:t>
            </w:r>
            <w:r w:rsidR="00247DCA">
              <w:rPr>
                <w:rFonts w:ascii="Arial" w:hAnsi="Arial" w:cs="Arial"/>
                <w:sz w:val="18"/>
                <w:szCs w:val="18"/>
              </w:rPr>
              <w:t xml:space="preserve">the experiment </w:t>
            </w:r>
            <w:r w:rsidR="0031087E" w:rsidRPr="0031087E">
              <w:rPr>
                <w:rFonts w:ascii="Arial" w:hAnsi="Arial" w:cs="Arial"/>
                <w:sz w:val="18"/>
                <w:szCs w:val="18"/>
              </w:rPr>
              <w:t>and expeditious implementation due to no regulatory approval requirements.</w:t>
            </w:r>
          </w:p>
          <w:p w:rsidR="00176BF8" w:rsidRPr="00176BF8" w:rsidRDefault="00176BF8" w:rsidP="00176BF8">
            <w:pPr>
              <w:jc w:val="both"/>
              <w:rPr>
                <w:rFonts w:ascii="Arial" w:eastAsia="Calibri" w:hAnsi="Arial" w:cs="Arial"/>
                <w:sz w:val="18"/>
                <w:szCs w:val="18"/>
              </w:rPr>
            </w:pPr>
            <w:r w:rsidRPr="00176BF8">
              <w:rPr>
                <w:rFonts w:ascii="Arial" w:eastAsia="Calibri" w:hAnsi="Arial" w:cs="Arial"/>
                <w:b/>
                <w:sz w:val="18"/>
                <w:szCs w:val="18"/>
              </w:rPr>
              <w:t xml:space="preserve">Acknowledgements: </w:t>
            </w:r>
            <w:r w:rsidRPr="00176BF8">
              <w:rPr>
                <w:rFonts w:ascii="Arial" w:eastAsia="Calibri" w:hAnsi="Arial" w:cs="Arial"/>
                <w:sz w:val="18"/>
                <w:szCs w:val="18"/>
              </w:rPr>
              <w:t>This research is part of the ‘Integrity’ project funded by ‘DAFM through the ERA-GAS (Circularity) call (Contract no. 2021EN907).</w:t>
            </w:r>
          </w:p>
          <w:p w:rsidR="00176BF8" w:rsidRPr="00176BF8" w:rsidRDefault="00176BF8" w:rsidP="00176BF8">
            <w:pPr>
              <w:spacing w:after="0"/>
              <w:jc w:val="both"/>
              <w:rPr>
                <w:rFonts w:ascii="Arial" w:eastAsia="Calibri" w:hAnsi="Arial" w:cs="Arial"/>
                <w:b/>
                <w:sz w:val="18"/>
                <w:szCs w:val="18"/>
              </w:rPr>
            </w:pPr>
            <w:r w:rsidRPr="00176BF8">
              <w:rPr>
                <w:rFonts w:ascii="Arial" w:eastAsia="Calibri" w:hAnsi="Arial" w:cs="Arial"/>
                <w:b/>
                <w:sz w:val="18"/>
                <w:szCs w:val="18"/>
              </w:rPr>
              <w:t>References</w:t>
            </w:r>
          </w:p>
          <w:p w:rsidR="00176BF8" w:rsidRPr="00176BF8" w:rsidRDefault="00176BF8" w:rsidP="00176BF8">
            <w:pPr>
              <w:spacing w:after="0"/>
              <w:jc w:val="both"/>
              <w:rPr>
                <w:rFonts w:ascii="Arial" w:eastAsia="Calibri" w:hAnsi="Arial" w:cs="Arial"/>
                <w:sz w:val="18"/>
                <w:szCs w:val="18"/>
              </w:rPr>
            </w:pPr>
            <w:proofErr w:type="spellStart"/>
            <w:r w:rsidRPr="00176BF8">
              <w:rPr>
                <w:rFonts w:ascii="Arial" w:eastAsia="Calibri" w:hAnsi="Arial" w:cs="Arial"/>
                <w:sz w:val="18"/>
                <w:szCs w:val="18"/>
              </w:rPr>
              <w:t>Bayat</w:t>
            </w:r>
            <w:proofErr w:type="spellEnd"/>
            <w:r w:rsidRPr="00176BF8">
              <w:rPr>
                <w:rFonts w:ascii="Arial" w:eastAsia="Calibri" w:hAnsi="Arial" w:cs="Arial"/>
                <w:sz w:val="18"/>
                <w:szCs w:val="18"/>
              </w:rPr>
              <w:t xml:space="preserve">, A., </w:t>
            </w:r>
            <w:proofErr w:type="spellStart"/>
            <w:r w:rsidRPr="00176BF8">
              <w:rPr>
                <w:rFonts w:ascii="Arial" w:eastAsia="Calibri" w:hAnsi="Arial" w:cs="Arial"/>
                <w:sz w:val="18"/>
                <w:szCs w:val="18"/>
              </w:rPr>
              <w:t>Vilkki</w:t>
            </w:r>
            <w:proofErr w:type="spellEnd"/>
            <w:r w:rsidRPr="00176BF8">
              <w:rPr>
                <w:rFonts w:ascii="Arial" w:eastAsia="Calibri" w:hAnsi="Arial" w:cs="Arial"/>
                <w:sz w:val="18"/>
                <w:szCs w:val="18"/>
              </w:rPr>
              <w:t xml:space="preserve">, J., </w:t>
            </w:r>
            <w:proofErr w:type="spellStart"/>
            <w:r w:rsidRPr="00176BF8">
              <w:rPr>
                <w:rFonts w:ascii="Arial" w:eastAsia="Calibri" w:hAnsi="Arial" w:cs="Arial"/>
                <w:sz w:val="18"/>
                <w:szCs w:val="18"/>
              </w:rPr>
              <w:t>Razzaghi</w:t>
            </w:r>
            <w:proofErr w:type="spellEnd"/>
            <w:r w:rsidRPr="00176BF8">
              <w:rPr>
                <w:rFonts w:ascii="Arial" w:eastAsia="Calibri" w:hAnsi="Arial" w:cs="Arial"/>
                <w:sz w:val="18"/>
                <w:szCs w:val="18"/>
              </w:rPr>
              <w:t xml:space="preserve">, A., </w:t>
            </w:r>
            <w:proofErr w:type="spellStart"/>
            <w:r w:rsidRPr="00176BF8">
              <w:rPr>
                <w:rFonts w:ascii="Arial" w:eastAsia="Calibri" w:hAnsi="Arial" w:cs="Arial"/>
                <w:sz w:val="18"/>
                <w:szCs w:val="18"/>
              </w:rPr>
              <w:t>Leskinen</w:t>
            </w:r>
            <w:proofErr w:type="spellEnd"/>
            <w:r w:rsidRPr="00176BF8">
              <w:rPr>
                <w:rFonts w:ascii="Arial" w:eastAsia="Calibri" w:hAnsi="Arial" w:cs="Arial"/>
                <w:sz w:val="18"/>
                <w:szCs w:val="18"/>
              </w:rPr>
              <w:t xml:space="preserve">, H., </w:t>
            </w:r>
            <w:proofErr w:type="spellStart"/>
            <w:r w:rsidRPr="00176BF8">
              <w:rPr>
                <w:rFonts w:ascii="Arial" w:eastAsia="Calibri" w:hAnsi="Arial" w:cs="Arial"/>
                <w:sz w:val="18"/>
                <w:szCs w:val="18"/>
              </w:rPr>
              <w:t>Kettunen</w:t>
            </w:r>
            <w:proofErr w:type="spellEnd"/>
            <w:r w:rsidRPr="00176BF8">
              <w:rPr>
                <w:rFonts w:ascii="Arial" w:eastAsia="Calibri" w:hAnsi="Arial" w:cs="Arial"/>
                <w:sz w:val="18"/>
                <w:szCs w:val="18"/>
              </w:rPr>
              <w:t xml:space="preserve">, H., </w:t>
            </w:r>
            <w:proofErr w:type="spellStart"/>
            <w:r w:rsidRPr="00176BF8">
              <w:rPr>
                <w:rFonts w:ascii="Arial" w:eastAsia="Calibri" w:hAnsi="Arial" w:cs="Arial"/>
                <w:sz w:val="18"/>
                <w:szCs w:val="18"/>
              </w:rPr>
              <w:t>Khurana</w:t>
            </w:r>
            <w:proofErr w:type="spellEnd"/>
            <w:r w:rsidRPr="00176BF8">
              <w:rPr>
                <w:rFonts w:ascii="Arial" w:eastAsia="Calibri" w:hAnsi="Arial" w:cs="Arial"/>
                <w:sz w:val="18"/>
                <w:szCs w:val="18"/>
              </w:rPr>
              <w:t xml:space="preserve">, R., Brand, T. and </w:t>
            </w:r>
            <w:proofErr w:type="spellStart"/>
            <w:r w:rsidRPr="00176BF8">
              <w:rPr>
                <w:rFonts w:ascii="Arial" w:eastAsia="Calibri" w:hAnsi="Arial" w:cs="Arial"/>
                <w:sz w:val="18"/>
                <w:szCs w:val="18"/>
              </w:rPr>
              <w:t>Ahvenjärvi</w:t>
            </w:r>
            <w:proofErr w:type="spellEnd"/>
            <w:r w:rsidRPr="00176BF8">
              <w:rPr>
                <w:rFonts w:ascii="Arial" w:eastAsia="Calibri" w:hAnsi="Arial" w:cs="Arial"/>
                <w:sz w:val="18"/>
                <w:szCs w:val="18"/>
              </w:rPr>
              <w:t>, S. 2022. Journal of Dairy Science, 105(2), 1211-1224.</w:t>
            </w:r>
          </w:p>
          <w:p w:rsidR="00176BF8" w:rsidRPr="00176BF8" w:rsidRDefault="00176BF8" w:rsidP="00176BF8">
            <w:pPr>
              <w:spacing w:after="0"/>
              <w:jc w:val="both"/>
              <w:rPr>
                <w:rFonts w:ascii="Arial" w:eastAsia="Calibri" w:hAnsi="Arial" w:cs="Arial"/>
                <w:sz w:val="18"/>
                <w:szCs w:val="18"/>
              </w:rPr>
            </w:pPr>
            <w:r w:rsidRPr="00176BF8">
              <w:rPr>
                <w:rFonts w:ascii="Arial" w:eastAsia="Calibri" w:hAnsi="Arial" w:cs="Arial"/>
                <w:sz w:val="18"/>
                <w:szCs w:val="18"/>
              </w:rPr>
              <w:t>Hess, B., Moss, G. and Rule, D. 2008. Journal of Animal Science, 86(14), 188-204.</w:t>
            </w:r>
          </w:p>
          <w:p w:rsidR="00176BF8" w:rsidRPr="00176BF8" w:rsidRDefault="00176BF8" w:rsidP="00176BF8">
            <w:pPr>
              <w:autoSpaceDE w:val="0"/>
              <w:autoSpaceDN w:val="0"/>
              <w:adjustRightInd w:val="0"/>
              <w:spacing w:after="0" w:line="240" w:lineRule="auto"/>
              <w:rPr>
                <w:rFonts w:ascii="Arial" w:eastAsia="Calibri" w:hAnsi="Arial" w:cs="Arial"/>
                <w:sz w:val="18"/>
                <w:szCs w:val="18"/>
                <w:lang w:val="en-US"/>
              </w:rPr>
            </w:pPr>
            <w:proofErr w:type="spellStart"/>
            <w:r w:rsidRPr="00176BF8">
              <w:rPr>
                <w:rFonts w:ascii="Arial" w:eastAsia="Calibri" w:hAnsi="Arial" w:cs="Arial"/>
                <w:sz w:val="18"/>
                <w:szCs w:val="18"/>
              </w:rPr>
              <w:t>Lewinska</w:t>
            </w:r>
            <w:proofErr w:type="spellEnd"/>
            <w:r w:rsidRPr="00176BF8">
              <w:rPr>
                <w:rFonts w:ascii="Arial" w:eastAsia="Calibri" w:hAnsi="Arial" w:cs="Arial"/>
                <w:sz w:val="18"/>
                <w:szCs w:val="18"/>
              </w:rPr>
              <w:t xml:space="preserve">, A., </w:t>
            </w:r>
            <w:proofErr w:type="spellStart"/>
            <w:r w:rsidRPr="00176BF8">
              <w:rPr>
                <w:rFonts w:ascii="Arial" w:eastAsia="Calibri" w:hAnsi="Arial" w:cs="Arial"/>
                <w:sz w:val="18"/>
                <w:szCs w:val="18"/>
              </w:rPr>
              <w:t>Zebrowski</w:t>
            </w:r>
            <w:proofErr w:type="spellEnd"/>
            <w:r w:rsidRPr="00176BF8">
              <w:rPr>
                <w:rFonts w:ascii="Arial" w:eastAsia="Calibri" w:hAnsi="Arial" w:cs="Arial"/>
                <w:sz w:val="18"/>
                <w:szCs w:val="18"/>
              </w:rPr>
              <w:t xml:space="preserve">, J., </w:t>
            </w:r>
            <w:proofErr w:type="spellStart"/>
            <w:r w:rsidRPr="00176BF8">
              <w:rPr>
                <w:rFonts w:ascii="Arial" w:eastAsia="Calibri" w:hAnsi="Arial" w:cs="Arial"/>
                <w:sz w:val="18"/>
                <w:szCs w:val="18"/>
              </w:rPr>
              <w:t>Duda</w:t>
            </w:r>
            <w:proofErr w:type="spellEnd"/>
            <w:r w:rsidRPr="00176BF8">
              <w:rPr>
                <w:rFonts w:ascii="Arial" w:eastAsia="Calibri" w:hAnsi="Arial" w:cs="Arial"/>
                <w:sz w:val="18"/>
                <w:szCs w:val="18"/>
              </w:rPr>
              <w:t xml:space="preserve">, M., </w:t>
            </w:r>
            <w:proofErr w:type="spellStart"/>
            <w:r w:rsidRPr="00176BF8">
              <w:rPr>
                <w:rFonts w:ascii="Arial" w:eastAsia="Calibri" w:hAnsi="Arial" w:cs="Arial"/>
                <w:sz w:val="18"/>
                <w:szCs w:val="18"/>
              </w:rPr>
              <w:t>Gorka</w:t>
            </w:r>
            <w:proofErr w:type="spellEnd"/>
            <w:r w:rsidRPr="00176BF8">
              <w:rPr>
                <w:rFonts w:ascii="Arial" w:eastAsia="Calibri" w:hAnsi="Arial" w:cs="Arial"/>
                <w:sz w:val="18"/>
                <w:szCs w:val="18"/>
              </w:rPr>
              <w:t xml:space="preserve">, A. and </w:t>
            </w:r>
            <w:proofErr w:type="spellStart"/>
            <w:r w:rsidRPr="00176BF8">
              <w:rPr>
                <w:rFonts w:ascii="Arial" w:eastAsia="Calibri" w:hAnsi="Arial" w:cs="Arial"/>
                <w:sz w:val="18"/>
                <w:szCs w:val="18"/>
              </w:rPr>
              <w:t>Wnuk</w:t>
            </w:r>
            <w:proofErr w:type="spellEnd"/>
            <w:r w:rsidRPr="00176BF8">
              <w:rPr>
                <w:rFonts w:ascii="Arial" w:eastAsia="Calibri" w:hAnsi="Arial" w:cs="Arial"/>
                <w:sz w:val="18"/>
                <w:szCs w:val="18"/>
              </w:rPr>
              <w:t>, M. 2015. Molecules, 2</w:t>
            </w:r>
            <w:bookmarkStart w:id="0" w:name="_GoBack"/>
            <w:bookmarkEnd w:id="0"/>
            <w:r w:rsidRPr="00176BF8">
              <w:rPr>
                <w:rFonts w:ascii="Arial" w:eastAsia="Calibri" w:hAnsi="Arial" w:cs="Arial"/>
                <w:sz w:val="18"/>
                <w:szCs w:val="18"/>
              </w:rPr>
              <w:t>0(12), 22872-22880.</w:t>
            </w:r>
          </w:p>
        </w:tc>
      </w:tr>
    </w:tbl>
    <w:p w:rsidR="00A0760B" w:rsidRPr="00453939" w:rsidRDefault="000E2DA3">
      <w:pPr>
        <w:rPr>
          <w:sz w:val="4"/>
          <w:szCs w:val="4"/>
        </w:rPr>
      </w:pPr>
    </w:p>
    <w:sectPr w:rsidR="00A0760B" w:rsidRPr="004539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F8"/>
    <w:rsid w:val="00026D4C"/>
    <w:rsid w:val="00066A99"/>
    <w:rsid w:val="00097101"/>
    <w:rsid w:val="000F3EB1"/>
    <w:rsid w:val="00176BF8"/>
    <w:rsid w:val="002247E5"/>
    <w:rsid w:val="00227E9B"/>
    <w:rsid w:val="00247DCA"/>
    <w:rsid w:val="002E370B"/>
    <w:rsid w:val="0031087E"/>
    <w:rsid w:val="003A53C8"/>
    <w:rsid w:val="003B11C8"/>
    <w:rsid w:val="003B7F7D"/>
    <w:rsid w:val="00413A46"/>
    <w:rsid w:val="00453939"/>
    <w:rsid w:val="004633F1"/>
    <w:rsid w:val="004637DE"/>
    <w:rsid w:val="004A5BF7"/>
    <w:rsid w:val="00521453"/>
    <w:rsid w:val="00572C6D"/>
    <w:rsid w:val="005B7621"/>
    <w:rsid w:val="005F4C8E"/>
    <w:rsid w:val="00637E6A"/>
    <w:rsid w:val="006454E9"/>
    <w:rsid w:val="00651AEF"/>
    <w:rsid w:val="006741D8"/>
    <w:rsid w:val="007B5DB3"/>
    <w:rsid w:val="007E5116"/>
    <w:rsid w:val="007F10DA"/>
    <w:rsid w:val="00812A8E"/>
    <w:rsid w:val="0085268C"/>
    <w:rsid w:val="008A3527"/>
    <w:rsid w:val="008C09A0"/>
    <w:rsid w:val="008D66A0"/>
    <w:rsid w:val="00920775"/>
    <w:rsid w:val="009A1C64"/>
    <w:rsid w:val="009E51EC"/>
    <w:rsid w:val="00A454E5"/>
    <w:rsid w:val="00A56154"/>
    <w:rsid w:val="00A74D7B"/>
    <w:rsid w:val="00A921D0"/>
    <w:rsid w:val="00A96AA5"/>
    <w:rsid w:val="00B325A1"/>
    <w:rsid w:val="00CF3ADB"/>
    <w:rsid w:val="00D2199E"/>
    <w:rsid w:val="00D253BB"/>
    <w:rsid w:val="00D31C44"/>
    <w:rsid w:val="00D52CFA"/>
    <w:rsid w:val="00DE35AE"/>
    <w:rsid w:val="00E0136C"/>
    <w:rsid w:val="00E22A80"/>
    <w:rsid w:val="00E92E7F"/>
    <w:rsid w:val="00EC1B85"/>
    <w:rsid w:val="00EE071F"/>
    <w:rsid w:val="00EF7703"/>
    <w:rsid w:val="00F00D72"/>
    <w:rsid w:val="00F56270"/>
    <w:rsid w:val="00F62CDD"/>
    <w:rsid w:val="00FA158C"/>
    <w:rsid w:val="00FF2BC4"/>
    <w:rsid w:val="00FF33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6DC4"/>
  <w15:chartTrackingRefBased/>
  <w15:docId w15:val="{87B59DD9-0BA2-4A50-A24A-99428724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6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1911">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355009028">
      <w:bodyDiv w:val="1"/>
      <w:marLeft w:val="0"/>
      <w:marRight w:val="0"/>
      <w:marTop w:val="0"/>
      <w:marBottom w:val="0"/>
      <w:divBdr>
        <w:top w:val="none" w:sz="0" w:space="0" w:color="auto"/>
        <w:left w:val="none" w:sz="0" w:space="0" w:color="auto"/>
        <w:bottom w:val="none" w:sz="0" w:space="0" w:color="auto"/>
        <w:right w:val="none" w:sz="0" w:space="0" w:color="auto"/>
      </w:divBdr>
    </w:div>
    <w:div w:id="614867077">
      <w:bodyDiv w:val="1"/>
      <w:marLeft w:val="0"/>
      <w:marRight w:val="0"/>
      <w:marTop w:val="0"/>
      <w:marBottom w:val="0"/>
      <w:divBdr>
        <w:top w:val="none" w:sz="0" w:space="0" w:color="auto"/>
        <w:left w:val="none" w:sz="0" w:space="0" w:color="auto"/>
        <w:bottom w:val="none" w:sz="0" w:space="0" w:color="auto"/>
        <w:right w:val="none" w:sz="0" w:space="0" w:color="auto"/>
      </w:divBdr>
    </w:div>
    <w:div w:id="971179974">
      <w:bodyDiv w:val="1"/>
      <w:marLeft w:val="0"/>
      <w:marRight w:val="0"/>
      <w:marTop w:val="0"/>
      <w:marBottom w:val="0"/>
      <w:divBdr>
        <w:top w:val="none" w:sz="0" w:space="0" w:color="auto"/>
        <w:left w:val="none" w:sz="0" w:space="0" w:color="auto"/>
        <w:bottom w:val="none" w:sz="0" w:space="0" w:color="auto"/>
        <w:right w:val="none" w:sz="0" w:space="0" w:color="auto"/>
      </w:divBdr>
    </w:div>
    <w:div w:id="1218123902">
      <w:bodyDiv w:val="1"/>
      <w:marLeft w:val="0"/>
      <w:marRight w:val="0"/>
      <w:marTop w:val="0"/>
      <w:marBottom w:val="0"/>
      <w:divBdr>
        <w:top w:val="none" w:sz="0" w:space="0" w:color="auto"/>
        <w:left w:val="none" w:sz="0" w:space="0" w:color="auto"/>
        <w:bottom w:val="none" w:sz="0" w:space="0" w:color="auto"/>
        <w:right w:val="none" w:sz="0" w:space="0" w:color="auto"/>
      </w:divBdr>
    </w:div>
    <w:div w:id="1281569263">
      <w:bodyDiv w:val="1"/>
      <w:marLeft w:val="0"/>
      <w:marRight w:val="0"/>
      <w:marTop w:val="0"/>
      <w:marBottom w:val="0"/>
      <w:divBdr>
        <w:top w:val="none" w:sz="0" w:space="0" w:color="auto"/>
        <w:left w:val="none" w:sz="0" w:space="0" w:color="auto"/>
        <w:bottom w:val="none" w:sz="0" w:space="0" w:color="auto"/>
        <w:right w:val="none" w:sz="0" w:space="0" w:color="auto"/>
      </w:divBdr>
    </w:div>
    <w:div w:id="1519852617">
      <w:bodyDiv w:val="1"/>
      <w:marLeft w:val="0"/>
      <w:marRight w:val="0"/>
      <w:marTop w:val="0"/>
      <w:marBottom w:val="0"/>
      <w:divBdr>
        <w:top w:val="none" w:sz="0" w:space="0" w:color="auto"/>
        <w:left w:val="none" w:sz="0" w:space="0" w:color="auto"/>
        <w:bottom w:val="none" w:sz="0" w:space="0" w:color="auto"/>
        <w:right w:val="none" w:sz="0" w:space="0" w:color="auto"/>
      </w:divBdr>
    </w:div>
    <w:div w:id="1717123736">
      <w:bodyDiv w:val="1"/>
      <w:marLeft w:val="0"/>
      <w:marRight w:val="0"/>
      <w:marTop w:val="0"/>
      <w:marBottom w:val="0"/>
      <w:divBdr>
        <w:top w:val="none" w:sz="0" w:space="0" w:color="auto"/>
        <w:left w:val="none" w:sz="0" w:space="0" w:color="auto"/>
        <w:bottom w:val="none" w:sz="0" w:space="0" w:color="auto"/>
        <w:right w:val="none" w:sz="0" w:space="0" w:color="auto"/>
      </w:divBdr>
    </w:div>
    <w:div w:id="1819109917">
      <w:bodyDiv w:val="1"/>
      <w:marLeft w:val="0"/>
      <w:marRight w:val="0"/>
      <w:marTop w:val="0"/>
      <w:marBottom w:val="0"/>
      <w:divBdr>
        <w:top w:val="none" w:sz="0" w:space="0" w:color="auto"/>
        <w:left w:val="none" w:sz="0" w:space="0" w:color="auto"/>
        <w:bottom w:val="none" w:sz="0" w:space="0" w:color="auto"/>
        <w:right w:val="none" w:sz="0" w:space="0" w:color="auto"/>
      </w:divBdr>
    </w:div>
    <w:div w:id="189761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Folliard (Walsh Scholar)</dc:creator>
  <cp:keywords/>
  <dc:description/>
  <cp:lastModifiedBy>Neal Folliard (Walsh Scholar)</cp:lastModifiedBy>
  <cp:revision>2</cp:revision>
  <cp:lastPrinted>2024-01-12T17:37:00Z</cp:lastPrinted>
  <dcterms:created xsi:type="dcterms:W3CDTF">2024-01-12T17:55:00Z</dcterms:created>
  <dcterms:modified xsi:type="dcterms:W3CDTF">2024-01-12T17:55:00Z</dcterms:modified>
</cp:coreProperties>
</file>