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28C68" w14:textId="3EF996B1" w:rsidR="0099665B" w:rsidRDefault="0099665B" w:rsidP="001238BA">
      <w:pPr>
        <w:jc w:val="both"/>
        <w:rPr>
          <w:rFonts w:ascii="Times New Roman" w:hAnsi="Times New Roman" w:cs="Times New Roman"/>
          <w:b/>
          <w:bCs/>
          <w:sz w:val="20"/>
          <w:szCs w:val="20"/>
        </w:rPr>
      </w:pPr>
      <w:r>
        <w:rPr>
          <w:rFonts w:ascii="Times New Roman" w:hAnsi="Times New Roman" w:cs="Times New Roman"/>
          <w:b/>
          <w:bCs/>
          <w:sz w:val="20"/>
          <w:szCs w:val="20"/>
        </w:rPr>
        <w:t xml:space="preserve">The impact of incorporating </w:t>
      </w:r>
      <w:r w:rsidRPr="0099665B">
        <w:rPr>
          <w:rFonts w:ascii="Times New Roman" w:hAnsi="Times New Roman" w:cs="Times New Roman"/>
          <w:b/>
          <w:bCs/>
          <w:sz w:val="20"/>
          <w:szCs w:val="20"/>
        </w:rPr>
        <w:t xml:space="preserve">ribwort plantain </w:t>
      </w:r>
      <w:r>
        <w:rPr>
          <w:rFonts w:ascii="Times New Roman" w:hAnsi="Times New Roman" w:cs="Times New Roman"/>
          <w:b/>
          <w:bCs/>
          <w:sz w:val="20"/>
          <w:szCs w:val="20"/>
        </w:rPr>
        <w:t xml:space="preserve">into perennial ryegrass swards on the performance of </w:t>
      </w:r>
      <w:r w:rsidRPr="0099665B">
        <w:rPr>
          <w:rFonts w:ascii="Times New Roman" w:hAnsi="Times New Roman" w:cs="Times New Roman"/>
          <w:b/>
          <w:bCs/>
          <w:sz w:val="20"/>
          <w:szCs w:val="20"/>
        </w:rPr>
        <w:t>high-yielding dairy cows</w:t>
      </w:r>
    </w:p>
    <w:p w14:paraId="2686B781" w14:textId="4BB1807D" w:rsidR="00F86525" w:rsidRPr="0013560C" w:rsidRDefault="00F86525" w:rsidP="001238BA">
      <w:pPr>
        <w:jc w:val="both"/>
        <w:rPr>
          <w:rFonts w:ascii="Times New Roman" w:hAnsi="Times New Roman" w:cs="Times New Roman"/>
          <w:sz w:val="20"/>
          <w:szCs w:val="20"/>
        </w:rPr>
      </w:pPr>
      <w:r w:rsidRPr="0013560C">
        <w:rPr>
          <w:rFonts w:ascii="Times New Roman" w:hAnsi="Times New Roman" w:cs="Times New Roman"/>
          <w:b/>
          <w:bCs/>
          <w:sz w:val="20"/>
          <w:szCs w:val="20"/>
        </w:rPr>
        <w:t>Authors:</w:t>
      </w:r>
      <w:r w:rsidRPr="0013560C">
        <w:rPr>
          <w:rFonts w:ascii="Times New Roman" w:hAnsi="Times New Roman" w:cs="Times New Roman"/>
          <w:sz w:val="20"/>
          <w:szCs w:val="20"/>
        </w:rPr>
        <w:t xml:space="preserve"> Rutherford, N.H., </w:t>
      </w:r>
      <w:r w:rsidR="0099665B" w:rsidRPr="0013560C">
        <w:rPr>
          <w:rFonts w:ascii="Times New Roman" w:hAnsi="Times New Roman" w:cs="Times New Roman"/>
          <w:sz w:val="20"/>
          <w:szCs w:val="20"/>
        </w:rPr>
        <w:t>Chesney L., Holohan C., Patterson J.D.</w:t>
      </w:r>
    </w:p>
    <w:p w14:paraId="77F52DEF" w14:textId="62B7BBFA" w:rsidR="00F86525" w:rsidRPr="0013560C" w:rsidRDefault="00F86525" w:rsidP="001238BA">
      <w:pPr>
        <w:jc w:val="both"/>
        <w:rPr>
          <w:rFonts w:ascii="Times New Roman" w:hAnsi="Times New Roman" w:cs="Times New Roman"/>
          <w:sz w:val="20"/>
          <w:szCs w:val="20"/>
        </w:rPr>
      </w:pPr>
      <w:r w:rsidRPr="0013560C">
        <w:rPr>
          <w:rFonts w:ascii="Times New Roman" w:hAnsi="Times New Roman" w:cs="Times New Roman"/>
          <w:b/>
          <w:bCs/>
          <w:sz w:val="20"/>
          <w:szCs w:val="20"/>
        </w:rPr>
        <w:t>Application:</w:t>
      </w:r>
      <w:r w:rsidR="00D878AA" w:rsidRPr="0013560C">
        <w:rPr>
          <w:rFonts w:ascii="Times New Roman" w:hAnsi="Times New Roman" w:cs="Times New Roman"/>
          <w:sz w:val="20"/>
          <w:szCs w:val="20"/>
        </w:rPr>
        <w:t xml:space="preserve"> Similar levels of cow performance can be achieved when grazing plantain-ryegrass swards and perennial ryegrass swards. </w:t>
      </w:r>
    </w:p>
    <w:p w14:paraId="0D13E661" w14:textId="77981E4B" w:rsidR="001238BA" w:rsidRPr="0013560C" w:rsidRDefault="00F86525" w:rsidP="001238BA">
      <w:pPr>
        <w:jc w:val="both"/>
        <w:rPr>
          <w:rFonts w:ascii="Times New Roman" w:hAnsi="Times New Roman" w:cs="Times New Roman"/>
          <w:sz w:val="20"/>
          <w:szCs w:val="20"/>
        </w:rPr>
      </w:pPr>
      <w:r w:rsidRPr="0013560C">
        <w:rPr>
          <w:rFonts w:ascii="Times New Roman" w:hAnsi="Times New Roman" w:cs="Times New Roman"/>
          <w:b/>
          <w:bCs/>
          <w:sz w:val="20"/>
          <w:szCs w:val="20"/>
        </w:rPr>
        <w:t>Introduction</w:t>
      </w:r>
      <w:r w:rsidRPr="0013560C">
        <w:rPr>
          <w:rFonts w:ascii="Times New Roman" w:hAnsi="Times New Roman" w:cs="Times New Roman"/>
          <w:sz w:val="20"/>
          <w:szCs w:val="20"/>
        </w:rPr>
        <w:t xml:space="preserve">: </w:t>
      </w:r>
      <w:r w:rsidR="0099665B" w:rsidRPr="0013560C">
        <w:rPr>
          <w:rFonts w:ascii="Times New Roman" w:hAnsi="Times New Roman" w:cs="Times New Roman"/>
          <w:sz w:val="20"/>
          <w:szCs w:val="20"/>
        </w:rPr>
        <w:t xml:space="preserve">In </w:t>
      </w:r>
      <w:r w:rsidR="00C009EC" w:rsidRPr="0013560C">
        <w:rPr>
          <w:rFonts w:ascii="Times New Roman" w:hAnsi="Times New Roman" w:cs="Times New Roman"/>
          <w:sz w:val="20"/>
          <w:szCs w:val="20"/>
        </w:rPr>
        <w:t>an</w:t>
      </w:r>
      <w:r w:rsidR="0099665B" w:rsidRPr="0013560C">
        <w:rPr>
          <w:rFonts w:ascii="Times New Roman" w:hAnsi="Times New Roman" w:cs="Times New Roman"/>
          <w:sz w:val="20"/>
          <w:szCs w:val="20"/>
        </w:rPr>
        <w:t xml:space="preserve"> endeavour to reach net zero targets and reduce the environmental impacts of our dairy production systems, there has been growing interest in alternative sward types. Ribwort plantain (</w:t>
      </w:r>
      <w:r w:rsidR="0099665B" w:rsidRPr="0013560C">
        <w:rPr>
          <w:rFonts w:ascii="Times New Roman" w:hAnsi="Times New Roman" w:cs="Times New Roman"/>
          <w:i/>
          <w:iCs/>
          <w:sz w:val="20"/>
          <w:szCs w:val="20"/>
        </w:rPr>
        <w:t>Plantago lanceolata L</w:t>
      </w:r>
      <w:r w:rsidR="0099665B" w:rsidRPr="0013560C">
        <w:rPr>
          <w:rFonts w:ascii="Times New Roman" w:hAnsi="Times New Roman" w:cs="Times New Roman"/>
          <w:sz w:val="20"/>
          <w:szCs w:val="20"/>
        </w:rPr>
        <w:t xml:space="preserve">.) is one such forage, that could be incorporated into perennial ryegrass swards. Research from New Zealand </w:t>
      </w:r>
      <w:r w:rsidR="00756A07" w:rsidRPr="0013560C">
        <w:rPr>
          <w:rFonts w:ascii="Times New Roman" w:hAnsi="Times New Roman" w:cs="Times New Roman"/>
          <w:sz w:val="20"/>
          <w:szCs w:val="20"/>
        </w:rPr>
        <w:t xml:space="preserve">has shown reductions in nitrogen (N) losses and nitrate leaching (Navarrete et al., 2022) and lower nitrous oxide emissions (Vi et al., 2023) in plantain swards </w:t>
      </w:r>
      <w:r w:rsidR="00781322" w:rsidRPr="0013560C">
        <w:rPr>
          <w:rFonts w:ascii="Times New Roman" w:hAnsi="Times New Roman" w:cs="Times New Roman"/>
          <w:sz w:val="20"/>
          <w:szCs w:val="20"/>
        </w:rPr>
        <w:t>compared</w:t>
      </w:r>
      <w:r w:rsidR="00756A07" w:rsidRPr="0013560C">
        <w:rPr>
          <w:rFonts w:ascii="Times New Roman" w:hAnsi="Times New Roman" w:cs="Times New Roman"/>
          <w:sz w:val="20"/>
          <w:szCs w:val="20"/>
        </w:rPr>
        <w:t xml:space="preserve"> to ryegrass-based swards. Recent research conducted at AFBI (unpublished) has </w:t>
      </w:r>
      <w:r w:rsidR="00781322" w:rsidRPr="0013560C">
        <w:rPr>
          <w:rFonts w:ascii="Times New Roman" w:hAnsi="Times New Roman" w:cs="Times New Roman"/>
          <w:sz w:val="20"/>
          <w:szCs w:val="20"/>
        </w:rPr>
        <w:t>produced</w:t>
      </w:r>
      <w:r w:rsidR="00756A07" w:rsidRPr="0013560C">
        <w:rPr>
          <w:rFonts w:ascii="Times New Roman" w:hAnsi="Times New Roman" w:cs="Times New Roman"/>
          <w:sz w:val="20"/>
          <w:szCs w:val="20"/>
        </w:rPr>
        <w:t xml:space="preserve"> similar findings. However, the impact of alternative sward types on cow performance, must also be assessed, as this will be a large determinant of the adoption of plantain swards within the dairy industry. </w:t>
      </w:r>
      <w:r w:rsidR="00C009EC" w:rsidRPr="0013560C">
        <w:rPr>
          <w:rFonts w:ascii="Times New Roman" w:hAnsi="Times New Roman" w:cs="Times New Roman"/>
          <w:sz w:val="20"/>
          <w:szCs w:val="20"/>
        </w:rPr>
        <w:t xml:space="preserve">The aim of this study was to investigate the impact of plantain inclusion in a perennial ryegrass (PRG) sward on cow performance. </w:t>
      </w:r>
      <w:r w:rsidR="00756A07" w:rsidRPr="0013560C">
        <w:rPr>
          <w:rFonts w:ascii="Times New Roman" w:hAnsi="Times New Roman" w:cs="Times New Roman"/>
          <w:sz w:val="20"/>
          <w:szCs w:val="20"/>
        </w:rPr>
        <w:t xml:space="preserve"> </w:t>
      </w:r>
    </w:p>
    <w:p w14:paraId="715FC3DD" w14:textId="6AEE3268" w:rsidR="00B351F6" w:rsidRPr="0013560C" w:rsidRDefault="00F86525" w:rsidP="001238BA">
      <w:pPr>
        <w:jc w:val="both"/>
        <w:rPr>
          <w:rFonts w:ascii="Times New Roman" w:hAnsi="Times New Roman" w:cs="Times New Roman"/>
          <w:sz w:val="20"/>
          <w:szCs w:val="20"/>
        </w:rPr>
      </w:pPr>
      <w:r w:rsidRPr="0013560C">
        <w:rPr>
          <w:rFonts w:ascii="Times New Roman" w:hAnsi="Times New Roman" w:cs="Times New Roman"/>
          <w:b/>
          <w:bCs/>
          <w:sz w:val="20"/>
          <w:szCs w:val="20"/>
        </w:rPr>
        <w:t xml:space="preserve">Materials and methods: </w:t>
      </w:r>
      <w:r w:rsidR="00756A07" w:rsidRPr="0013560C">
        <w:rPr>
          <w:rFonts w:ascii="Times New Roman" w:hAnsi="Times New Roman" w:cs="Times New Roman"/>
          <w:sz w:val="20"/>
          <w:szCs w:val="20"/>
        </w:rPr>
        <w:t>Th</w:t>
      </w:r>
      <w:r w:rsidR="00D878AA" w:rsidRPr="0013560C">
        <w:rPr>
          <w:rFonts w:ascii="Times New Roman" w:hAnsi="Times New Roman" w:cs="Times New Roman"/>
          <w:sz w:val="20"/>
          <w:szCs w:val="20"/>
        </w:rPr>
        <w:t>is</w:t>
      </w:r>
      <w:r w:rsidR="00756A07" w:rsidRPr="0013560C">
        <w:rPr>
          <w:rFonts w:ascii="Times New Roman" w:hAnsi="Times New Roman" w:cs="Times New Roman"/>
          <w:sz w:val="20"/>
          <w:szCs w:val="20"/>
        </w:rPr>
        <w:t xml:space="preserve"> experiment was conducted at the Agri-Food &amp; Bioscience Institute in Hillsborough, Northern Ireland.</w:t>
      </w:r>
      <w:r w:rsidR="00C57429" w:rsidRPr="0013560C">
        <w:rPr>
          <w:rFonts w:ascii="Times New Roman" w:hAnsi="Times New Roman" w:cs="Times New Roman"/>
          <w:sz w:val="20"/>
          <w:szCs w:val="20"/>
        </w:rPr>
        <w:t xml:space="preserve"> A total of 4</w:t>
      </w:r>
      <w:r w:rsidR="00E9446B" w:rsidRPr="0013560C">
        <w:rPr>
          <w:rFonts w:ascii="Times New Roman" w:hAnsi="Times New Roman" w:cs="Times New Roman"/>
          <w:sz w:val="20"/>
          <w:szCs w:val="20"/>
        </w:rPr>
        <w:t>4</w:t>
      </w:r>
      <w:r w:rsidR="00C57429" w:rsidRPr="0013560C">
        <w:rPr>
          <w:rFonts w:ascii="Times New Roman" w:hAnsi="Times New Roman" w:cs="Times New Roman"/>
          <w:sz w:val="20"/>
          <w:szCs w:val="20"/>
        </w:rPr>
        <w:t xml:space="preserve"> spring-calving Holstein-Friesian cows were assigned to one of two </w:t>
      </w:r>
      <w:r w:rsidR="00D11007" w:rsidRPr="0013560C">
        <w:rPr>
          <w:rFonts w:ascii="Times New Roman" w:hAnsi="Times New Roman" w:cs="Times New Roman"/>
          <w:sz w:val="20"/>
          <w:szCs w:val="20"/>
        </w:rPr>
        <w:t xml:space="preserve">sward type </w:t>
      </w:r>
      <w:r w:rsidR="00C57429" w:rsidRPr="0013560C">
        <w:rPr>
          <w:rFonts w:ascii="Times New Roman" w:hAnsi="Times New Roman" w:cs="Times New Roman"/>
          <w:sz w:val="20"/>
          <w:szCs w:val="20"/>
        </w:rPr>
        <w:t>treatments in a randomized complete block design, with two replicate groups of 1</w:t>
      </w:r>
      <w:r w:rsidR="007A62DB" w:rsidRPr="0013560C">
        <w:rPr>
          <w:rFonts w:ascii="Times New Roman" w:hAnsi="Times New Roman" w:cs="Times New Roman"/>
          <w:sz w:val="20"/>
          <w:szCs w:val="20"/>
        </w:rPr>
        <w:t>1</w:t>
      </w:r>
      <w:r w:rsidR="00C57429" w:rsidRPr="0013560C">
        <w:rPr>
          <w:rFonts w:ascii="Times New Roman" w:hAnsi="Times New Roman" w:cs="Times New Roman"/>
          <w:sz w:val="20"/>
          <w:szCs w:val="20"/>
        </w:rPr>
        <w:t xml:space="preserve"> cows per treatment. Each replicate was balanced for parity, days in milk, body weight, BCS</w:t>
      </w:r>
      <w:r w:rsidR="007A62DB" w:rsidRPr="0013560C">
        <w:rPr>
          <w:rFonts w:ascii="Times New Roman" w:hAnsi="Times New Roman" w:cs="Times New Roman"/>
          <w:sz w:val="20"/>
          <w:szCs w:val="20"/>
        </w:rPr>
        <w:t>, milk quality</w:t>
      </w:r>
      <w:r w:rsidR="00C57429" w:rsidRPr="0013560C">
        <w:rPr>
          <w:rFonts w:ascii="Times New Roman" w:hAnsi="Times New Roman" w:cs="Times New Roman"/>
          <w:sz w:val="20"/>
          <w:szCs w:val="20"/>
        </w:rPr>
        <w:t xml:space="preserve"> and milk yield. The two sward types were a PRG and a plantain + perennial ryegrass sward (PLN). Swards were initially established in 202</w:t>
      </w:r>
      <w:r w:rsidR="00E9446B" w:rsidRPr="0013560C">
        <w:rPr>
          <w:rFonts w:ascii="Times New Roman" w:hAnsi="Times New Roman" w:cs="Times New Roman"/>
          <w:sz w:val="20"/>
          <w:szCs w:val="20"/>
        </w:rPr>
        <w:t>1</w:t>
      </w:r>
      <w:r w:rsidR="00C57429" w:rsidRPr="0013560C">
        <w:rPr>
          <w:rFonts w:ascii="Times New Roman" w:hAnsi="Times New Roman" w:cs="Times New Roman"/>
          <w:sz w:val="20"/>
          <w:szCs w:val="20"/>
        </w:rPr>
        <w:t xml:space="preserve"> with additional plantain being stitched into the PLN swards in spring 2024. Cows were paddock grazed (night &amp; day) from May to October 2024 at a stocking rate of 3.8 cows/ha. </w:t>
      </w:r>
      <w:r w:rsidR="00C009EC" w:rsidRPr="0013560C">
        <w:rPr>
          <w:rFonts w:ascii="Times New Roman" w:hAnsi="Times New Roman" w:cs="Times New Roman"/>
          <w:sz w:val="20"/>
          <w:szCs w:val="20"/>
        </w:rPr>
        <w:t xml:space="preserve">Cows were turned out in May due to breeding programme commitments and poor weather in March and April. </w:t>
      </w:r>
      <w:r w:rsidR="00C57429" w:rsidRPr="0013560C">
        <w:rPr>
          <w:rFonts w:ascii="Times New Roman" w:hAnsi="Times New Roman" w:cs="Times New Roman"/>
          <w:sz w:val="20"/>
          <w:szCs w:val="20"/>
        </w:rPr>
        <w:t xml:space="preserve">Mean pre-grazing herbage mass was </w:t>
      </w:r>
      <w:r w:rsidR="007A62DB" w:rsidRPr="0013560C">
        <w:rPr>
          <w:rFonts w:ascii="Times New Roman" w:hAnsi="Times New Roman" w:cs="Times New Roman"/>
          <w:sz w:val="20"/>
          <w:szCs w:val="20"/>
        </w:rPr>
        <w:t>3203</w:t>
      </w:r>
      <w:r w:rsidR="00C57429" w:rsidRPr="0013560C">
        <w:rPr>
          <w:rFonts w:ascii="Times New Roman" w:hAnsi="Times New Roman" w:cs="Times New Roman"/>
          <w:sz w:val="20"/>
          <w:szCs w:val="20"/>
        </w:rPr>
        <w:t xml:space="preserve"> and </w:t>
      </w:r>
      <w:r w:rsidR="007A62DB" w:rsidRPr="0013560C">
        <w:rPr>
          <w:rFonts w:ascii="Times New Roman" w:hAnsi="Times New Roman" w:cs="Times New Roman"/>
          <w:sz w:val="20"/>
          <w:szCs w:val="20"/>
        </w:rPr>
        <w:t>3318</w:t>
      </w:r>
      <w:r w:rsidR="00C57429" w:rsidRPr="0013560C">
        <w:rPr>
          <w:rFonts w:ascii="Times New Roman" w:hAnsi="Times New Roman" w:cs="Times New Roman"/>
          <w:sz w:val="20"/>
          <w:szCs w:val="20"/>
        </w:rPr>
        <w:t xml:space="preserve"> kgDM/ha for PRG and PLN, respectively, likewise mean post-grazing herbage mass was </w:t>
      </w:r>
      <w:r w:rsidR="007A62DB" w:rsidRPr="0013560C">
        <w:rPr>
          <w:rFonts w:ascii="Times New Roman" w:hAnsi="Times New Roman" w:cs="Times New Roman"/>
          <w:sz w:val="20"/>
          <w:szCs w:val="20"/>
        </w:rPr>
        <w:t>2010</w:t>
      </w:r>
      <w:r w:rsidR="00C57429" w:rsidRPr="0013560C">
        <w:rPr>
          <w:rFonts w:ascii="Times New Roman" w:hAnsi="Times New Roman" w:cs="Times New Roman"/>
          <w:sz w:val="20"/>
          <w:szCs w:val="20"/>
        </w:rPr>
        <w:t xml:space="preserve"> and </w:t>
      </w:r>
      <w:r w:rsidR="007A62DB" w:rsidRPr="0013560C">
        <w:rPr>
          <w:rFonts w:ascii="Times New Roman" w:hAnsi="Times New Roman" w:cs="Times New Roman"/>
          <w:sz w:val="20"/>
          <w:szCs w:val="20"/>
        </w:rPr>
        <w:t>1947</w:t>
      </w:r>
      <w:r w:rsidR="00C57429" w:rsidRPr="0013560C">
        <w:rPr>
          <w:rFonts w:ascii="Times New Roman" w:hAnsi="Times New Roman" w:cs="Times New Roman"/>
          <w:sz w:val="20"/>
          <w:szCs w:val="20"/>
        </w:rPr>
        <w:t xml:space="preserve"> kgDM/ha. Cows </w:t>
      </w:r>
      <w:r w:rsidR="00B351F6" w:rsidRPr="0013560C">
        <w:rPr>
          <w:rFonts w:ascii="Times New Roman" w:hAnsi="Times New Roman" w:cs="Times New Roman"/>
          <w:sz w:val="20"/>
          <w:szCs w:val="20"/>
        </w:rPr>
        <w:t xml:space="preserve">received concentrates through the milking parlour at a rate of </w:t>
      </w:r>
      <w:r w:rsidR="007A62DB" w:rsidRPr="0013560C">
        <w:rPr>
          <w:rFonts w:ascii="Times New Roman" w:hAnsi="Times New Roman" w:cs="Times New Roman"/>
          <w:sz w:val="20"/>
          <w:szCs w:val="20"/>
        </w:rPr>
        <w:t>4</w:t>
      </w:r>
      <w:r w:rsidR="00B351F6" w:rsidRPr="0013560C">
        <w:rPr>
          <w:rFonts w:ascii="Times New Roman" w:hAnsi="Times New Roman" w:cs="Times New Roman"/>
          <w:sz w:val="20"/>
          <w:szCs w:val="20"/>
        </w:rPr>
        <w:t xml:space="preserve"> kgDM/cow/day. Throughout the study, milk yields were monitored twice daily. Milk samples were taken weekly from one successive evening and morning milking for the determination of milk fat, protein, urea and lactose concentrations. Live weight (LW) was recorded daily and body condition score (BCS) was recorded monthly. Pre- and post-grazing herbage mass was determined using a rising platemeter (Jenquip, Fielding, New Zealand), while </w:t>
      </w:r>
      <w:r w:rsidR="007A62DB" w:rsidRPr="0013560C">
        <w:rPr>
          <w:rFonts w:ascii="Times New Roman" w:hAnsi="Times New Roman" w:cs="Times New Roman"/>
          <w:sz w:val="20"/>
          <w:szCs w:val="20"/>
        </w:rPr>
        <w:t>daily</w:t>
      </w:r>
      <w:r w:rsidR="00B351F6" w:rsidRPr="0013560C">
        <w:rPr>
          <w:rFonts w:ascii="Times New Roman" w:hAnsi="Times New Roman" w:cs="Times New Roman"/>
          <w:sz w:val="20"/>
          <w:szCs w:val="20"/>
        </w:rPr>
        <w:t xml:space="preserve"> herbage samples were taken for the determination of nutrient composition. </w:t>
      </w:r>
      <w:r w:rsidR="007A62DB" w:rsidRPr="0013560C">
        <w:rPr>
          <w:rFonts w:ascii="Times New Roman" w:hAnsi="Times New Roman" w:cs="Times New Roman"/>
          <w:sz w:val="20"/>
          <w:szCs w:val="20"/>
        </w:rPr>
        <w:t>Daily</w:t>
      </w:r>
      <w:r w:rsidR="00B351F6" w:rsidRPr="0013560C">
        <w:rPr>
          <w:rFonts w:ascii="Times New Roman" w:hAnsi="Times New Roman" w:cs="Times New Roman"/>
          <w:sz w:val="20"/>
          <w:szCs w:val="20"/>
        </w:rPr>
        <w:t xml:space="preserve"> sward botanical compositions were completed on both sward types. Statistical analyses were conducted using Genstat (21st Edition) by REML repeated measures. </w:t>
      </w:r>
    </w:p>
    <w:p w14:paraId="0C044039" w14:textId="109F7566" w:rsidR="0004510E" w:rsidRPr="0013560C" w:rsidRDefault="00F86525" w:rsidP="0099665B">
      <w:pPr>
        <w:jc w:val="both"/>
        <w:rPr>
          <w:rFonts w:ascii="Times New Roman" w:hAnsi="Times New Roman" w:cs="Times New Roman"/>
          <w:sz w:val="20"/>
          <w:szCs w:val="20"/>
        </w:rPr>
      </w:pPr>
      <w:r w:rsidRPr="0013560C">
        <w:rPr>
          <w:rFonts w:ascii="Times New Roman" w:hAnsi="Times New Roman" w:cs="Times New Roman"/>
          <w:b/>
          <w:bCs/>
          <w:sz w:val="20"/>
          <w:szCs w:val="20"/>
        </w:rPr>
        <w:t xml:space="preserve">Results: </w:t>
      </w:r>
      <w:r w:rsidR="00D11007" w:rsidRPr="0013560C">
        <w:rPr>
          <w:rFonts w:ascii="Times New Roman" w:hAnsi="Times New Roman" w:cs="Times New Roman"/>
          <w:sz w:val="20"/>
          <w:szCs w:val="20"/>
        </w:rPr>
        <w:t xml:space="preserve">Mean </w:t>
      </w:r>
      <w:r w:rsidR="00781322" w:rsidRPr="0013560C">
        <w:rPr>
          <w:rFonts w:ascii="Times New Roman" w:hAnsi="Times New Roman" w:cs="Times New Roman"/>
          <w:sz w:val="20"/>
          <w:szCs w:val="20"/>
        </w:rPr>
        <w:t xml:space="preserve">botanical composition over the course of the study </w:t>
      </w:r>
      <w:r w:rsidR="00D11007" w:rsidRPr="0013560C">
        <w:rPr>
          <w:rFonts w:ascii="Times New Roman" w:hAnsi="Times New Roman" w:cs="Times New Roman"/>
          <w:sz w:val="20"/>
          <w:szCs w:val="20"/>
        </w:rPr>
        <w:t xml:space="preserve">showed that </w:t>
      </w:r>
      <w:r w:rsidR="00781322" w:rsidRPr="0013560C">
        <w:rPr>
          <w:rFonts w:ascii="Times New Roman" w:hAnsi="Times New Roman" w:cs="Times New Roman"/>
          <w:sz w:val="20"/>
          <w:szCs w:val="20"/>
        </w:rPr>
        <w:t>plantain content of the PLN sward was 27</w:t>
      </w:r>
      <w:r w:rsidR="00734F1D" w:rsidRPr="0013560C">
        <w:rPr>
          <w:rFonts w:ascii="Times New Roman" w:hAnsi="Times New Roman" w:cs="Times New Roman"/>
          <w:sz w:val="20"/>
          <w:szCs w:val="20"/>
        </w:rPr>
        <w:t>.9</w:t>
      </w:r>
      <w:r w:rsidR="00781322" w:rsidRPr="0013560C">
        <w:rPr>
          <w:rFonts w:ascii="Times New Roman" w:hAnsi="Times New Roman" w:cs="Times New Roman"/>
          <w:sz w:val="20"/>
          <w:szCs w:val="20"/>
        </w:rPr>
        <w:t>%. The proportion of unsown species within the swards were 2.4% and 6.0%, for PRG and PLN, respectively</w:t>
      </w:r>
      <w:r w:rsidR="00EE6586" w:rsidRPr="0013560C">
        <w:rPr>
          <w:rFonts w:ascii="Times New Roman" w:hAnsi="Times New Roman" w:cs="Times New Roman"/>
          <w:sz w:val="20"/>
          <w:szCs w:val="20"/>
        </w:rPr>
        <w:t xml:space="preserve"> </w:t>
      </w:r>
      <w:r w:rsidR="00EE6586" w:rsidRPr="0013560C">
        <w:rPr>
          <w:rFonts w:ascii="Times New Roman" w:hAnsi="Times New Roman" w:cstheme="minorHAnsi"/>
          <w:sz w:val="20"/>
          <w:szCs w:val="20"/>
        </w:rPr>
        <w:t>(</w:t>
      </w:r>
      <w:r w:rsidR="00EE6586" w:rsidRPr="0013560C">
        <w:rPr>
          <w:rFonts w:ascii="Times New Roman" w:hAnsi="Times New Roman" w:cstheme="minorHAnsi"/>
          <w:i/>
          <w:iCs/>
          <w:sz w:val="20"/>
          <w:szCs w:val="20"/>
        </w:rPr>
        <w:t>P</w:t>
      </w:r>
      <w:r w:rsidR="00EE6586" w:rsidRPr="0013560C">
        <w:rPr>
          <w:rFonts w:ascii="Times New Roman" w:hAnsi="Times New Roman" w:cstheme="minorHAnsi"/>
          <w:sz w:val="20"/>
          <w:szCs w:val="20"/>
        </w:rPr>
        <w:t>&lt;0.001)</w:t>
      </w:r>
      <w:r w:rsidR="00781322" w:rsidRPr="0013560C">
        <w:rPr>
          <w:rFonts w:ascii="Times New Roman" w:hAnsi="Times New Roman" w:cs="Times New Roman"/>
          <w:sz w:val="20"/>
          <w:szCs w:val="20"/>
        </w:rPr>
        <w:t>. The remaining proportion in each sward was PRG</w:t>
      </w:r>
      <w:r w:rsidR="00EE6586" w:rsidRPr="0013560C">
        <w:rPr>
          <w:rFonts w:ascii="Times New Roman" w:hAnsi="Times New Roman" w:cs="Times New Roman"/>
          <w:sz w:val="20"/>
          <w:szCs w:val="20"/>
        </w:rPr>
        <w:t xml:space="preserve"> </w:t>
      </w:r>
      <w:r w:rsidR="00EE6586" w:rsidRPr="0013560C">
        <w:rPr>
          <w:rFonts w:ascii="Times New Roman" w:hAnsi="Times New Roman" w:cstheme="minorHAnsi"/>
          <w:sz w:val="20"/>
          <w:szCs w:val="20"/>
        </w:rPr>
        <w:t>(</w:t>
      </w:r>
      <w:r w:rsidR="00EE6586" w:rsidRPr="0013560C">
        <w:rPr>
          <w:rFonts w:ascii="Times New Roman" w:hAnsi="Times New Roman" w:cstheme="minorHAnsi"/>
          <w:i/>
          <w:iCs/>
          <w:sz w:val="20"/>
          <w:szCs w:val="20"/>
        </w:rPr>
        <w:t>P</w:t>
      </w:r>
      <w:r w:rsidR="00EE6586" w:rsidRPr="0013560C">
        <w:rPr>
          <w:rFonts w:ascii="Times New Roman" w:hAnsi="Times New Roman" w:cstheme="minorHAnsi"/>
          <w:sz w:val="20"/>
          <w:szCs w:val="20"/>
        </w:rPr>
        <w:t>&lt;0.001)</w:t>
      </w:r>
      <w:r w:rsidR="00781322" w:rsidRPr="0013560C">
        <w:rPr>
          <w:rFonts w:ascii="Times New Roman" w:hAnsi="Times New Roman" w:cs="Times New Roman"/>
          <w:sz w:val="20"/>
          <w:szCs w:val="20"/>
        </w:rPr>
        <w:t>. The results in Table 1 show that there was no difference in cow performance between a PRG sward and a 27.9% PLN sward.</w:t>
      </w:r>
      <w:r w:rsidR="00806DD8" w:rsidRPr="0013560C">
        <w:rPr>
          <w:rFonts w:ascii="Times New Roman" w:hAnsi="Times New Roman" w:cs="Times New Roman"/>
          <w:sz w:val="20"/>
          <w:szCs w:val="20"/>
        </w:rPr>
        <w:t xml:space="preserve"> These findings are in agreement with that of Nguyen et al. (2024).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943"/>
        <w:gridCol w:w="944"/>
        <w:gridCol w:w="944"/>
        <w:gridCol w:w="944"/>
      </w:tblGrid>
      <w:tr w:rsidR="00781322" w:rsidRPr="0013560C" w14:paraId="3A09909C" w14:textId="77777777" w:rsidTr="00781322">
        <w:trPr>
          <w:trHeight w:val="301"/>
          <w:jc w:val="center"/>
        </w:trPr>
        <w:tc>
          <w:tcPr>
            <w:tcW w:w="6180" w:type="dxa"/>
            <w:gridSpan w:val="5"/>
            <w:tcBorders>
              <w:bottom w:val="single" w:sz="4" w:space="0" w:color="auto"/>
            </w:tcBorders>
            <w:noWrap/>
          </w:tcPr>
          <w:p w14:paraId="7892FD3A" w14:textId="72FB5936" w:rsidR="00781322" w:rsidRPr="0013560C" w:rsidRDefault="00781322" w:rsidP="00781322">
            <w:pPr>
              <w:jc w:val="center"/>
              <w:rPr>
                <w:rFonts w:ascii="Times New Roman" w:hAnsi="Times New Roman" w:cs="Times New Roman"/>
                <w:b/>
                <w:bCs/>
                <w:sz w:val="20"/>
                <w:szCs w:val="20"/>
              </w:rPr>
            </w:pPr>
            <w:r w:rsidRPr="0013560C">
              <w:rPr>
                <w:rFonts w:ascii="Times New Roman" w:hAnsi="Times New Roman" w:cs="Times New Roman"/>
                <w:b/>
                <w:bCs/>
                <w:sz w:val="20"/>
                <w:szCs w:val="20"/>
              </w:rPr>
              <w:t>Table 1: The effect of sward type on cow performance</w:t>
            </w:r>
          </w:p>
        </w:tc>
      </w:tr>
      <w:tr w:rsidR="00781322" w:rsidRPr="0013560C" w14:paraId="59CE2703" w14:textId="77777777" w:rsidTr="00781322">
        <w:trPr>
          <w:trHeight w:val="301"/>
          <w:jc w:val="center"/>
        </w:trPr>
        <w:tc>
          <w:tcPr>
            <w:tcW w:w="2405" w:type="dxa"/>
            <w:tcBorders>
              <w:top w:val="single" w:sz="4" w:space="0" w:color="auto"/>
              <w:bottom w:val="single" w:sz="4" w:space="0" w:color="auto"/>
            </w:tcBorders>
            <w:noWrap/>
            <w:hideMark/>
          </w:tcPr>
          <w:p w14:paraId="5F73F4B4" w14:textId="77777777" w:rsidR="00781322" w:rsidRPr="0013560C" w:rsidRDefault="00781322" w:rsidP="00781322">
            <w:pPr>
              <w:jc w:val="both"/>
              <w:rPr>
                <w:rFonts w:ascii="Times New Roman" w:hAnsi="Times New Roman" w:cs="Times New Roman"/>
                <w:b/>
                <w:bCs/>
                <w:sz w:val="20"/>
                <w:szCs w:val="20"/>
              </w:rPr>
            </w:pPr>
          </w:p>
        </w:tc>
        <w:tc>
          <w:tcPr>
            <w:tcW w:w="943" w:type="dxa"/>
            <w:tcBorders>
              <w:top w:val="single" w:sz="4" w:space="0" w:color="auto"/>
              <w:bottom w:val="single" w:sz="4" w:space="0" w:color="auto"/>
            </w:tcBorders>
            <w:noWrap/>
            <w:hideMark/>
          </w:tcPr>
          <w:p w14:paraId="7E7F8071" w14:textId="77777777" w:rsidR="00781322" w:rsidRPr="0013560C" w:rsidRDefault="00781322" w:rsidP="00781322">
            <w:pPr>
              <w:jc w:val="both"/>
              <w:rPr>
                <w:rFonts w:ascii="Times New Roman" w:hAnsi="Times New Roman" w:cs="Times New Roman"/>
                <w:b/>
                <w:bCs/>
                <w:sz w:val="20"/>
                <w:szCs w:val="20"/>
              </w:rPr>
            </w:pPr>
            <w:r w:rsidRPr="0013560C">
              <w:rPr>
                <w:rFonts w:ascii="Times New Roman" w:hAnsi="Times New Roman" w:cs="Times New Roman"/>
                <w:b/>
                <w:bCs/>
                <w:sz w:val="20"/>
                <w:szCs w:val="20"/>
              </w:rPr>
              <w:t>PRG</w:t>
            </w:r>
          </w:p>
        </w:tc>
        <w:tc>
          <w:tcPr>
            <w:tcW w:w="944" w:type="dxa"/>
            <w:tcBorders>
              <w:top w:val="single" w:sz="4" w:space="0" w:color="auto"/>
              <w:bottom w:val="single" w:sz="4" w:space="0" w:color="auto"/>
            </w:tcBorders>
            <w:noWrap/>
            <w:hideMark/>
          </w:tcPr>
          <w:p w14:paraId="7C6F7432" w14:textId="77777777" w:rsidR="00781322" w:rsidRPr="0013560C" w:rsidRDefault="00781322" w:rsidP="00781322">
            <w:pPr>
              <w:jc w:val="both"/>
              <w:rPr>
                <w:rFonts w:ascii="Times New Roman" w:hAnsi="Times New Roman" w:cs="Times New Roman"/>
                <w:b/>
                <w:bCs/>
                <w:sz w:val="20"/>
                <w:szCs w:val="20"/>
              </w:rPr>
            </w:pPr>
            <w:r w:rsidRPr="0013560C">
              <w:rPr>
                <w:rFonts w:ascii="Times New Roman" w:hAnsi="Times New Roman" w:cs="Times New Roman"/>
                <w:b/>
                <w:bCs/>
                <w:sz w:val="20"/>
                <w:szCs w:val="20"/>
              </w:rPr>
              <w:t>PLN</w:t>
            </w:r>
          </w:p>
        </w:tc>
        <w:tc>
          <w:tcPr>
            <w:tcW w:w="944" w:type="dxa"/>
            <w:tcBorders>
              <w:top w:val="single" w:sz="4" w:space="0" w:color="auto"/>
              <w:bottom w:val="single" w:sz="4" w:space="0" w:color="auto"/>
            </w:tcBorders>
            <w:noWrap/>
            <w:hideMark/>
          </w:tcPr>
          <w:p w14:paraId="5AC999D3" w14:textId="77777777" w:rsidR="00781322" w:rsidRPr="0013560C" w:rsidRDefault="00781322" w:rsidP="00781322">
            <w:pPr>
              <w:jc w:val="both"/>
              <w:rPr>
                <w:rFonts w:ascii="Times New Roman" w:hAnsi="Times New Roman" w:cs="Times New Roman"/>
                <w:b/>
                <w:bCs/>
                <w:sz w:val="20"/>
                <w:szCs w:val="20"/>
              </w:rPr>
            </w:pPr>
            <w:r w:rsidRPr="0013560C">
              <w:rPr>
                <w:rFonts w:ascii="Times New Roman" w:hAnsi="Times New Roman" w:cs="Times New Roman"/>
                <w:b/>
                <w:bCs/>
                <w:sz w:val="20"/>
                <w:szCs w:val="20"/>
              </w:rPr>
              <w:t>SED</w:t>
            </w:r>
          </w:p>
        </w:tc>
        <w:tc>
          <w:tcPr>
            <w:tcW w:w="944" w:type="dxa"/>
            <w:tcBorders>
              <w:top w:val="single" w:sz="4" w:space="0" w:color="auto"/>
              <w:bottom w:val="single" w:sz="4" w:space="0" w:color="auto"/>
            </w:tcBorders>
            <w:noWrap/>
            <w:hideMark/>
          </w:tcPr>
          <w:p w14:paraId="031F10A4" w14:textId="77777777" w:rsidR="00781322" w:rsidRPr="0013560C" w:rsidRDefault="00781322" w:rsidP="00781322">
            <w:pPr>
              <w:jc w:val="both"/>
              <w:rPr>
                <w:rFonts w:ascii="Times New Roman" w:hAnsi="Times New Roman" w:cs="Times New Roman"/>
                <w:b/>
                <w:bCs/>
                <w:sz w:val="20"/>
                <w:szCs w:val="20"/>
              </w:rPr>
            </w:pPr>
            <w:r w:rsidRPr="0013560C">
              <w:rPr>
                <w:rFonts w:ascii="Times New Roman" w:hAnsi="Times New Roman" w:cs="Times New Roman"/>
                <w:b/>
                <w:bCs/>
                <w:sz w:val="20"/>
                <w:szCs w:val="20"/>
              </w:rPr>
              <w:t>P-value</w:t>
            </w:r>
          </w:p>
        </w:tc>
      </w:tr>
      <w:tr w:rsidR="00781322" w:rsidRPr="0013560C" w14:paraId="611ACFCB" w14:textId="77777777" w:rsidTr="00781322">
        <w:trPr>
          <w:trHeight w:val="301"/>
          <w:jc w:val="center"/>
        </w:trPr>
        <w:tc>
          <w:tcPr>
            <w:tcW w:w="2405" w:type="dxa"/>
            <w:tcBorders>
              <w:top w:val="single" w:sz="4" w:space="0" w:color="auto"/>
            </w:tcBorders>
            <w:noWrap/>
            <w:hideMark/>
          </w:tcPr>
          <w:p w14:paraId="54BB8A36" w14:textId="3B0CE8C9"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 xml:space="preserve">Milk </w:t>
            </w:r>
            <w:r w:rsidR="00EE6586" w:rsidRPr="0013560C">
              <w:rPr>
                <w:rFonts w:ascii="Times New Roman" w:hAnsi="Times New Roman" w:cs="Times New Roman"/>
                <w:sz w:val="20"/>
                <w:szCs w:val="20"/>
              </w:rPr>
              <w:t>y</w:t>
            </w:r>
            <w:r w:rsidRPr="0013560C">
              <w:rPr>
                <w:rFonts w:ascii="Times New Roman" w:hAnsi="Times New Roman" w:cs="Times New Roman"/>
                <w:sz w:val="20"/>
                <w:szCs w:val="20"/>
              </w:rPr>
              <w:t>ield (L/cow/day)</w:t>
            </w:r>
          </w:p>
        </w:tc>
        <w:tc>
          <w:tcPr>
            <w:tcW w:w="943" w:type="dxa"/>
            <w:tcBorders>
              <w:top w:val="single" w:sz="4" w:space="0" w:color="auto"/>
            </w:tcBorders>
            <w:noWrap/>
            <w:hideMark/>
          </w:tcPr>
          <w:p w14:paraId="39B22E95"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23.3</w:t>
            </w:r>
          </w:p>
        </w:tc>
        <w:tc>
          <w:tcPr>
            <w:tcW w:w="944" w:type="dxa"/>
            <w:tcBorders>
              <w:top w:val="single" w:sz="4" w:space="0" w:color="auto"/>
            </w:tcBorders>
            <w:noWrap/>
            <w:hideMark/>
          </w:tcPr>
          <w:p w14:paraId="03B1D25D"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23.0</w:t>
            </w:r>
          </w:p>
        </w:tc>
        <w:tc>
          <w:tcPr>
            <w:tcW w:w="944" w:type="dxa"/>
            <w:tcBorders>
              <w:top w:val="single" w:sz="4" w:space="0" w:color="auto"/>
            </w:tcBorders>
            <w:noWrap/>
            <w:hideMark/>
          </w:tcPr>
          <w:p w14:paraId="57DFF128"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0.80</w:t>
            </w:r>
          </w:p>
        </w:tc>
        <w:tc>
          <w:tcPr>
            <w:tcW w:w="944" w:type="dxa"/>
            <w:tcBorders>
              <w:top w:val="single" w:sz="4" w:space="0" w:color="auto"/>
            </w:tcBorders>
            <w:noWrap/>
            <w:hideMark/>
          </w:tcPr>
          <w:p w14:paraId="45336E49"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ns</w:t>
            </w:r>
          </w:p>
        </w:tc>
      </w:tr>
      <w:tr w:rsidR="00781322" w:rsidRPr="0013560C" w14:paraId="2E39310D" w14:textId="77777777" w:rsidTr="00781322">
        <w:trPr>
          <w:trHeight w:val="301"/>
          <w:jc w:val="center"/>
        </w:trPr>
        <w:tc>
          <w:tcPr>
            <w:tcW w:w="2405" w:type="dxa"/>
            <w:noWrap/>
            <w:hideMark/>
          </w:tcPr>
          <w:p w14:paraId="5CA28073" w14:textId="56F5AA3D"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 xml:space="preserve">Milk </w:t>
            </w:r>
            <w:r w:rsidR="00EE6586" w:rsidRPr="0013560C">
              <w:rPr>
                <w:rFonts w:ascii="Times New Roman" w:hAnsi="Times New Roman" w:cs="Times New Roman"/>
                <w:sz w:val="20"/>
                <w:szCs w:val="20"/>
              </w:rPr>
              <w:t>s</w:t>
            </w:r>
            <w:r w:rsidRPr="0013560C">
              <w:rPr>
                <w:rFonts w:ascii="Times New Roman" w:hAnsi="Times New Roman" w:cs="Times New Roman"/>
                <w:sz w:val="20"/>
                <w:szCs w:val="20"/>
              </w:rPr>
              <w:t>olids (kg/cow/day)</w:t>
            </w:r>
          </w:p>
        </w:tc>
        <w:tc>
          <w:tcPr>
            <w:tcW w:w="943" w:type="dxa"/>
            <w:noWrap/>
            <w:hideMark/>
          </w:tcPr>
          <w:p w14:paraId="6126B695"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1.97</w:t>
            </w:r>
          </w:p>
        </w:tc>
        <w:tc>
          <w:tcPr>
            <w:tcW w:w="944" w:type="dxa"/>
            <w:noWrap/>
            <w:hideMark/>
          </w:tcPr>
          <w:p w14:paraId="2537672B"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2.02</w:t>
            </w:r>
          </w:p>
        </w:tc>
        <w:tc>
          <w:tcPr>
            <w:tcW w:w="944" w:type="dxa"/>
            <w:noWrap/>
            <w:hideMark/>
          </w:tcPr>
          <w:p w14:paraId="597DABD2"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0.048</w:t>
            </w:r>
          </w:p>
        </w:tc>
        <w:tc>
          <w:tcPr>
            <w:tcW w:w="944" w:type="dxa"/>
            <w:noWrap/>
            <w:hideMark/>
          </w:tcPr>
          <w:p w14:paraId="453570E7"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ns</w:t>
            </w:r>
          </w:p>
        </w:tc>
      </w:tr>
      <w:tr w:rsidR="00781322" w:rsidRPr="0013560C" w14:paraId="7D8C9D57" w14:textId="77777777" w:rsidTr="00781322">
        <w:trPr>
          <w:trHeight w:val="301"/>
          <w:jc w:val="center"/>
        </w:trPr>
        <w:tc>
          <w:tcPr>
            <w:tcW w:w="2405" w:type="dxa"/>
            <w:noWrap/>
            <w:hideMark/>
          </w:tcPr>
          <w:p w14:paraId="631B7F1C" w14:textId="342AAEC1"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 xml:space="preserve">Milk </w:t>
            </w:r>
            <w:r w:rsidR="00EE6586" w:rsidRPr="0013560C">
              <w:rPr>
                <w:rFonts w:ascii="Times New Roman" w:hAnsi="Times New Roman" w:cs="Times New Roman"/>
                <w:sz w:val="20"/>
                <w:szCs w:val="20"/>
              </w:rPr>
              <w:t>f</w:t>
            </w:r>
            <w:r w:rsidRPr="0013560C">
              <w:rPr>
                <w:rFonts w:ascii="Times New Roman" w:hAnsi="Times New Roman" w:cs="Times New Roman"/>
                <w:sz w:val="20"/>
                <w:szCs w:val="20"/>
              </w:rPr>
              <w:t>at (%)</w:t>
            </w:r>
          </w:p>
        </w:tc>
        <w:tc>
          <w:tcPr>
            <w:tcW w:w="943" w:type="dxa"/>
            <w:noWrap/>
            <w:hideMark/>
          </w:tcPr>
          <w:p w14:paraId="30E848A3"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4.98</w:t>
            </w:r>
          </w:p>
        </w:tc>
        <w:tc>
          <w:tcPr>
            <w:tcW w:w="944" w:type="dxa"/>
            <w:noWrap/>
            <w:hideMark/>
          </w:tcPr>
          <w:p w14:paraId="5A376B88"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5.15</w:t>
            </w:r>
          </w:p>
        </w:tc>
        <w:tc>
          <w:tcPr>
            <w:tcW w:w="944" w:type="dxa"/>
            <w:noWrap/>
            <w:hideMark/>
          </w:tcPr>
          <w:p w14:paraId="1B2523D7"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0.172</w:t>
            </w:r>
          </w:p>
        </w:tc>
        <w:tc>
          <w:tcPr>
            <w:tcW w:w="944" w:type="dxa"/>
            <w:noWrap/>
            <w:hideMark/>
          </w:tcPr>
          <w:p w14:paraId="7ADCA400"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ns</w:t>
            </w:r>
          </w:p>
        </w:tc>
      </w:tr>
      <w:tr w:rsidR="00781322" w:rsidRPr="0013560C" w14:paraId="0CE66E72" w14:textId="77777777" w:rsidTr="00781322">
        <w:trPr>
          <w:trHeight w:val="301"/>
          <w:jc w:val="center"/>
        </w:trPr>
        <w:tc>
          <w:tcPr>
            <w:tcW w:w="2405" w:type="dxa"/>
            <w:noWrap/>
            <w:hideMark/>
          </w:tcPr>
          <w:p w14:paraId="167D10DD" w14:textId="767D9258"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 xml:space="preserve">Milk </w:t>
            </w:r>
            <w:r w:rsidR="00EE6586" w:rsidRPr="0013560C">
              <w:rPr>
                <w:rFonts w:ascii="Times New Roman" w:hAnsi="Times New Roman" w:cs="Times New Roman"/>
                <w:sz w:val="20"/>
                <w:szCs w:val="20"/>
              </w:rPr>
              <w:t>p</w:t>
            </w:r>
            <w:r w:rsidRPr="0013560C">
              <w:rPr>
                <w:rFonts w:ascii="Times New Roman" w:hAnsi="Times New Roman" w:cs="Times New Roman"/>
                <w:sz w:val="20"/>
                <w:szCs w:val="20"/>
              </w:rPr>
              <w:t>rotein (%)</w:t>
            </w:r>
          </w:p>
        </w:tc>
        <w:tc>
          <w:tcPr>
            <w:tcW w:w="943" w:type="dxa"/>
            <w:noWrap/>
            <w:hideMark/>
          </w:tcPr>
          <w:p w14:paraId="56FCA44F"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3.59</w:t>
            </w:r>
          </w:p>
        </w:tc>
        <w:tc>
          <w:tcPr>
            <w:tcW w:w="944" w:type="dxa"/>
            <w:noWrap/>
            <w:hideMark/>
          </w:tcPr>
          <w:p w14:paraId="3538431E"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3.59</w:t>
            </w:r>
          </w:p>
        </w:tc>
        <w:tc>
          <w:tcPr>
            <w:tcW w:w="944" w:type="dxa"/>
            <w:noWrap/>
            <w:hideMark/>
          </w:tcPr>
          <w:p w14:paraId="4A739643"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0.085</w:t>
            </w:r>
          </w:p>
        </w:tc>
        <w:tc>
          <w:tcPr>
            <w:tcW w:w="944" w:type="dxa"/>
            <w:noWrap/>
            <w:hideMark/>
          </w:tcPr>
          <w:p w14:paraId="4F58634D"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ns</w:t>
            </w:r>
          </w:p>
        </w:tc>
      </w:tr>
      <w:tr w:rsidR="00781322" w:rsidRPr="0013560C" w14:paraId="00B3DF3C" w14:textId="77777777" w:rsidTr="00781322">
        <w:trPr>
          <w:trHeight w:val="301"/>
          <w:jc w:val="center"/>
        </w:trPr>
        <w:tc>
          <w:tcPr>
            <w:tcW w:w="2405" w:type="dxa"/>
            <w:noWrap/>
            <w:hideMark/>
          </w:tcPr>
          <w:p w14:paraId="7F27CD59" w14:textId="013845D3"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 xml:space="preserve">Milk </w:t>
            </w:r>
            <w:r w:rsidR="00EE6586" w:rsidRPr="0013560C">
              <w:rPr>
                <w:rFonts w:ascii="Times New Roman" w:hAnsi="Times New Roman" w:cs="Times New Roman"/>
                <w:sz w:val="20"/>
                <w:szCs w:val="20"/>
              </w:rPr>
              <w:t>u</w:t>
            </w:r>
            <w:r w:rsidRPr="0013560C">
              <w:rPr>
                <w:rFonts w:ascii="Times New Roman" w:hAnsi="Times New Roman" w:cs="Times New Roman"/>
                <w:sz w:val="20"/>
                <w:szCs w:val="20"/>
              </w:rPr>
              <w:t>rea</w:t>
            </w:r>
          </w:p>
        </w:tc>
        <w:tc>
          <w:tcPr>
            <w:tcW w:w="943" w:type="dxa"/>
            <w:noWrap/>
            <w:hideMark/>
          </w:tcPr>
          <w:p w14:paraId="34FDC98B"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275</w:t>
            </w:r>
          </w:p>
        </w:tc>
        <w:tc>
          <w:tcPr>
            <w:tcW w:w="944" w:type="dxa"/>
            <w:noWrap/>
            <w:hideMark/>
          </w:tcPr>
          <w:p w14:paraId="072996DE"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278</w:t>
            </w:r>
          </w:p>
        </w:tc>
        <w:tc>
          <w:tcPr>
            <w:tcW w:w="944" w:type="dxa"/>
            <w:noWrap/>
            <w:hideMark/>
          </w:tcPr>
          <w:p w14:paraId="618D6D0E"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8.4</w:t>
            </w:r>
          </w:p>
        </w:tc>
        <w:tc>
          <w:tcPr>
            <w:tcW w:w="944" w:type="dxa"/>
            <w:noWrap/>
            <w:hideMark/>
          </w:tcPr>
          <w:p w14:paraId="099DAAF3"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ns</w:t>
            </w:r>
          </w:p>
        </w:tc>
      </w:tr>
      <w:tr w:rsidR="00781322" w:rsidRPr="0013560C" w14:paraId="0249BD16" w14:textId="77777777" w:rsidTr="00781322">
        <w:trPr>
          <w:trHeight w:val="301"/>
          <w:jc w:val="center"/>
        </w:trPr>
        <w:tc>
          <w:tcPr>
            <w:tcW w:w="2405" w:type="dxa"/>
            <w:tcBorders>
              <w:bottom w:val="single" w:sz="4" w:space="0" w:color="auto"/>
            </w:tcBorders>
            <w:noWrap/>
            <w:hideMark/>
          </w:tcPr>
          <w:p w14:paraId="0F87A1B2"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BCS</w:t>
            </w:r>
          </w:p>
        </w:tc>
        <w:tc>
          <w:tcPr>
            <w:tcW w:w="943" w:type="dxa"/>
            <w:tcBorders>
              <w:bottom w:val="single" w:sz="4" w:space="0" w:color="auto"/>
            </w:tcBorders>
            <w:noWrap/>
            <w:hideMark/>
          </w:tcPr>
          <w:p w14:paraId="6152D32C" w14:textId="4F10B412"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2</w:t>
            </w:r>
            <w:r w:rsidR="00C009EC" w:rsidRPr="0013560C">
              <w:rPr>
                <w:rFonts w:ascii="Times New Roman" w:hAnsi="Times New Roman" w:cs="Times New Roman"/>
                <w:sz w:val="20"/>
                <w:szCs w:val="20"/>
              </w:rPr>
              <w:t>.</w:t>
            </w:r>
            <w:r w:rsidRPr="0013560C">
              <w:rPr>
                <w:rFonts w:ascii="Times New Roman" w:hAnsi="Times New Roman" w:cs="Times New Roman"/>
                <w:sz w:val="20"/>
                <w:szCs w:val="20"/>
              </w:rPr>
              <w:t>55</w:t>
            </w:r>
          </w:p>
        </w:tc>
        <w:tc>
          <w:tcPr>
            <w:tcW w:w="944" w:type="dxa"/>
            <w:tcBorders>
              <w:bottom w:val="single" w:sz="4" w:space="0" w:color="auto"/>
            </w:tcBorders>
            <w:noWrap/>
            <w:hideMark/>
          </w:tcPr>
          <w:p w14:paraId="417C3C74" w14:textId="4ED8ECC8"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2</w:t>
            </w:r>
            <w:r w:rsidR="00C009EC" w:rsidRPr="0013560C">
              <w:rPr>
                <w:rFonts w:ascii="Times New Roman" w:hAnsi="Times New Roman" w:cs="Times New Roman"/>
                <w:sz w:val="20"/>
                <w:szCs w:val="20"/>
              </w:rPr>
              <w:t>.</w:t>
            </w:r>
            <w:r w:rsidRPr="0013560C">
              <w:rPr>
                <w:rFonts w:ascii="Times New Roman" w:hAnsi="Times New Roman" w:cs="Times New Roman"/>
                <w:sz w:val="20"/>
                <w:szCs w:val="20"/>
              </w:rPr>
              <w:t>58</w:t>
            </w:r>
          </w:p>
        </w:tc>
        <w:tc>
          <w:tcPr>
            <w:tcW w:w="944" w:type="dxa"/>
            <w:tcBorders>
              <w:bottom w:val="single" w:sz="4" w:space="0" w:color="auto"/>
            </w:tcBorders>
            <w:noWrap/>
            <w:hideMark/>
          </w:tcPr>
          <w:p w14:paraId="5627FADE" w14:textId="5EA2131F" w:rsidR="00781322" w:rsidRPr="0013560C" w:rsidRDefault="00C009EC" w:rsidP="00781322">
            <w:pPr>
              <w:jc w:val="both"/>
              <w:rPr>
                <w:rFonts w:ascii="Times New Roman" w:hAnsi="Times New Roman" w:cs="Times New Roman"/>
                <w:sz w:val="20"/>
                <w:szCs w:val="20"/>
              </w:rPr>
            </w:pPr>
            <w:r w:rsidRPr="0013560C">
              <w:rPr>
                <w:rFonts w:ascii="Times New Roman" w:hAnsi="Times New Roman" w:cs="Times New Roman"/>
                <w:sz w:val="20"/>
                <w:szCs w:val="20"/>
              </w:rPr>
              <w:t>0.0</w:t>
            </w:r>
            <w:r w:rsidR="00781322" w:rsidRPr="0013560C">
              <w:rPr>
                <w:rFonts w:ascii="Times New Roman" w:hAnsi="Times New Roman" w:cs="Times New Roman"/>
                <w:sz w:val="20"/>
                <w:szCs w:val="20"/>
              </w:rPr>
              <w:t>59</w:t>
            </w:r>
          </w:p>
        </w:tc>
        <w:tc>
          <w:tcPr>
            <w:tcW w:w="944" w:type="dxa"/>
            <w:tcBorders>
              <w:bottom w:val="single" w:sz="4" w:space="0" w:color="auto"/>
            </w:tcBorders>
            <w:noWrap/>
            <w:hideMark/>
          </w:tcPr>
          <w:p w14:paraId="56CFF07D" w14:textId="77777777" w:rsidR="00781322" w:rsidRPr="0013560C" w:rsidRDefault="00781322" w:rsidP="00781322">
            <w:pPr>
              <w:jc w:val="both"/>
              <w:rPr>
                <w:rFonts w:ascii="Times New Roman" w:hAnsi="Times New Roman" w:cs="Times New Roman"/>
                <w:sz w:val="20"/>
                <w:szCs w:val="20"/>
              </w:rPr>
            </w:pPr>
            <w:r w:rsidRPr="0013560C">
              <w:rPr>
                <w:rFonts w:ascii="Times New Roman" w:hAnsi="Times New Roman" w:cs="Times New Roman"/>
                <w:sz w:val="20"/>
                <w:szCs w:val="20"/>
              </w:rPr>
              <w:t>ns</w:t>
            </w:r>
          </w:p>
        </w:tc>
      </w:tr>
    </w:tbl>
    <w:p w14:paraId="363A36A5" w14:textId="77777777" w:rsidR="0099665B" w:rsidRPr="0013560C" w:rsidRDefault="0099665B" w:rsidP="0099665B">
      <w:pPr>
        <w:jc w:val="both"/>
        <w:rPr>
          <w:rFonts w:ascii="Times New Roman" w:hAnsi="Times New Roman" w:cs="Times New Roman"/>
          <w:b/>
          <w:bCs/>
          <w:sz w:val="20"/>
          <w:szCs w:val="20"/>
        </w:rPr>
      </w:pPr>
    </w:p>
    <w:p w14:paraId="177F89D4" w14:textId="30A294CD" w:rsidR="0099665B" w:rsidRPr="0013560C" w:rsidRDefault="0004510E" w:rsidP="0099665B">
      <w:pPr>
        <w:jc w:val="both"/>
        <w:rPr>
          <w:rFonts w:ascii="Times New Roman" w:hAnsi="Times New Roman" w:cs="Times New Roman"/>
          <w:sz w:val="20"/>
          <w:szCs w:val="20"/>
        </w:rPr>
      </w:pPr>
      <w:r w:rsidRPr="0013560C">
        <w:rPr>
          <w:rFonts w:ascii="Times New Roman" w:hAnsi="Times New Roman" w:cs="Times New Roman"/>
          <w:b/>
          <w:bCs/>
          <w:sz w:val="20"/>
          <w:szCs w:val="20"/>
        </w:rPr>
        <w:t>C</w:t>
      </w:r>
      <w:r w:rsidR="00F86525" w:rsidRPr="0013560C">
        <w:rPr>
          <w:rFonts w:ascii="Times New Roman" w:hAnsi="Times New Roman" w:cs="Times New Roman"/>
          <w:b/>
          <w:bCs/>
          <w:sz w:val="20"/>
          <w:szCs w:val="20"/>
        </w:rPr>
        <w:t xml:space="preserve">onclusion: </w:t>
      </w:r>
      <w:r w:rsidR="00EE6586" w:rsidRPr="0013560C">
        <w:rPr>
          <w:rFonts w:ascii="Times New Roman" w:hAnsi="Times New Roman" w:cs="Times New Roman"/>
          <w:sz w:val="20"/>
          <w:szCs w:val="20"/>
        </w:rPr>
        <w:t>Results from this study show</w:t>
      </w:r>
      <w:r w:rsidR="00C009EC" w:rsidRPr="0013560C">
        <w:rPr>
          <w:rFonts w:ascii="Times New Roman" w:hAnsi="Times New Roman" w:cs="Times New Roman"/>
          <w:sz w:val="20"/>
          <w:szCs w:val="20"/>
        </w:rPr>
        <w:t xml:space="preserve"> that similar levels of cow performance can be achieved from both PRG swards and PLN swards with a mean 27.9% plantain inclusion rate over the season. </w:t>
      </w:r>
    </w:p>
    <w:p w14:paraId="74668F9F" w14:textId="77777777" w:rsidR="00C009EC" w:rsidRPr="0013560C" w:rsidRDefault="00C009EC" w:rsidP="0099665B">
      <w:pPr>
        <w:jc w:val="both"/>
        <w:rPr>
          <w:rFonts w:ascii="Times New Roman" w:hAnsi="Times New Roman" w:cs="Times New Roman"/>
          <w:sz w:val="20"/>
          <w:szCs w:val="20"/>
        </w:rPr>
      </w:pPr>
    </w:p>
    <w:p w14:paraId="10357FE8" w14:textId="3CA65612" w:rsidR="0004510E" w:rsidRPr="00C23360" w:rsidRDefault="00F86525" w:rsidP="0099665B">
      <w:pPr>
        <w:jc w:val="both"/>
        <w:rPr>
          <w:rFonts w:ascii="Times New Roman" w:hAnsi="Times New Roman" w:cs="Times New Roman"/>
          <w:sz w:val="20"/>
          <w:szCs w:val="20"/>
        </w:rPr>
      </w:pPr>
      <w:r w:rsidRPr="0013560C">
        <w:rPr>
          <w:rFonts w:ascii="Times New Roman" w:hAnsi="Times New Roman" w:cs="Times New Roman"/>
          <w:b/>
          <w:bCs/>
          <w:sz w:val="20"/>
          <w:szCs w:val="20"/>
        </w:rPr>
        <w:t>Acknowledgements:</w:t>
      </w:r>
      <w:r w:rsidRPr="0013560C">
        <w:rPr>
          <w:rFonts w:ascii="Times New Roman" w:hAnsi="Times New Roman" w:cs="Times New Roman"/>
          <w:sz w:val="20"/>
          <w:szCs w:val="20"/>
        </w:rPr>
        <w:t xml:space="preserve"> The authors acknowledge funding from </w:t>
      </w:r>
      <w:r w:rsidR="00C63F5A" w:rsidRPr="0013560C">
        <w:rPr>
          <w:rFonts w:ascii="Times New Roman" w:hAnsi="Times New Roman" w:cs="Times New Roman"/>
          <w:sz w:val="20"/>
          <w:szCs w:val="20"/>
        </w:rPr>
        <w:t>the Department of Agriculture, Environment and Rural Affairs for Northern Ireland.</w:t>
      </w:r>
      <w:r w:rsidR="00C63F5A">
        <w:rPr>
          <w:rFonts w:ascii="Times New Roman" w:hAnsi="Times New Roman" w:cs="Times New Roman"/>
          <w:sz w:val="20"/>
          <w:szCs w:val="20"/>
        </w:rPr>
        <w:t xml:space="preserve"> </w:t>
      </w:r>
    </w:p>
    <w:p w14:paraId="2F6A0C86" w14:textId="77777777" w:rsidR="00C63F5A" w:rsidRPr="00937E68" w:rsidRDefault="00F86525" w:rsidP="00C63F5A">
      <w:pPr>
        <w:spacing w:after="0" w:line="240" w:lineRule="auto"/>
        <w:rPr>
          <w:rFonts w:ascii="Times New Roman" w:hAnsi="Times New Roman" w:cs="Times New Roman"/>
          <w:sz w:val="20"/>
          <w:szCs w:val="20"/>
        </w:rPr>
      </w:pPr>
      <w:r w:rsidRPr="00C23360">
        <w:rPr>
          <w:rFonts w:ascii="Times New Roman" w:hAnsi="Times New Roman" w:cs="Times New Roman"/>
          <w:b/>
          <w:bCs/>
          <w:sz w:val="20"/>
          <w:szCs w:val="20"/>
        </w:rPr>
        <w:t>References:</w:t>
      </w:r>
      <w:r w:rsidRPr="00D70142">
        <w:rPr>
          <w:rFonts w:ascii="Times New Roman" w:hAnsi="Times New Roman" w:cs="Times New Roman"/>
          <w:sz w:val="20"/>
          <w:szCs w:val="20"/>
        </w:rPr>
        <w:t xml:space="preserve"> </w:t>
      </w:r>
      <w:r w:rsidR="00C63F5A" w:rsidRPr="00937E68">
        <w:rPr>
          <w:rFonts w:ascii="Times New Roman" w:hAnsi="Times New Roman" w:cs="Times New Roman"/>
          <w:sz w:val="20"/>
          <w:szCs w:val="20"/>
        </w:rPr>
        <w:t>Navarrete S., Rodriguez M., Horne D., Hanly J., Hedley M. and Kemp P. (2022) Nitrogen Excretion by Dairy Cows Grazing Plantain (</w:t>
      </w:r>
      <w:r w:rsidR="00C63F5A" w:rsidRPr="00937E68">
        <w:rPr>
          <w:rFonts w:ascii="Times New Roman" w:hAnsi="Times New Roman" w:cs="Times New Roman"/>
          <w:i/>
          <w:sz w:val="20"/>
          <w:szCs w:val="20"/>
        </w:rPr>
        <w:t>Plantago lanceolata</w:t>
      </w:r>
      <w:r w:rsidR="00C63F5A" w:rsidRPr="00937E68">
        <w:rPr>
          <w:rFonts w:ascii="Times New Roman" w:hAnsi="Times New Roman" w:cs="Times New Roman"/>
          <w:sz w:val="20"/>
          <w:szCs w:val="20"/>
        </w:rPr>
        <w:t xml:space="preserve">) Based Pastures during the Lactating Season. </w:t>
      </w:r>
      <w:r w:rsidR="00C63F5A" w:rsidRPr="00937E68">
        <w:rPr>
          <w:rFonts w:ascii="Times New Roman" w:hAnsi="Times New Roman" w:cs="Times New Roman"/>
          <w:i/>
          <w:iCs/>
          <w:sz w:val="20"/>
          <w:szCs w:val="20"/>
        </w:rPr>
        <w:t>Animals</w:t>
      </w:r>
      <w:r w:rsidR="00C63F5A" w:rsidRPr="00937E68">
        <w:rPr>
          <w:rFonts w:ascii="Times New Roman" w:hAnsi="Times New Roman" w:cs="Times New Roman"/>
          <w:sz w:val="20"/>
          <w:szCs w:val="20"/>
        </w:rPr>
        <w:t xml:space="preserve"> 12, 469.</w:t>
      </w:r>
    </w:p>
    <w:p w14:paraId="25EC7046" w14:textId="77777777" w:rsidR="00806DD8" w:rsidRPr="00806DD8" w:rsidRDefault="00806DD8" w:rsidP="00806DD8">
      <w:pPr>
        <w:spacing w:after="0" w:line="240" w:lineRule="auto"/>
        <w:rPr>
          <w:rFonts w:ascii="Times New Roman" w:hAnsi="Times New Roman" w:cs="Times New Roman"/>
          <w:sz w:val="20"/>
          <w:szCs w:val="20"/>
          <w:lang w:val="en-US"/>
        </w:rPr>
      </w:pPr>
      <w:r w:rsidRPr="00806DD8">
        <w:rPr>
          <w:rFonts w:ascii="Times New Roman" w:hAnsi="Times New Roman" w:cs="Times New Roman"/>
          <w:sz w:val="20"/>
          <w:szCs w:val="20"/>
          <w:lang w:val="en-US"/>
        </w:rPr>
        <w:t xml:space="preserve">Nguyen TT, Navarrete S, Horne D, Donaghy D, Kemp P. 2024. Milk production and nitrogen excretion of grazed dairy cows in response to plantain (Plantago lanceolata) content and lactation season. </w:t>
      </w:r>
      <w:r w:rsidRPr="00806DD8">
        <w:rPr>
          <w:rFonts w:ascii="Times New Roman" w:hAnsi="Times New Roman" w:cs="Times New Roman"/>
          <w:i/>
          <w:iCs/>
          <w:sz w:val="20"/>
          <w:szCs w:val="20"/>
          <w:lang w:val="en-US"/>
        </w:rPr>
        <w:t>Anim Biosci.</w:t>
      </w:r>
      <w:r w:rsidRPr="00806DD8">
        <w:rPr>
          <w:rFonts w:ascii="Times New Roman" w:hAnsi="Times New Roman" w:cs="Times New Roman"/>
          <w:sz w:val="20"/>
          <w:szCs w:val="20"/>
          <w:lang w:val="en-US"/>
        </w:rPr>
        <w:t xml:space="preserve"> Feb 23. doi: 10.5713/ab.23.0400. Epub ahead of print. PMID: 38419536.</w:t>
      </w:r>
    </w:p>
    <w:p w14:paraId="38854CA0" w14:textId="3CE99F2E" w:rsidR="00C63F5A" w:rsidRPr="00937E68" w:rsidRDefault="00C63F5A" w:rsidP="00C63F5A">
      <w:pPr>
        <w:spacing w:after="0" w:line="240" w:lineRule="auto"/>
        <w:rPr>
          <w:rFonts w:ascii="Times New Roman" w:hAnsi="Times New Roman" w:cs="Times New Roman"/>
          <w:sz w:val="20"/>
          <w:szCs w:val="20"/>
        </w:rPr>
      </w:pPr>
      <w:r w:rsidRPr="00937E68">
        <w:rPr>
          <w:rFonts w:ascii="Times New Roman" w:hAnsi="Times New Roman" w:cs="Times New Roman"/>
          <w:sz w:val="20"/>
          <w:szCs w:val="20"/>
        </w:rPr>
        <w:t>Vi C., Kemp P.D., Saggar S., Navarrete S. and Horne D.J. (2023) Effective Proportion of Plantain (</w:t>
      </w:r>
      <w:r w:rsidRPr="00937E68">
        <w:rPr>
          <w:rFonts w:ascii="Times New Roman" w:hAnsi="Times New Roman" w:cs="Times New Roman"/>
          <w:i/>
          <w:iCs/>
          <w:sz w:val="20"/>
          <w:szCs w:val="20"/>
        </w:rPr>
        <w:t>Plantago lanceolata</w:t>
      </w:r>
      <w:r w:rsidRPr="00937E68">
        <w:rPr>
          <w:rFonts w:ascii="Times New Roman" w:hAnsi="Times New Roman" w:cs="Times New Roman"/>
          <w:sz w:val="20"/>
          <w:szCs w:val="20"/>
        </w:rPr>
        <w:t xml:space="preserve"> L.) in Mixed Pastures for Botanical Stability and Mitigating Nitrous Oxide Emissions from Cow Urine Patches. </w:t>
      </w:r>
      <w:r w:rsidRPr="00937E68">
        <w:rPr>
          <w:rFonts w:ascii="Times New Roman" w:hAnsi="Times New Roman" w:cs="Times New Roman"/>
          <w:i/>
          <w:iCs/>
          <w:sz w:val="20"/>
          <w:szCs w:val="20"/>
        </w:rPr>
        <w:t>Agronomy</w:t>
      </w:r>
      <w:r w:rsidRPr="00937E68">
        <w:rPr>
          <w:rFonts w:ascii="Times New Roman" w:hAnsi="Times New Roman" w:cs="Times New Roman"/>
          <w:sz w:val="20"/>
          <w:szCs w:val="20"/>
        </w:rPr>
        <w:t xml:space="preserve"> 13(6):1447.</w:t>
      </w:r>
    </w:p>
    <w:p w14:paraId="6E94B6F4" w14:textId="126F3923" w:rsidR="00F86525" w:rsidRPr="00C23360" w:rsidRDefault="00F86525" w:rsidP="00C23360">
      <w:pPr>
        <w:spacing w:before="240"/>
        <w:jc w:val="both"/>
        <w:rPr>
          <w:rFonts w:ascii="Times New Roman" w:hAnsi="Times New Roman" w:cs="Times New Roman"/>
          <w:b/>
          <w:bCs/>
          <w:sz w:val="20"/>
          <w:szCs w:val="20"/>
          <w:lang w:val="en-US"/>
        </w:rPr>
      </w:pPr>
    </w:p>
    <w:sectPr w:rsidR="00F86525" w:rsidRPr="00C233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25"/>
    <w:rsid w:val="0004510E"/>
    <w:rsid w:val="000B286B"/>
    <w:rsid w:val="001238BA"/>
    <w:rsid w:val="0013560C"/>
    <w:rsid w:val="001E0029"/>
    <w:rsid w:val="002F3A45"/>
    <w:rsid w:val="003124AE"/>
    <w:rsid w:val="003231F2"/>
    <w:rsid w:val="00340284"/>
    <w:rsid w:val="003D547C"/>
    <w:rsid w:val="0040144F"/>
    <w:rsid w:val="00417332"/>
    <w:rsid w:val="00494574"/>
    <w:rsid w:val="0055554A"/>
    <w:rsid w:val="00575FA2"/>
    <w:rsid w:val="006266B2"/>
    <w:rsid w:val="00650CD5"/>
    <w:rsid w:val="006B77B6"/>
    <w:rsid w:val="006F091A"/>
    <w:rsid w:val="00734F1D"/>
    <w:rsid w:val="007421F1"/>
    <w:rsid w:val="00756A07"/>
    <w:rsid w:val="00767B1B"/>
    <w:rsid w:val="00777201"/>
    <w:rsid w:val="00781322"/>
    <w:rsid w:val="007A62DB"/>
    <w:rsid w:val="00806DD8"/>
    <w:rsid w:val="00843B0E"/>
    <w:rsid w:val="00850115"/>
    <w:rsid w:val="008D4C47"/>
    <w:rsid w:val="008E5D16"/>
    <w:rsid w:val="00983D2C"/>
    <w:rsid w:val="0099665B"/>
    <w:rsid w:val="009E2357"/>
    <w:rsid w:val="00A53953"/>
    <w:rsid w:val="00A576AC"/>
    <w:rsid w:val="00AE5165"/>
    <w:rsid w:val="00B351F6"/>
    <w:rsid w:val="00B6745C"/>
    <w:rsid w:val="00B7420A"/>
    <w:rsid w:val="00C009EC"/>
    <w:rsid w:val="00C144A3"/>
    <w:rsid w:val="00C23360"/>
    <w:rsid w:val="00C319B8"/>
    <w:rsid w:val="00C34C76"/>
    <w:rsid w:val="00C57429"/>
    <w:rsid w:val="00C63F5A"/>
    <w:rsid w:val="00C835E9"/>
    <w:rsid w:val="00CA363C"/>
    <w:rsid w:val="00CF170F"/>
    <w:rsid w:val="00D11007"/>
    <w:rsid w:val="00D70142"/>
    <w:rsid w:val="00D878AA"/>
    <w:rsid w:val="00D913C2"/>
    <w:rsid w:val="00DA6028"/>
    <w:rsid w:val="00DE2B9E"/>
    <w:rsid w:val="00E04BF1"/>
    <w:rsid w:val="00E52746"/>
    <w:rsid w:val="00E67B4A"/>
    <w:rsid w:val="00E9446B"/>
    <w:rsid w:val="00EA47D4"/>
    <w:rsid w:val="00EE6586"/>
    <w:rsid w:val="00F05810"/>
    <w:rsid w:val="00F10FDD"/>
    <w:rsid w:val="00F129F7"/>
    <w:rsid w:val="00F5624E"/>
    <w:rsid w:val="00F6216E"/>
    <w:rsid w:val="00F8652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F832"/>
  <w15:chartTrackingRefBased/>
  <w15:docId w15:val="{80357EEC-C955-4178-9620-8163481B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D2C"/>
    <w:rPr>
      <w:sz w:val="16"/>
      <w:szCs w:val="16"/>
    </w:rPr>
  </w:style>
  <w:style w:type="paragraph" w:styleId="CommentText">
    <w:name w:val="annotation text"/>
    <w:basedOn w:val="Normal"/>
    <w:link w:val="CommentTextChar"/>
    <w:uiPriority w:val="99"/>
    <w:unhideWhenUsed/>
    <w:rsid w:val="00983D2C"/>
    <w:pPr>
      <w:spacing w:line="240" w:lineRule="auto"/>
    </w:pPr>
    <w:rPr>
      <w:sz w:val="20"/>
      <w:szCs w:val="20"/>
    </w:rPr>
  </w:style>
  <w:style w:type="character" w:customStyle="1" w:styleId="CommentTextChar">
    <w:name w:val="Comment Text Char"/>
    <w:basedOn w:val="DefaultParagraphFont"/>
    <w:link w:val="CommentText"/>
    <w:uiPriority w:val="99"/>
    <w:rsid w:val="00983D2C"/>
    <w:rPr>
      <w:sz w:val="20"/>
      <w:szCs w:val="20"/>
      <w:lang w:val="en-GB"/>
    </w:rPr>
  </w:style>
  <w:style w:type="paragraph" w:styleId="CommentSubject">
    <w:name w:val="annotation subject"/>
    <w:basedOn w:val="CommentText"/>
    <w:next w:val="CommentText"/>
    <w:link w:val="CommentSubjectChar"/>
    <w:uiPriority w:val="99"/>
    <w:semiHidden/>
    <w:unhideWhenUsed/>
    <w:rsid w:val="00983D2C"/>
    <w:rPr>
      <w:b/>
      <w:bCs/>
    </w:rPr>
  </w:style>
  <w:style w:type="character" w:customStyle="1" w:styleId="CommentSubjectChar">
    <w:name w:val="Comment Subject Char"/>
    <w:basedOn w:val="CommentTextChar"/>
    <w:link w:val="CommentSubject"/>
    <w:uiPriority w:val="99"/>
    <w:semiHidden/>
    <w:rsid w:val="00983D2C"/>
    <w:rPr>
      <w:b/>
      <w:bCs/>
      <w:sz w:val="20"/>
      <w:szCs w:val="20"/>
      <w:lang w:val="en-GB"/>
    </w:rPr>
  </w:style>
  <w:style w:type="character" w:customStyle="1" w:styleId="cf01">
    <w:name w:val="cf01"/>
    <w:basedOn w:val="DefaultParagraphFont"/>
    <w:rsid w:val="00983D2C"/>
    <w:rPr>
      <w:rFonts w:ascii="Segoe UI" w:hAnsi="Segoe UI" w:cs="Segoe UI" w:hint="default"/>
      <w:sz w:val="18"/>
      <w:szCs w:val="18"/>
    </w:rPr>
  </w:style>
  <w:style w:type="paragraph" w:styleId="Revision">
    <w:name w:val="Revision"/>
    <w:hidden/>
    <w:uiPriority w:val="99"/>
    <w:semiHidden/>
    <w:rsid w:val="00F5624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124">
      <w:bodyDiv w:val="1"/>
      <w:marLeft w:val="0"/>
      <w:marRight w:val="0"/>
      <w:marTop w:val="0"/>
      <w:marBottom w:val="0"/>
      <w:divBdr>
        <w:top w:val="none" w:sz="0" w:space="0" w:color="auto"/>
        <w:left w:val="none" w:sz="0" w:space="0" w:color="auto"/>
        <w:bottom w:val="none" w:sz="0" w:space="0" w:color="auto"/>
        <w:right w:val="none" w:sz="0" w:space="0" w:color="auto"/>
      </w:divBdr>
    </w:div>
    <w:div w:id="286552198">
      <w:bodyDiv w:val="1"/>
      <w:marLeft w:val="0"/>
      <w:marRight w:val="0"/>
      <w:marTop w:val="0"/>
      <w:marBottom w:val="0"/>
      <w:divBdr>
        <w:top w:val="none" w:sz="0" w:space="0" w:color="auto"/>
        <w:left w:val="none" w:sz="0" w:space="0" w:color="auto"/>
        <w:bottom w:val="none" w:sz="0" w:space="0" w:color="auto"/>
        <w:right w:val="none" w:sz="0" w:space="0" w:color="auto"/>
      </w:divBdr>
    </w:div>
    <w:div w:id="294531102">
      <w:bodyDiv w:val="1"/>
      <w:marLeft w:val="0"/>
      <w:marRight w:val="0"/>
      <w:marTop w:val="0"/>
      <w:marBottom w:val="0"/>
      <w:divBdr>
        <w:top w:val="none" w:sz="0" w:space="0" w:color="auto"/>
        <w:left w:val="none" w:sz="0" w:space="0" w:color="auto"/>
        <w:bottom w:val="none" w:sz="0" w:space="0" w:color="auto"/>
        <w:right w:val="none" w:sz="0" w:space="0" w:color="auto"/>
      </w:divBdr>
    </w:div>
    <w:div w:id="5411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Naomi</dc:creator>
  <cp:keywords/>
  <dc:description/>
  <cp:lastModifiedBy>Rutherford, Naomi</cp:lastModifiedBy>
  <cp:revision>3</cp:revision>
  <dcterms:created xsi:type="dcterms:W3CDTF">2024-12-19T10:34:00Z</dcterms:created>
  <dcterms:modified xsi:type="dcterms:W3CDTF">2024-12-19T12:05:00Z</dcterms:modified>
</cp:coreProperties>
</file>