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79B" w14:textId="2D62BF00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31C0878E" w:rsidR="007B30E3" w:rsidRPr="00EE5D2E" w:rsidRDefault="00EE5D2E">
      <w:pPr>
        <w:rPr>
          <w:lang w:val="en-US"/>
        </w:rPr>
      </w:pPr>
      <w:r w:rsidRPr="00EE5D2E">
        <w:rPr>
          <w:lang w:val="en-US"/>
        </w:rPr>
        <w:t xml:space="preserve">A </w:t>
      </w:r>
      <w:r w:rsidR="001C0B2F">
        <w:rPr>
          <w:lang w:val="en-US"/>
        </w:rPr>
        <w:t>nutritionally enhanced</w:t>
      </w:r>
      <w:r w:rsidRPr="00EE5D2E">
        <w:rPr>
          <w:lang w:val="en-US"/>
        </w:rPr>
        <w:t xml:space="preserve"> protein source (DevAmine) influences the synthesis of myo-inositol, a conditionally essential nutrient for optimal growth performance of weaned pigs. </w:t>
      </w: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25FEF965" w:rsidR="007B30E3" w:rsidRPr="00EE5D2E" w:rsidRDefault="00EE5D2E">
      <w:pPr>
        <w:rPr>
          <w:lang w:val="en-US"/>
        </w:rPr>
      </w:pPr>
      <w:r w:rsidRPr="00EE5D2E">
        <w:rPr>
          <w:lang w:val="en-US"/>
        </w:rPr>
        <w:t xml:space="preserve">Myo-inositol is a naturally occurring sugar alcohol enzymatically synthesised from glucose (Su et al., 2023). In mammals, myo-inositol plays an essential role in many physiological processes, such as cell signaling, glucose homeostasis and </w:t>
      </w:r>
      <w:r w:rsidR="00F827ED">
        <w:rPr>
          <w:lang w:val="en-US"/>
        </w:rPr>
        <w:t>osmolarity regulation</w:t>
      </w:r>
      <w:r w:rsidRPr="00EE5D2E">
        <w:rPr>
          <w:lang w:val="en-US"/>
        </w:rPr>
        <w:t xml:space="preserve"> (Kiani et al., 2021). Recent studies have shown that increasing concentrations of myo-inositol in pigs can improve growth performance, feed efficiency and regulate the integrity of the intestinal barrier (Moran et al., 2019, </w:t>
      </w:r>
      <w:proofErr w:type="spellStart"/>
      <w:r w:rsidRPr="00EE5D2E">
        <w:rPr>
          <w:lang w:val="en-US"/>
        </w:rPr>
        <w:t>Ogunribido</w:t>
      </w:r>
      <w:proofErr w:type="spellEnd"/>
      <w:r w:rsidRPr="00EE5D2E">
        <w:rPr>
          <w:lang w:val="en-US"/>
        </w:rPr>
        <w:t xml:space="preserve"> et al., 2022). </w:t>
      </w:r>
      <w:r w:rsidR="00721930">
        <w:rPr>
          <w:lang w:val="en-US"/>
        </w:rPr>
        <w:t xml:space="preserve">DevAmine </w:t>
      </w:r>
      <w:r w:rsidR="001037C4">
        <w:rPr>
          <w:lang w:val="en-US"/>
        </w:rPr>
        <w:t>is manufac</w:t>
      </w:r>
      <w:r w:rsidR="002935B0">
        <w:rPr>
          <w:lang w:val="en-US"/>
        </w:rPr>
        <w:t>tured by processing a mixture of protein</w:t>
      </w:r>
      <w:r w:rsidR="00516A19">
        <w:rPr>
          <w:lang w:val="en-US"/>
        </w:rPr>
        <w:t>s</w:t>
      </w:r>
      <w:r w:rsidR="002935B0">
        <w:rPr>
          <w:lang w:val="en-US"/>
        </w:rPr>
        <w:t xml:space="preserve"> and amino </w:t>
      </w:r>
      <w:r w:rsidR="0000460E">
        <w:rPr>
          <w:lang w:val="en-US"/>
        </w:rPr>
        <w:t xml:space="preserve">acids </w:t>
      </w:r>
      <w:r w:rsidR="00A043A3">
        <w:rPr>
          <w:lang w:val="en-US"/>
        </w:rPr>
        <w:t xml:space="preserve">with sugars under conditions of temperature and pressure to ensure </w:t>
      </w:r>
      <w:r w:rsidR="00B71859">
        <w:rPr>
          <w:lang w:val="en-US"/>
        </w:rPr>
        <w:t xml:space="preserve">all amino acids </w:t>
      </w:r>
      <w:r w:rsidR="00F224B9">
        <w:rPr>
          <w:lang w:val="en-US"/>
        </w:rPr>
        <w:t xml:space="preserve">and sugars </w:t>
      </w:r>
      <w:r w:rsidR="00B71859">
        <w:rPr>
          <w:lang w:val="en-US"/>
        </w:rPr>
        <w:t>are released at a rate commen</w:t>
      </w:r>
      <w:r w:rsidR="00022641">
        <w:rPr>
          <w:lang w:val="en-US"/>
        </w:rPr>
        <w:t>surate with efficien</w:t>
      </w:r>
      <w:r w:rsidR="00F224B9">
        <w:rPr>
          <w:lang w:val="en-US"/>
        </w:rPr>
        <w:t>t</w:t>
      </w:r>
      <w:r w:rsidR="00022641">
        <w:rPr>
          <w:lang w:val="en-US"/>
        </w:rPr>
        <w:t xml:space="preserve"> absorption and ultilisation</w:t>
      </w:r>
      <w:r w:rsidR="00721930">
        <w:rPr>
          <w:lang w:val="en-US"/>
        </w:rPr>
        <w:t xml:space="preserve">. </w:t>
      </w:r>
      <w:r w:rsidR="00F827ED">
        <w:rPr>
          <w:lang w:val="en-US"/>
        </w:rPr>
        <w:t xml:space="preserve">The sugar released from DevAmine could act as a precursor for myo-inositol synthesis. </w:t>
      </w:r>
      <w:r w:rsidRPr="00EE5D2E">
        <w:rPr>
          <w:lang w:val="en-US"/>
        </w:rPr>
        <w:t xml:space="preserve">The objective of this study is to evaluate </w:t>
      </w:r>
      <w:r w:rsidR="00721930">
        <w:rPr>
          <w:lang w:val="en-US"/>
        </w:rPr>
        <w:t>if diets containing different protein sources balanced for dietary sugar content</w:t>
      </w:r>
      <w:r w:rsidRPr="00EE5D2E">
        <w:rPr>
          <w:lang w:val="en-US"/>
        </w:rPr>
        <w:t xml:space="preserve"> </w:t>
      </w:r>
      <w:r w:rsidR="00F827ED">
        <w:rPr>
          <w:lang w:val="en-US"/>
        </w:rPr>
        <w:t>affect</w:t>
      </w:r>
      <w:r w:rsidR="00721930">
        <w:rPr>
          <w:lang w:val="en-US"/>
        </w:rPr>
        <w:t xml:space="preserve"> the </w:t>
      </w:r>
      <w:r w:rsidRPr="00EE5D2E">
        <w:rPr>
          <w:lang w:val="en-US"/>
        </w:rPr>
        <w:t>plasma concentration of myo</w:t>
      </w:r>
      <w:r w:rsidR="00C3699B">
        <w:rPr>
          <w:lang w:val="en-US"/>
        </w:rPr>
        <w:t>-</w:t>
      </w:r>
      <w:r w:rsidRPr="00EE5D2E">
        <w:rPr>
          <w:lang w:val="en-US"/>
        </w:rPr>
        <w:t>inositol in weaned pigs. The study focuses on weaned pigs as</w:t>
      </w:r>
      <w:r w:rsidR="002B4938">
        <w:rPr>
          <w:lang w:val="en-US"/>
        </w:rPr>
        <w:t xml:space="preserve"> myo-</w:t>
      </w:r>
      <w:r w:rsidRPr="00EE5D2E">
        <w:rPr>
          <w:lang w:val="en-US"/>
        </w:rPr>
        <w:t xml:space="preserve"> inositol may be a conditionally essential nutrient in weaned pigs due to greater metabolic effects observed in this age group.</w:t>
      </w:r>
      <w:r w:rsidR="00F827ED">
        <w:rPr>
          <w:lang w:val="en-US"/>
        </w:rPr>
        <w:t xml:space="preserve"> The study balanced dietary sugar levels to ensure that any effect demonstrated on </w:t>
      </w:r>
      <w:proofErr w:type="gramStart"/>
      <w:r w:rsidR="00F827ED">
        <w:rPr>
          <w:lang w:val="en-US"/>
        </w:rPr>
        <w:t>myo-inositol</w:t>
      </w:r>
      <w:proofErr w:type="gramEnd"/>
      <w:r w:rsidR="00F827ED">
        <w:rPr>
          <w:lang w:val="en-US"/>
        </w:rPr>
        <w:t xml:space="preserve"> levels was due to the inclusion and release mechanism of DevAmine, rather than the addition of pure sugar sources.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5D424640" w14:textId="62301CC4" w:rsidR="00F827ED" w:rsidRDefault="00EE5D2E">
      <w:pPr>
        <w:rPr>
          <w:lang w:val="en-US"/>
        </w:rPr>
      </w:pPr>
      <w:r w:rsidRPr="00EE5D2E">
        <w:rPr>
          <w:lang w:val="en-US"/>
        </w:rPr>
        <w:t xml:space="preserve">Ninety-six piglets (14.5kg ± 0.35 s.e.m.) were fed a diet containing either vegetable protein (VP), synthetic amino acids (SYN), </w:t>
      </w:r>
      <w:r w:rsidR="00705D95">
        <w:rPr>
          <w:lang w:val="en-US"/>
        </w:rPr>
        <w:t>nutritionally enhanced</w:t>
      </w:r>
      <w:r w:rsidRPr="00EE5D2E">
        <w:rPr>
          <w:lang w:val="en-US"/>
        </w:rPr>
        <w:t xml:space="preserve"> protein product (DevAmine), or a combination of sources (COM)</w:t>
      </w:r>
      <w:r w:rsidR="00F827ED">
        <w:rPr>
          <w:lang w:val="en-US"/>
        </w:rPr>
        <w:t xml:space="preserve"> (Table 1)</w:t>
      </w:r>
      <w:r w:rsidRPr="00EE5D2E">
        <w:rPr>
          <w:lang w:val="en-US"/>
        </w:rPr>
        <w:t xml:space="preserve">.  </w:t>
      </w:r>
    </w:p>
    <w:p w14:paraId="26F49EBD" w14:textId="37300882" w:rsidR="00D77368" w:rsidRPr="00D77368" w:rsidRDefault="00D77368">
      <w:pPr>
        <w:rPr>
          <w:i/>
          <w:iCs/>
          <w:lang w:val="en-US"/>
        </w:rPr>
      </w:pPr>
      <w:r w:rsidRPr="00D77368">
        <w:rPr>
          <w:i/>
          <w:iCs/>
          <w:lang w:val="en-US"/>
        </w:rPr>
        <w:t>Table 1 Proximate analysis of diets containing vegetable protein, synthetic amino acids, DevAmine o</w:t>
      </w:r>
      <w:r w:rsidR="00C568D4">
        <w:rPr>
          <w:i/>
          <w:iCs/>
          <w:lang w:val="en-US"/>
        </w:rPr>
        <w:t>r</w:t>
      </w:r>
      <w:r w:rsidRPr="00D77368">
        <w:rPr>
          <w:i/>
          <w:iCs/>
          <w:lang w:val="en-US"/>
        </w:rPr>
        <w:t xml:space="preserve"> a combination of all three sources.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444"/>
        <w:gridCol w:w="1342"/>
        <w:gridCol w:w="1737"/>
        <w:gridCol w:w="1749"/>
        <w:gridCol w:w="1754"/>
      </w:tblGrid>
      <w:tr w:rsidR="001C5365" w:rsidRPr="001C5365" w14:paraId="05920C18" w14:textId="77777777" w:rsidTr="001C5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0F2B066" w14:textId="218B2D99" w:rsidR="001C5365" w:rsidRPr="001C5365" w:rsidRDefault="001C5365" w:rsidP="001C5365">
            <w:pPr>
              <w:spacing w:line="360" w:lineRule="auto"/>
              <w:jc w:val="left"/>
              <w:rPr>
                <w:rFonts w:asciiTheme="minorHAnsi" w:hAnsiTheme="minorHAnsi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Nutrient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9661F8F" w14:textId="798E183E" w:rsidR="001C5365" w:rsidRPr="001C5365" w:rsidRDefault="001C5365" w:rsidP="001C53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/>
                <w:sz w:val="20"/>
                <w:szCs w:val="20"/>
              </w:rPr>
              <w:t>Combination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2DD57702" w14:textId="7F028848" w:rsidR="001C5365" w:rsidRPr="001C5365" w:rsidRDefault="001C5365" w:rsidP="001C53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/>
                <w:sz w:val="20"/>
                <w:szCs w:val="20"/>
              </w:rPr>
              <w:t>Intact Protein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71435B32" w14:textId="0B75D5DB" w:rsidR="001C5365" w:rsidRPr="001C5365" w:rsidRDefault="001C5365" w:rsidP="001C53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/>
                <w:sz w:val="20"/>
                <w:szCs w:val="20"/>
              </w:rPr>
              <w:t>Synthetic amino acids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00E7457" w14:textId="285F334F" w:rsidR="001C5365" w:rsidRPr="001C5365" w:rsidRDefault="001C5365" w:rsidP="001C53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C5365">
              <w:rPr>
                <w:rFonts w:asciiTheme="minorHAnsi" w:hAnsiTheme="minorHAnsi"/>
                <w:sz w:val="20"/>
                <w:szCs w:val="20"/>
              </w:rPr>
              <w:t>DevAmine</w:t>
            </w:r>
          </w:p>
        </w:tc>
      </w:tr>
      <w:tr w:rsidR="00615D83" w:rsidRPr="001C5365" w14:paraId="5AE14CC9" w14:textId="77777777" w:rsidTr="001C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4EE6AA11" w14:textId="6D0FE75E" w:rsidR="00615D83" w:rsidRPr="001C5365" w:rsidRDefault="00615D83" w:rsidP="000A0371">
            <w:pPr>
              <w:spacing w:line="360" w:lineRule="auto"/>
              <w:jc w:val="both"/>
              <w:rPr>
                <w:rFonts w:asciiTheme="minorHAnsi" w:hAnsiTheme="minorHAnsi" w:cs="Arial"/>
                <w:i w:val="0"/>
                <w:iCs w:val="0"/>
                <w:sz w:val="20"/>
                <w:szCs w:val="20"/>
                <w:u w:val="single"/>
              </w:rPr>
            </w:pPr>
          </w:p>
          <w:p w14:paraId="4F49DD66" w14:textId="5D01C7A5" w:rsidR="00615D83" w:rsidRPr="001C5365" w:rsidRDefault="00615D83" w:rsidP="000A037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5365">
              <w:rPr>
                <w:rFonts w:asciiTheme="minorHAnsi" w:hAnsiTheme="minorHAnsi" w:cs="Arial"/>
                <w:sz w:val="20"/>
                <w:szCs w:val="20"/>
              </w:rPr>
              <w:t>Energy, DE MJ/Kg</w:t>
            </w:r>
          </w:p>
          <w:p w14:paraId="5FBF69A6" w14:textId="77777777" w:rsidR="00615D83" w:rsidRPr="001C5365" w:rsidRDefault="00615D83" w:rsidP="000A0371">
            <w:pPr>
              <w:spacing w:line="360" w:lineRule="auto"/>
              <w:jc w:val="both"/>
              <w:rPr>
                <w:rFonts w:asciiTheme="minorHAnsi" w:hAnsiTheme="minorHAnsi" w:cs="Arial"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 w:cs="Arial"/>
                <w:sz w:val="20"/>
                <w:szCs w:val="20"/>
              </w:rPr>
              <w:t>Protein</w:t>
            </w:r>
          </w:p>
          <w:p w14:paraId="227A91E7" w14:textId="77777777" w:rsidR="00615D83" w:rsidRPr="001C5365" w:rsidRDefault="00615D83" w:rsidP="000A0371">
            <w:pPr>
              <w:spacing w:line="360" w:lineRule="auto"/>
              <w:jc w:val="both"/>
              <w:rPr>
                <w:rFonts w:asciiTheme="minorHAnsi" w:hAnsiTheme="minorHAnsi" w:cs="Arial"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 w:cs="Arial"/>
                <w:sz w:val="20"/>
                <w:szCs w:val="20"/>
              </w:rPr>
              <w:t>SID Lysine, %</w:t>
            </w:r>
          </w:p>
          <w:p w14:paraId="065B731A" w14:textId="526C4A1E" w:rsidR="00615D83" w:rsidRPr="001C5365" w:rsidRDefault="00615D83" w:rsidP="000A0371">
            <w:pPr>
              <w:spacing w:line="360" w:lineRule="auto"/>
              <w:jc w:val="both"/>
              <w:rPr>
                <w:rFonts w:asciiTheme="minorHAnsi" w:hAnsiTheme="minorHAnsi" w:cs="Arial"/>
                <w:i w:val="0"/>
                <w:iCs w:val="0"/>
                <w:sz w:val="20"/>
                <w:szCs w:val="20"/>
              </w:rPr>
            </w:pPr>
            <w:r w:rsidRPr="001C5365">
              <w:rPr>
                <w:rFonts w:asciiTheme="minorHAnsi" w:hAnsiTheme="minorHAnsi" w:cs="Arial"/>
                <w:sz w:val="20"/>
                <w:szCs w:val="20"/>
              </w:rPr>
              <w:t xml:space="preserve">Sugar, </w:t>
            </w:r>
            <w:r w:rsidR="00D77368" w:rsidRPr="001C5365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D5B5940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EFD48FB" w14:textId="377C00CA" w:rsidR="00615D83" w:rsidRPr="001C5365" w:rsidRDefault="00615D83" w:rsidP="00615D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15.</w:t>
            </w:r>
            <w:r w:rsidR="00D77368" w:rsidRPr="001C5365">
              <w:rPr>
                <w:rFonts w:cs="Arial"/>
                <w:sz w:val="20"/>
                <w:szCs w:val="20"/>
              </w:rPr>
              <w:t>4</w:t>
            </w:r>
          </w:p>
          <w:p w14:paraId="25E57909" w14:textId="2B3711EC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19.6</w:t>
            </w:r>
          </w:p>
          <w:p w14:paraId="3094F912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1.3</w:t>
            </w:r>
          </w:p>
          <w:p w14:paraId="29D5C7A6" w14:textId="2D238013" w:rsidR="00D77368" w:rsidRPr="001C5365" w:rsidRDefault="00D77368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10.4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958EBD2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C2918E1" w14:textId="119AD906" w:rsidR="00615D83" w:rsidRPr="001C5365" w:rsidRDefault="00615D83" w:rsidP="00615D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15.</w:t>
            </w:r>
            <w:r w:rsidR="00D77368" w:rsidRPr="001C5365">
              <w:rPr>
                <w:rFonts w:cs="Arial"/>
                <w:sz w:val="20"/>
                <w:szCs w:val="20"/>
              </w:rPr>
              <w:t>7</w:t>
            </w:r>
          </w:p>
          <w:p w14:paraId="2FAC58CA" w14:textId="7C84825C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24.8</w:t>
            </w:r>
          </w:p>
          <w:p w14:paraId="1C5B66F4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1.3</w:t>
            </w:r>
          </w:p>
          <w:p w14:paraId="09064954" w14:textId="68FF07D5" w:rsidR="00D77368" w:rsidRPr="001C5365" w:rsidRDefault="00D77368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10.2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137D37D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C7A69BF" w14:textId="63370DE7" w:rsidR="00615D83" w:rsidRPr="001C5365" w:rsidRDefault="00615D83" w:rsidP="00615D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15.</w:t>
            </w:r>
            <w:r w:rsidR="00D77368" w:rsidRPr="001C5365">
              <w:rPr>
                <w:rFonts w:cs="Arial"/>
                <w:sz w:val="20"/>
                <w:szCs w:val="20"/>
              </w:rPr>
              <w:t>4</w:t>
            </w:r>
          </w:p>
          <w:p w14:paraId="4F3782BA" w14:textId="521D52BC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19.6</w:t>
            </w:r>
          </w:p>
          <w:p w14:paraId="441E5316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1.3</w:t>
            </w:r>
          </w:p>
          <w:p w14:paraId="06DE1E0A" w14:textId="16174B4E" w:rsidR="00D77368" w:rsidRPr="001C5365" w:rsidRDefault="00D77368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10.4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233233A" w14:textId="77777777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A3C033F" w14:textId="0B34BA8E" w:rsidR="00615D83" w:rsidRPr="001C5365" w:rsidRDefault="00615D83" w:rsidP="00615D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15.</w:t>
            </w:r>
            <w:r w:rsidR="00D77368" w:rsidRPr="001C5365">
              <w:rPr>
                <w:rFonts w:cs="Arial"/>
                <w:sz w:val="20"/>
                <w:szCs w:val="20"/>
              </w:rPr>
              <w:t>4</w:t>
            </w:r>
          </w:p>
          <w:p w14:paraId="7B5562B2" w14:textId="00E58D11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19.6</w:t>
            </w:r>
          </w:p>
          <w:p w14:paraId="63E34E2F" w14:textId="0161707D" w:rsidR="00615D83" w:rsidRPr="001C5365" w:rsidRDefault="00615D83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1.3</w:t>
            </w:r>
          </w:p>
          <w:p w14:paraId="1615BC30" w14:textId="12A4C8C1" w:rsidR="00D77368" w:rsidRPr="001C5365" w:rsidRDefault="00D77368" w:rsidP="000A03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365">
              <w:rPr>
                <w:rFonts w:cs="Arial"/>
                <w:sz w:val="20"/>
                <w:szCs w:val="20"/>
              </w:rPr>
              <w:t>10.6</w:t>
            </w:r>
          </w:p>
        </w:tc>
      </w:tr>
    </w:tbl>
    <w:p w14:paraId="29A60060" w14:textId="77777777" w:rsidR="00D77368" w:rsidRDefault="00D77368">
      <w:pPr>
        <w:rPr>
          <w:lang w:val="en-US"/>
        </w:rPr>
      </w:pPr>
    </w:p>
    <w:p w14:paraId="31DE43A2" w14:textId="56B645F1" w:rsidR="007B30E3" w:rsidRPr="00EE5D2E" w:rsidRDefault="00EE5D2E">
      <w:pPr>
        <w:rPr>
          <w:lang w:val="en-US"/>
        </w:rPr>
      </w:pPr>
      <w:r w:rsidRPr="00EE5D2E">
        <w:rPr>
          <w:lang w:val="en-US"/>
        </w:rPr>
        <w:t xml:space="preserve">Pigs were assigned to the dietary treatments based on weight, sex and dam. Blood samples were collected post-feeding and analysed using GC-MS with d27-myristic acid as an internal standard (Palazoglu, 2009). The myo-inositol concentration was normalised to the internal standard and reported as the mean normalised value. Each individual pig was considered a replicate, and results were analysed by one-way ANOVA, with statistical significance determined by P&lt;0.05. The Tukey-Karmer test was used for post-hoc analysis to assess the significance between treatment groups.  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099C2D78" w14:textId="529B8892" w:rsidR="00EE5D2E" w:rsidRPr="00EE5D2E" w:rsidRDefault="00EE5D2E" w:rsidP="00EE5D2E">
      <w:r w:rsidRPr="00EE5D2E">
        <w:t xml:space="preserve">Plasma concentrations of myo-inositol were significantly increased when pigs received the DevAmine protein source compared to all other treatments (Table </w:t>
      </w:r>
      <w:r w:rsidR="00F827ED">
        <w:t>2</w:t>
      </w:r>
      <w:r w:rsidRPr="00EE5D2E">
        <w:t xml:space="preserve">). The results indicate that a </w:t>
      </w:r>
      <w:r w:rsidRPr="00EE5D2E">
        <w:lastRenderedPageBreak/>
        <w:t xml:space="preserve">DevAmine-based diet will result in a 139-fold increase in myo-inositol compared to typical commercial diets. </w:t>
      </w:r>
    </w:p>
    <w:p w14:paraId="47891B07" w14:textId="462A40B2" w:rsidR="00EE5D2E" w:rsidRPr="00EE5D2E" w:rsidRDefault="00EE5D2E" w:rsidP="00EE5D2E">
      <w:pPr>
        <w:rPr>
          <w:i/>
          <w:iCs/>
        </w:rPr>
      </w:pPr>
      <w:r w:rsidRPr="00EE5D2E">
        <w:rPr>
          <w:i/>
          <w:iCs/>
        </w:rPr>
        <w:t xml:space="preserve">Table </w:t>
      </w:r>
      <w:r w:rsidR="00F827ED">
        <w:rPr>
          <w:i/>
          <w:iCs/>
        </w:rPr>
        <w:t>2</w:t>
      </w:r>
      <w:r w:rsidRPr="00EE5D2E">
        <w:rPr>
          <w:i/>
          <w:iCs/>
        </w:rPr>
        <w:t xml:space="preserve"> Normalised plasma Myo-inositol levels  in weaned piglets fed diets containing either a combination or one of 3 protein sources (Intact protein, synthetic amino acids or DevAmine) at 360 minutes post-feeding.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1"/>
        <w:gridCol w:w="1457"/>
        <w:gridCol w:w="1205"/>
        <w:gridCol w:w="1243"/>
        <w:gridCol w:w="1262"/>
        <w:gridCol w:w="1186"/>
        <w:gridCol w:w="1182"/>
      </w:tblGrid>
      <w:tr w:rsidR="00EE5D2E" w:rsidRPr="00EE5D2E" w14:paraId="192C124D" w14:textId="77777777" w:rsidTr="00D873DE"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</w:tcPr>
          <w:p w14:paraId="71DEAB7D" w14:textId="77777777" w:rsidR="00EE5D2E" w:rsidRPr="00EE5D2E" w:rsidRDefault="00EE5D2E" w:rsidP="00EE5D2E"/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0665D359" w14:textId="77777777" w:rsidR="00EE5D2E" w:rsidRPr="00EE5D2E" w:rsidRDefault="00EE5D2E" w:rsidP="00EE5D2E">
            <w:r w:rsidRPr="00EE5D2E">
              <w:t>Combination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B69B768" w14:textId="77777777" w:rsidR="00EE5D2E" w:rsidRPr="00EE5D2E" w:rsidRDefault="00EE5D2E" w:rsidP="00EE5D2E">
            <w:r w:rsidRPr="00EE5D2E">
              <w:t>Intact Protein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ADBB7D" w14:textId="77777777" w:rsidR="00EE5D2E" w:rsidRPr="00EE5D2E" w:rsidRDefault="00EE5D2E" w:rsidP="00EE5D2E">
            <w:r w:rsidRPr="00EE5D2E">
              <w:t>Synthetic amino acids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0FE98C8" w14:textId="77777777" w:rsidR="00EE5D2E" w:rsidRPr="00EE5D2E" w:rsidRDefault="00EE5D2E" w:rsidP="00EE5D2E">
            <w:r w:rsidRPr="00EE5D2E">
              <w:t>DevAmine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237F990" w14:textId="77777777" w:rsidR="00EE5D2E" w:rsidRPr="00EE5D2E" w:rsidRDefault="00EE5D2E" w:rsidP="00EE5D2E">
            <w:r w:rsidRPr="00EE5D2E">
              <w:t>S.E.M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86DD90A" w14:textId="77777777" w:rsidR="00EE5D2E" w:rsidRPr="00EE5D2E" w:rsidRDefault="00EE5D2E" w:rsidP="00EE5D2E">
            <w:r w:rsidRPr="00EE5D2E">
              <w:t>P-Value</w:t>
            </w:r>
          </w:p>
        </w:tc>
      </w:tr>
      <w:tr w:rsidR="00EE5D2E" w:rsidRPr="00EE5D2E" w14:paraId="13F5E2BF" w14:textId="77777777" w:rsidTr="00D873DE"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A41" w14:textId="77777777" w:rsidR="00EE5D2E" w:rsidRPr="00EE5D2E" w:rsidRDefault="00EE5D2E" w:rsidP="00EE5D2E">
            <w:r w:rsidRPr="00EE5D2E">
              <w:t>Myo-inositol, normalised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FD7FD" w14:textId="77777777" w:rsidR="00EE5D2E" w:rsidRPr="00EE5D2E" w:rsidRDefault="00EE5D2E" w:rsidP="00EE5D2E">
            <w:pPr>
              <w:rPr>
                <w:vertAlign w:val="superscript"/>
              </w:rPr>
            </w:pPr>
            <w:r w:rsidRPr="00EE5D2E">
              <w:t>0.54</w:t>
            </w:r>
            <w:r w:rsidRPr="00EE5D2E">
              <w:rPr>
                <w:vertAlign w:val="superscript"/>
              </w:rPr>
              <w:t>a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79FDDFB8" w14:textId="77777777" w:rsidR="00EE5D2E" w:rsidRPr="00EE5D2E" w:rsidRDefault="00EE5D2E" w:rsidP="00EE5D2E">
            <w:pPr>
              <w:rPr>
                <w:vertAlign w:val="superscript"/>
              </w:rPr>
            </w:pPr>
            <w:r w:rsidRPr="00EE5D2E">
              <w:t>0.06</w:t>
            </w:r>
            <w:r w:rsidRPr="00EE5D2E">
              <w:rPr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7C9BBE" w14:textId="77777777" w:rsidR="00EE5D2E" w:rsidRPr="00EE5D2E" w:rsidRDefault="00EE5D2E" w:rsidP="00EE5D2E">
            <w:pPr>
              <w:rPr>
                <w:vertAlign w:val="superscript"/>
              </w:rPr>
            </w:pPr>
            <w:r w:rsidRPr="00EE5D2E">
              <w:t>0.16</w:t>
            </w:r>
            <w:r w:rsidRPr="00EE5D2E">
              <w:rPr>
                <w:vertAlign w:val="superscript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66F9248" w14:textId="77777777" w:rsidR="00EE5D2E" w:rsidRPr="00EE5D2E" w:rsidRDefault="00EE5D2E" w:rsidP="00EE5D2E">
            <w:pPr>
              <w:rPr>
                <w:vertAlign w:val="superscript"/>
              </w:rPr>
            </w:pPr>
            <w:r w:rsidRPr="00EE5D2E">
              <w:t>22.24</w:t>
            </w:r>
            <w:r w:rsidRPr="00EE5D2E">
              <w:rPr>
                <w:vertAlign w:val="superscript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14B87DB" w14:textId="77777777" w:rsidR="00EE5D2E" w:rsidRPr="00EE5D2E" w:rsidRDefault="00EE5D2E" w:rsidP="00EE5D2E">
            <w:r w:rsidRPr="00EE5D2E">
              <w:t>0.82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9A7C322" w14:textId="77777777" w:rsidR="00EE5D2E" w:rsidRPr="00EE5D2E" w:rsidRDefault="00EE5D2E" w:rsidP="00EE5D2E">
            <w:r w:rsidRPr="00EE5D2E">
              <w:t>&lt;0.05</w:t>
            </w:r>
          </w:p>
        </w:tc>
      </w:tr>
      <w:tr w:rsidR="00EE5D2E" w:rsidRPr="00EE5D2E" w14:paraId="6BB2BE0F" w14:textId="77777777" w:rsidTr="00D873DE">
        <w:tc>
          <w:tcPr>
            <w:tcW w:w="9026" w:type="dxa"/>
            <w:gridSpan w:val="7"/>
            <w:tcBorders>
              <w:top w:val="single" w:sz="4" w:space="0" w:color="auto"/>
            </w:tcBorders>
          </w:tcPr>
          <w:p w14:paraId="5B08625F" w14:textId="77777777" w:rsidR="00EE5D2E" w:rsidRPr="00EE5D2E" w:rsidRDefault="00EE5D2E" w:rsidP="00EE5D2E">
            <w:proofErr w:type="spellStart"/>
            <w:r w:rsidRPr="00EE5D2E">
              <w:rPr>
                <w:vertAlign w:val="superscript"/>
              </w:rPr>
              <w:t>a,b</w:t>
            </w:r>
            <w:proofErr w:type="spellEnd"/>
            <w:r w:rsidRPr="00EE5D2E">
              <w:t xml:space="preserve"> superscript of different letters between columns indicates statistical significance P&lt;0.05</w:t>
            </w:r>
          </w:p>
        </w:tc>
      </w:tr>
    </w:tbl>
    <w:p w14:paraId="433246B3" w14:textId="77777777" w:rsidR="00EE5D2E" w:rsidRPr="00EE5D2E" w:rsidRDefault="00EE5D2E" w:rsidP="00EE5D2E"/>
    <w:p w14:paraId="3D5C9672" w14:textId="7ACF279A" w:rsidR="007B30E3" w:rsidRPr="00EE5D2E" w:rsidRDefault="00EE5D2E" w:rsidP="00EE5D2E">
      <w:pPr>
        <w:rPr>
          <w:lang w:val="en-US"/>
        </w:rPr>
      </w:pPr>
      <w:r w:rsidRPr="00EE5D2E">
        <w:t xml:space="preserve">Previous myo-inositol studies in pigs focused on direct supplementation of the diet or from the supplementation of phytase; catabolism of phytase produces myo-inositol as a breakdown product </w:t>
      </w:r>
      <w:r w:rsidRPr="00EE5D2E">
        <w:fldChar w:fldCharType="begin">
          <w:fldData xml:space="preserve">PEVuZE5vdGU+PENpdGU+PEF1dGhvcj5Nb3JhbjwvQXV0aG9yPjxZZWFyPjIwMTk8L1llYXI+PFJl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</w:fldData>
        </w:fldChar>
      </w:r>
      <w:r w:rsidRPr="00EE5D2E">
        <w:instrText xml:space="preserve"> ADDIN EN.CITE </w:instrText>
      </w:r>
      <w:r w:rsidRPr="00EE5D2E">
        <w:fldChar w:fldCharType="begin">
          <w:fldData xml:space="preserve">PEVuZE5vdGU+PENpdGU+PEF1dGhvcj5Nb3JhbjwvQXV0aG9yPjxZZWFyPjIwMTk8L1llYXI+PFJl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</w:fldData>
        </w:fldChar>
      </w:r>
      <w:r w:rsidRPr="00EE5D2E">
        <w:instrText xml:space="preserve"> ADDIN EN.CITE.DATA </w:instrText>
      </w:r>
      <w:r w:rsidRPr="00EE5D2E">
        <w:rPr>
          <w:lang w:val="en-US"/>
        </w:rPr>
      </w:r>
      <w:r w:rsidRPr="00EE5D2E">
        <w:rPr>
          <w:lang w:val="en-US"/>
        </w:rPr>
        <w:fldChar w:fldCharType="end"/>
      </w:r>
      <w:r w:rsidRPr="00EE5D2E">
        <w:fldChar w:fldCharType="separate"/>
      </w:r>
      <w:r w:rsidRPr="00EE5D2E">
        <w:t>(Moran et al., 2019, Kiani et al., 2021)</w:t>
      </w:r>
      <w:r w:rsidRPr="00EE5D2E">
        <w:rPr>
          <w:lang w:val="en-US"/>
        </w:rPr>
        <w:fldChar w:fldCharType="end"/>
      </w:r>
      <w:r w:rsidRPr="00EE5D2E">
        <w:t>. This study, in comparison, had no supplemented myo-inositol or phytase, so the increases observed are due to increased synthesis from glucose.  Due to the relationship between myo-inositol and improved animal performance and biological processes, the results indicate that DevAmine-based diets could improve pig growth, particularly in weaned piglets, by increasing the supply of a conditionally essential nutrient.</w:t>
      </w: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1A3C7EB" w14:textId="663E9592" w:rsidR="007B30E3" w:rsidRPr="00EE5D2E" w:rsidRDefault="00EE5D2E">
      <w:pPr>
        <w:rPr>
          <w:lang w:val="en-US"/>
        </w:rPr>
      </w:pPr>
      <w:proofErr w:type="gramStart"/>
      <w:r w:rsidRPr="00EE5D2E">
        <w:rPr>
          <w:lang w:val="en-US"/>
        </w:rPr>
        <w:t>Inclusion</w:t>
      </w:r>
      <w:proofErr w:type="gramEnd"/>
      <w:r w:rsidRPr="00EE5D2E">
        <w:rPr>
          <w:lang w:val="en-US"/>
        </w:rPr>
        <w:t xml:space="preserve"> of DevAmine into weaned piglet diets results in a significant increase in myo-inositol, a conditionally essential nutrient for optimal growth performance at weaning. </w:t>
      </w:r>
    </w:p>
    <w:p w14:paraId="0ADB320F" w14:textId="5E6F53F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7698E642" w14:textId="42721A65" w:rsidR="00EE5D2E" w:rsidRPr="00EE5D2E" w:rsidRDefault="00EE5D2E" w:rsidP="00EE5D2E">
      <w:pPr>
        <w:rPr>
          <w:lang w:val="en-US"/>
        </w:rPr>
      </w:pPr>
      <w:r w:rsidRPr="00EE5D2E">
        <w:rPr>
          <w:lang w:val="en-US"/>
        </w:rPr>
        <w:t xml:space="preserve">Kiani, A., </w:t>
      </w:r>
      <w:proofErr w:type="spellStart"/>
      <w:r w:rsidRPr="00EE5D2E">
        <w:rPr>
          <w:lang w:val="en-US"/>
        </w:rPr>
        <w:t>Paolacci</w:t>
      </w:r>
      <w:proofErr w:type="spellEnd"/>
      <w:r w:rsidRPr="00EE5D2E">
        <w:rPr>
          <w:lang w:val="en-US"/>
        </w:rPr>
        <w:t xml:space="preserve">, S., Calogero, A., Cannarella, R., Di Renzo, G., Gerli, S., Della Morte, C., </w:t>
      </w:r>
      <w:proofErr w:type="spellStart"/>
      <w:r w:rsidRPr="00EE5D2E">
        <w:rPr>
          <w:lang w:val="en-US"/>
        </w:rPr>
        <w:t>Busetto</w:t>
      </w:r>
      <w:proofErr w:type="spellEnd"/>
      <w:r w:rsidRPr="00EE5D2E">
        <w:rPr>
          <w:lang w:val="en-US"/>
        </w:rPr>
        <w:t>, G., De Berardinis, E. &amp; Del Giudice, F.</w:t>
      </w:r>
      <w:r>
        <w:rPr>
          <w:lang w:val="en-US"/>
        </w:rPr>
        <w:t>,</w:t>
      </w:r>
      <w:r w:rsidRPr="00EE5D2E">
        <w:rPr>
          <w:lang w:val="en-US"/>
        </w:rPr>
        <w:t xml:space="preserve"> 2021. From Myo-inositol to D-chiro-inositol molecular pathways. European review for medical and pharmacological sciences, 25, 2390-2402.</w:t>
      </w:r>
    </w:p>
    <w:p w14:paraId="62C657E1" w14:textId="44268A77" w:rsidR="00EE5D2E" w:rsidRPr="00EE5D2E" w:rsidRDefault="00EE5D2E" w:rsidP="00EE5D2E">
      <w:pPr>
        <w:rPr>
          <w:lang w:val="en-US"/>
        </w:rPr>
      </w:pPr>
      <w:r w:rsidRPr="00EE5D2E">
        <w:rPr>
          <w:lang w:val="en-US"/>
        </w:rPr>
        <w:t xml:space="preserve">Moran, K., Wilcock, P., Elsbernd, A., Zier-Rush, C., Boyd, R. D. &amp; Van </w:t>
      </w:r>
      <w:proofErr w:type="spellStart"/>
      <w:r w:rsidRPr="00EE5D2E">
        <w:rPr>
          <w:lang w:val="en-US"/>
        </w:rPr>
        <w:t>Heugten</w:t>
      </w:r>
      <w:proofErr w:type="spellEnd"/>
      <w:r w:rsidRPr="00EE5D2E">
        <w:rPr>
          <w:lang w:val="en-US"/>
        </w:rPr>
        <w:t>, E.</w:t>
      </w:r>
      <w:r>
        <w:rPr>
          <w:lang w:val="en-US"/>
        </w:rPr>
        <w:t>,</w:t>
      </w:r>
      <w:r w:rsidRPr="00EE5D2E">
        <w:rPr>
          <w:lang w:val="en-US"/>
        </w:rPr>
        <w:t xml:space="preserve"> 2019. Effects of super-dosing phytase and inositol on growth performance and blood metabolites of weaned pigs housed under commercial conditions1. Journal of Animal Science, 97, 3007-3015.</w:t>
      </w:r>
    </w:p>
    <w:p w14:paraId="6E262DC6" w14:textId="72D9A906" w:rsidR="00EE5D2E" w:rsidRPr="00EE5D2E" w:rsidRDefault="00EE5D2E" w:rsidP="00EE5D2E">
      <w:pPr>
        <w:rPr>
          <w:lang w:val="en-US"/>
        </w:rPr>
      </w:pPr>
      <w:proofErr w:type="spellStart"/>
      <w:r w:rsidRPr="00EE5D2E">
        <w:rPr>
          <w:lang w:val="en-US"/>
        </w:rPr>
        <w:t>Ogunribido</w:t>
      </w:r>
      <w:proofErr w:type="spellEnd"/>
      <w:r w:rsidRPr="00EE5D2E">
        <w:rPr>
          <w:lang w:val="en-US"/>
        </w:rPr>
        <w:t xml:space="preserve">, T. Z., Bedford, M. R., Adeola, O. &amp; </w:t>
      </w:r>
      <w:proofErr w:type="spellStart"/>
      <w:r w:rsidRPr="00EE5D2E">
        <w:rPr>
          <w:lang w:val="en-US"/>
        </w:rPr>
        <w:t>Ajuwon</w:t>
      </w:r>
      <w:proofErr w:type="spellEnd"/>
      <w:r w:rsidRPr="00EE5D2E">
        <w:rPr>
          <w:lang w:val="en-US"/>
        </w:rPr>
        <w:t>, K. M.</w:t>
      </w:r>
      <w:r>
        <w:rPr>
          <w:lang w:val="en-US"/>
        </w:rPr>
        <w:t>,</w:t>
      </w:r>
      <w:r w:rsidRPr="00EE5D2E">
        <w:rPr>
          <w:lang w:val="en-US"/>
        </w:rPr>
        <w:t xml:space="preserve"> 2022. Effects of supplemental myo-inositol on growth performance and apparent total tract digestibility of weanling piglets fed reduced protein high-phytate diets and intestinal epithelial cell proliferation and function. Journal of Animal Science, 100.</w:t>
      </w:r>
    </w:p>
    <w:p w14:paraId="49B6F95E" w14:textId="1C4E85B4" w:rsidR="00EE5D2E" w:rsidRPr="00EE5D2E" w:rsidRDefault="00EE5D2E" w:rsidP="00EE5D2E">
      <w:pPr>
        <w:rPr>
          <w:lang w:val="en-US"/>
        </w:rPr>
      </w:pPr>
      <w:r w:rsidRPr="00EE5D2E">
        <w:rPr>
          <w:lang w:val="en-US"/>
        </w:rPr>
        <w:t>Palazoglu, M</w:t>
      </w:r>
      <w:r>
        <w:rPr>
          <w:lang w:val="en-US"/>
        </w:rPr>
        <w:t>.,</w:t>
      </w:r>
      <w:r w:rsidRPr="00EE5D2E">
        <w:rPr>
          <w:lang w:val="en-US"/>
        </w:rPr>
        <w:t xml:space="preserve">2009. Metabolite Identification in Blood Plasma Using GC/MS </w:t>
      </w:r>
      <w:proofErr w:type="spellStart"/>
      <w:r w:rsidRPr="00EE5D2E">
        <w:rPr>
          <w:lang w:val="en-US"/>
        </w:rPr>
        <w:t>nad</w:t>
      </w:r>
      <w:proofErr w:type="spellEnd"/>
      <w:r w:rsidRPr="00EE5D2E">
        <w:rPr>
          <w:lang w:val="en-US"/>
        </w:rPr>
        <w:t xml:space="preserve"> the Agilent Fiehn GC/MS Metabolomics RTL Library. Davis, CA: UC Davis Genome Center.</w:t>
      </w:r>
    </w:p>
    <w:p w14:paraId="0B896F7B" w14:textId="39003269" w:rsidR="00EE5D2E" w:rsidRPr="00EE5D2E" w:rsidRDefault="00EE5D2E" w:rsidP="00EE5D2E">
      <w:pPr>
        <w:rPr>
          <w:lang w:val="en-US"/>
        </w:rPr>
      </w:pPr>
      <w:r w:rsidRPr="00EE5D2E">
        <w:rPr>
          <w:lang w:val="en-US"/>
        </w:rPr>
        <w:t xml:space="preserve">Su, X. B., Ko, A.-L. A. &amp; </w:t>
      </w:r>
      <w:proofErr w:type="spellStart"/>
      <w:r w:rsidRPr="00EE5D2E">
        <w:rPr>
          <w:lang w:val="en-US"/>
        </w:rPr>
        <w:t>Saiardi</w:t>
      </w:r>
      <w:proofErr w:type="spellEnd"/>
      <w:r w:rsidRPr="00EE5D2E">
        <w:rPr>
          <w:lang w:val="en-US"/>
        </w:rPr>
        <w:t>, A.</w:t>
      </w:r>
      <w:r>
        <w:rPr>
          <w:lang w:val="en-US"/>
        </w:rPr>
        <w:t>,</w:t>
      </w:r>
      <w:r w:rsidRPr="00EE5D2E">
        <w:rPr>
          <w:lang w:val="en-US"/>
        </w:rPr>
        <w:t xml:space="preserve"> 2023. Regulations of </w:t>
      </w:r>
      <w:proofErr w:type="gramStart"/>
      <w:r w:rsidRPr="00EE5D2E">
        <w:rPr>
          <w:lang w:val="en-US"/>
        </w:rPr>
        <w:t>myo-inositol</w:t>
      </w:r>
      <w:proofErr w:type="gramEnd"/>
      <w:r w:rsidRPr="00EE5D2E">
        <w:rPr>
          <w:lang w:val="en-US"/>
        </w:rPr>
        <w:t xml:space="preserve"> homeostasis: Mechanisms, implications, and perspectives. Advances in Biological Regulation, 87, 100921.</w:t>
      </w:r>
    </w:p>
    <w:p w14:paraId="3B554B59" w14:textId="77777777" w:rsidR="00EE5D2E" w:rsidRPr="007B30E3" w:rsidRDefault="00EE5D2E">
      <w:pPr>
        <w:rPr>
          <w:b/>
          <w:bCs/>
          <w:lang w:val="en-US"/>
        </w:rPr>
      </w:pPr>
    </w:p>
    <w:sectPr w:rsidR="00EE5D2E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0460E"/>
    <w:rsid w:val="00022641"/>
    <w:rsid w:val="001037C4"/>
    <w:rsid w:val="001C0B2F"/>
    <w:rsid w:val="001C5365"/>
    <w:rsid w:val="00292D21"/>
    <w:rsid w:val="002935B0"/>
    <w:rsid w:val="002B4938"/>
    <w:rsid w:val="00371D09"/>
    <w:rsid w:val="00383DCD"/>
    <w:rsid w:val="00397193"/>
    <w:rsid w:val="004F2A95"/>
    <w:rsid w:val="00516A19"/>
    <w:rsid w:val="005A6039"/>
    <w:rsid w:val="005E4C25"/>
    <w:rsid w:val="00615D83"/>
    <w:rsid w:val="00625B14"/>
    <w:rsid w:val="00675A89"/>
    <w:rsid w:val="00705D95"/>
    <w:rsid w:val="00721930"/>
    <w:rsid w:val="007B30E3"/>
    <w:rsid w:val="00820B11"/>
    <w:rsid w:val="00840DB1"/>
    <w:rsid w:val="00890160"/>
    <w:rsid w:val="00933E8C"/>
    <w:rsid w:val="00A043A3"/>
    <w:rsid w:val="00B52E4E"/>
    <w:rsid w:val="00B71859"/>
    <w:rsid w:val="00C3699B"/>
    <w:rsid w:val="00C52935"/>
    <w:rsid w:val="00C53AE2"/>
    <w:rsid w:val="00C568D4"/>
    <w:rsid w:val="00C95030"/>
    <w:rsid w:val="00D77368"/>
    <w:rsid w:val="00DD21B5"/>
    <w:rsid w:val="00E0032A"/>
    <w:rsid w:val="00E27EE6"/>
    <w:rsid w:val="00EE5D2E"/>
    <w:rsid w:val="00F224B9"/>
    <w:rsid w:val="00F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15D8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800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Michaela Quinn</cp:lastModifiedBy>
  <cp:revision>31</cp:revision>
  <dcterms:created xsi:type="dcterms:W3CDTF">2025-01-20T12:08:00Z</dcterms:created>
  <dcterms:modified xsi:type="dcterms:W3CDTF">2025-02-11T17:43:00Z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GrammarlyDocumentId">
    <vt:lpwstr>78a794e1a7f6b7de64a05788a8112238d579a878f82800cbffa592eca554052c</vt:lpwstr>
  </property>
</Properties>
</file>