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988" w:type="pct"/>
        <w:tblLayout w:type="fixed"/>
        <w:tblLook w:val="0000" w:firstRow="0" w:lastRow="0" w:firstColumn="0" w:lastColumn="0" w:noHBand="0" w:noVBand="0"/>
      </w:tblPr>
      <w:tblGrid>
        <w:gridCol w:w="9954"/>
      </w:tblGrid>
      <w:tr w:rsidR="00E14333" w:rsidRPr="00B157B9" w14:paraId="558FB2D5" w14:textId="77777777" w:rsidTr="00D41726">
        <w:trPr>
          <w:trHeight w:val="520"/>
        </w:trPr>
        <w:tc>
          <w:tcPr>
            <w:tcW w:w="5000" w:type="pct"/>
            <w:tcBorders>
              <w:bottom w:val="single" w:sz="4" w:space="0" w:color="auto"/>
            </w:tcBorders>
          </w:tcPr>
          <w:p w14:paraId="501876BB" w14:textId="06EDA4F3" w:rsidR="00E14333" w:rsidRPr="00F21046" w:rsidRDefault="00E14333" w:rsidP="003415AB">
            <w:pPr>
              <w:rPr>
                <w:b/>
                <w:bCs/>
              </w:rPr>
            </w:pPr>
            <w:r w:rsidRPr="00F21046">
              <w:rPr>
                <w:b/>
                <w:bCs/>
              </w:rPr>
              <w:t xml:space="preserve">Title: </w:t>
            </w:r>
            <w:r>
              <w:rPr>
                <w:bCs/>
                <w:i/>
                <w:sz w:val="20"/>
              </w:rPr>
              <w:t>(Use Normal style (Times New Roman 12)</w:t>
            </w:r>
            <w:r w:rsidRPr="00063C20">
              <w:rPr>
                <w:bCs/>
                <w:i/>
                <w:sz w:val="20"/>
              </w:rPr>
              <w:t xml:space="preserve">. </w:t>
            </w:r>
            <w:r w:rsidRPr="00063C20">
              <w:rPr>
                <w:i/>
                <w:sz w:val="20"/>
              </w:rPr>
              <w:t>Only capitalise the f</w:t>
            </w:r>
            <w:r w:rsidR="002E6F5F">
              <w:rPr>
                <w:i/>
                <w:sz w:val="20"/>
              </w:rPr>
              <w:t xml:space="preserve">irst letter of the first word. </w:t>
            </w:r>
            <w:r w:rsidRPr="00063C20">
              <w:rPr>
                <w:i/>
                <w:sz w:val="20"/>
              </w:rPr>
              <w:t>No full stop at the end of the title</w:t>
            </w:r>
            <w:r w:rsidRPr="00063C20">
              <w:rPr>
                <w:bCs/>
                <w:i/>
                <w:sz w:val="20"/>
              </w:rPr>
              <w:t>)</w:t>
            </w:r>
          </w:p>
        </w:tc>
      </w:tr>
      <w:tr w:rsidR="00E14333" w:rsidRPr="00F76957" w14:paraId="335D574D" w14:textId="77777777" w:rsidTr="00D41726">
        <w:trPr>
          <w:trHeight w:val="590"/>
        </w:trPr>
        <w:tc>
          <w:tcPr>
            <w:tcW w:w="5000" w:type="pct"/>
            <w:tcBorders>
              <w:top w:val="single" w:sz="4" w:space="0" w:color="auto"/>
              <w:left w:val="single" w:sz="4" w:space="0" w:color="auto"/>
              <w:bottom w:val="single" w:sz="4" w:space="0" w:color="auto"/>
              <w:right w:val="single" w:sz="4" w:space="0" w:color="auto"/>
            </w:tcBorders>
            <w:shd w:val="clear" w:color="auto" w:fill="F3F3F3"/>
          </w:tcPr>
          <w:p w14:paraId="04CC797D" w14:textId="6C6AAE64" w:rsidR="00833425" w:rsidRPr="007E1111" w:rsidRDefault="004B4830" w:rsidP="00700E87">
            <w:pPr>
              <w:jc w:val="both"/>
            </w:pPr>
            <w:r>
              <w:t>C</w:t>
            </w:r>
            <w:r w:rsidR="008B6ED1" w:rsidRPr="008B6ED1">
              <w:t xml:space="preserve">andidate genes and pathways associated with bovine tuberculosis </w:t>
            </w:r>
            <w:r>
              <w:t>identified with an</w:t>
            </w:r>
            <w:r w:rsidR="008B6ED1" w:rsidRPr="008B6ED1">
              <w:t xml:space="preserve"> mRNA-miRNA regulatory network</w:t>
            </w:r>
            <w:r w:rsidR="00700E87">
              <w:t>.</w:t>
            </w:r>
          </w:p>
        </w:tc>
      </w:tr>
      <w:tr w:rsidR="00E14333" w:rsidRPr="00B157B9" w14:paraId="340E1379" w14:textId="77777777" w:rsidTr="00D41726">
        <w:trPr>
          <w:trHeight w:val="286"/>
        </w:trPr>
        <w:tc>
          <w:tcPr>
            <w:tcW w:w="5000" w:type="pct"/>
            <w:tcBorders>
              <w:top w:val="single" w:sz="4" w:space="0" w:color="auto"/>
              <w:bottom w:val="single" w:sz="4" w:space="0" w:color="auto"/>
            </w:tcBorders>
          </w:tcPr>
          <w:p w14:paraId="1EEAE2DE" w14:textId="4F7588CF" w:rsidR="00E14333" w:rsidRPr="00F21046" w:rsidRDefault="00E14333" w:rsidP="003415AB">
            <w:pPr>
              <w:rPr>
                <w:szCs w:val="20"/>
              </w:rPr>
            </w:pPr>
            <w:r w:rsidRPr="00F21046">
              <w:rPr>
                <w:b/>
                <w:bCs/>
                <w:szCs w:val="20"/>
              </w:rPr>
              <w:t xml:space="preserve">Summary: </w:t>
            </w:r>
            <w:r w:rsidRPr="00063C20">
              <w:rPr>
                <w:bCs/>
                <w:i/>
                <w:sz w:val="20"/>
              </w:rPr>
              <w:t>(Your summa</w:t>
            </w:r>
            <w:r>
              <w:rPr>
                <w:bCs/>
                <w:i/>
                <w:sz w:val="20"/>
              </w:rPr>
              <w:t>ry (Times New Roman 10)</w:t>
            </w:r>
            <w:r w:rsidRPr="00063C20">
              <w:rPr>
                <w:bCs/>
                <w:i/>
                <w:sz w:val="20"/>
              </w:rPr>
              <w:t xml:space="preserve"> must use </w:t>
            </w:r>
            <w:r>
              <w:rPr>
                <w:bCs/>
                <w:i/>
                <w:sz w:val="20"/>
              </w:rPr>
              <w:t>Body text</w:t>
            </w:r>
            <w:r w:rsidRPr="00063C20">
              <w:rPr>
                <w:bCs/>
                <w:i/>
                <w:sz w:val="20"/>
              </w:rPr>
              <w:t xml:space="preserve"> style and must not be longer than this box)</w:t>
            </w:r>
          </w:p>
        </w:tc>
      </w:tr>
      <w:tr w:rsidR="00E14333" w:rsidRPr="00AE32E3" w14:paraId="7F1BE3A7" w14:textId="77777777" w:rsidTr="00D41726">
        <w:trPr>
          <w:trHeight w:hRule="exact" w:val="12674"/>
        </w:trPr>
        <w:tc>
          <w:tcPr>
            <w:tcW w:w="5000" w:type="pct"/>
            <w:tcBorders>
              <w:top w:val="single" w:sz="4" w:space="0" w:color="auto"/>
              <w:left w:val="single" w:sz="4" w:space="0" w:color="auto"/>
              <w:right w:val="single" w:sz="4" w:space="0" w:color="auto"/>
            </w:tcBorders>
            <w:shd w:val="clear" w:color="auto" w:fill="F3F3F3"/>
          </w:tcPr>
          <w:p w14:paraId="757173DA" w14:textId="31894DBB" w:rsidR="00EE0940" w:rsidRDefault="00AA3040" w:rsidP="00A07CAE">
            <w:pPr>
              <w:jc w:val="both"/>
              <w:rPr>
                <w:noProof/>
                <w:sz w:val="20"/>
                <w:szCs w:val="20"/>
                <w:lang w:val="en-US"/>
              </w:rPr>
            </w:pPr>
            <w:r w:rsidRPr="00AA3040">
              <w:rPr>
                <w:b/>
                <w:noProof/>
                <w:sz w:val="20"/>
                <w:szCs w:val="20"/>
                <w:lang w:val="en-US"/>
              </w:rPr>
              <w:t>Application</w:t>
            </w:r>
            <w:r w:rsidR="000F1CBA">
              <w:rPr>
                <w:noProof/>
                <w:sz w:val="20"/>
                <w:szCs w:val="20"/>
                <w:lang w:val="en-US"/>
              </w:rPr>
              <w:t xml:space="preserve"> </w:t>
            </w:r>
            <w:r w:rsidR="00B34D0F" w:rsidRPr="00B34D0F">
              <w:rPr>
                <w:noProof/>
                <w:sz w:val="20"/>
                <w:szCs w:val="20"/>
                <w:lang w:val="en-US"/>
              </w:rPr>
              <w:t xml:space="preserve">This comparative transcriptome profiling analysis </w:t>
            </w:r>
            <w:r w:rsidR="004B4830" w:rsidRPr="00B34D0F">
              <w:rPr>
                <w:noProof/>
                <w:sz w:val="20"/>
                <w:szCs w:val="20"/>
                <w:lang w:val="en-US"/>
              </w:rPr>
              <w:t>identifie</w:t>
            </w:r>
            <w:r w:rsidR="004B4830">
              <w:rPr>
                <w:noProof/>
                <w:sz w:val="20"/>
                <w:szCs w:val="20"/>
                <w:lang w:val="en-US"/>
              </w:rPr>
              <w:t>d</w:t>
            </w:r>
            <w:r w:rsidR="004B4830" w:rsidRPr="00B34D0F">
              <w:rPr>
                <w:noProof/>
                <w:sz w:val="20"/>
                <w:szCs w:val="20"/>
                <w:lang w:val="en-US"/>
              </w:rPr>
              <w:t xml:space="preserve"> </w:t>
            </w:r>
            <w:r w:rsidR="00B34D0F" w:rsidRPr="00B34D0F">
              <w:rPr>
                <w:noProof/>
                <w:sz w:val="20"/>
                <w:szCs w:val="20"/>
                <w:lang w:val="en-US"/>
              </w:rPr>
              <w:t>associated mRNAs and miRNAs, their regulatory mechanisms, and potential pathways in cows infected with bovine tuberc</w:t>
            </w:r>
            <w:r w:rsidR="00B34D0F">
              <w:rPr>
                <w:noProof/>
                <w:sz w:val="20"/>
                <w:szCs w:val="20"/>
                <w:lang w:val="en-US"/>
              </w:rPr>
              <w:t xml:space="preserve">ulosis compared to healthy </w:t>
            </w:r>
            <w:r w:rsidR="00A76640">
              <w:rPr>
                <w:noProof/>
                <w:sz w:val="20"/>
                <w:szCs w:val="20"/>
                <w:lang w:val="en-US"/>
              </w:rPr>
              <w:t xml:space="preserve">(H) </w:t>
            </w:r>
            <w:r w:rsidR="00B34D0F">
              <w:rPr>
                <w:noProof/>
                <w:sz w:val="20"/>
                <w:szCs w:val="20"/>
                <w:lang w:val="en-US"/>
              </w:rPr>
              <w:t>cows</w:t>
            </w:r>
            <w:r w:rsidR="00700E87" w:rsidRPr="00700E87">
              <w:rPr>
                <w:noProof/>
                <w:sz w:val="20"/>
                <w:szCs w:val="20"/>
                <w:lang w:val="en-US"/>
              </w:rPr>
              <w:t>.</w:t>
            </w:r>
          </w:p>
          <w:p w14:paraId="16E9A70A" w14:textId="77777777" w:rsidR="00E66BC3" w:rsidRPr="00E66BC3" w:rsidRDefault="00E66BC3" w:rsidP="00A07CAE">
            <w:pPr>
              <w:jc w:val="both"/>
              <w:rPr>
                <w:sz w:val="8"/>
                <w:szCs w:val="8"/>
              </w:rPr>
            </w:pPr>
          </w:p>
          <w:p w14:paraId="71C2D0AD" w14:textId="5B1A7F63" w:rsidR="004775A7" w:rsidRPr="00A07CAE" w:rsidRDefault="00AA3040" w:rsidP="00A07CAE">
            <w:pPr>
              <w:jc w:val="both"/>
              <w:rPr>
                <w:noProof/>
                <w:sz w:val="20"/>
                <w:szCs w:val="20"/>
                <w:lang w:val="en-US"/>
              </w:rPr>
            </w:pPr>
            <w:r w:rsidRPr="00AA3040">
              <w:rPr>
                <w:b/>
                <w:noProof/>
                <w:sz w:val="20"/>
                <w:szCs w:val="20"/>
                <w:lang w:val="en-US"/>
              </w:rPr>
              <w:t>Introduction</w:t>
            </w:r>
            <w:r w:rsidR="00591816">
              <w:rPr>
                <w:noProof/>
                <w:sz w:val="20"/>
                <w:szCs w:val="20"/>
                <w:lang w:val="en-US"/>
              </w:rPr>
              <w:t xml:space="preserve"> </w:t>
            </w:r>
            <w:r w:rsidR="00364D58" w:rsidRPr="00364D58">
              <w:rPr>
                <w:noProof/>
                <w:sz w:val="20"/>
                <w:szCs w:val="20"/>
                <w:lang w:val="en-US"/>
              </w:rPr>
              <w:t>Bovine tuberculosis (bTB)</w:t>
            </w:r>
            <w:r w:rsidR="004B4830">
              <w:rPr>
                <w:noProof/>
                <w:sz w:val="20"/>
                <w:szCs w:val="20"/>
                <w:lang w:val="en-US"/>
              </w:rPr>
              <w:t>,</w:t>
            </w:r>
            <w:r w:rsidR="00364D58" w:rsidRPr="00364D58">
              <w:rPr>
                <w:noProof/>
                <w:sz w:val="20"/>
                <w:szCs w:val="20"/>
                <w:lang w:val="en-US"/>
              </w:rPr>
              <w:t xml:space="preserve"> a chronic infectious disease primarily affecting domestic dairy and beef cattle</w:t>
            </w:r>
            <w:r w:rsidR="004B4830">
              <w:rPr>
                <w:noProof/>
                <w:sz w:val="20"/>
                <w:szCs w:val="20"/>
                <w:lang w:val="en-US"/>
              </w:rPr>
              <w:t>,</w:t>
            </w:r>
            <w:r w:rsidR="00364D58" w:rsidRPr="00364D58">
              <w:rPr>
                <w:noProof/>
                <w:sz w:val="20"/>
                <w:szCs w:val="20"/>
                <w:lang w:val="en-US"/>
              </w:rPr>
              <w:t xml:space="preserve">  is caused by </w:t>
            </w:r>
            <w:r w:rsidR="00364D58" w:rsidRPr="00364D58">
              <w:rPr>
                <w:i/>
                <w:iCs/>
                <w:noProof/>
                <w:sz w:val="20"/>
                <w:szCs w:val="20"/>
                <w:lang w:val="en-US"/>
              </w:rPr>
              <w:t>Mycobacterium bovis</w:t>
            </w:r>
            <w:r w:rsidR="00364D58" w:rsidRPr="00364D58">
              <w:rPr>
                <w:noProof/>
                <w:sz w:val="20"/>
                <w:szCs w:val="20"/>
                <w:lang w:val="en-US"/>
              </w:rPr>
              <w:t xml:space="preserve"> (MB), a pathogenic bacterium within the </w:t>
            </w:r>
            <w:r w:rsidR="00364D58" w:rsidRPr="00364D58">
              <w:rPr>
                <w:i/>
                <w:iCs/>
                <w:noProof/>
                <w:sz w:val="20"/>
                <w:szCs w:val="20"/>
                <w:lang w:val="en-US"/>
              </w:rPr>
              <w:t>Mycobacterium tuberculosis</w:t>
            </w:r>
            <w:r w:rsidR="00364D58" w:rsidRPr="00364D58">
              <w:rPr>
                <w:noProof/>
                <w:sz w:val="20"/>
                <w:szCs w:val="20"/>
                <w:lang w:val="en-US"/>
              </w:rPr>
              <w:t xml:space="preserve"> complex (MTBC) (Hall et al., 2021). The economic impact of bTB on the livestock industry is </w:t>
            </w:r>
            <w:r w:rsidR="004B4830" w:rsidRPr="00364D58">
              <w:rPr>
                <w:noProof/>
                <w:sz w:val="20"/>
                <w:szCs w:val="20"/>
                <w:lang w:val="en-US"/>
              </w:rPr>
              <w:t>s</w:t>
            </w:r>
            <w:r w:rsidR="004B4830">
              <w:rPr>
                <w:noProof/>
                <w:sz w:val="20"/>
                <w:szCs w:val="20"/>
                <w:lang w:val="en-US"/>
              </w:rPr>
              <w:t>ubstantial</w:t>
            </w:r>
            <w:r w:rsidR="00364D58" w:rsidRPr="00364D58">
              <w:rPr>
                <w:noProof/>
                <w:sz w:val="20"/>
                <w:szCs w:val="20"/>
                <w:lang w:val="en-US"/>
              </w:rPr>
              <w:t xml:space="preserve">, with estimated losses </w:t>
            </w:r>
            <w:r w:rsidR="004B4830">
              <w:rPr>
                <w:noProof/>
                <w:sz w:val="20"/>
                <w:szCs w:val="20"/>
                <w:lang w:val="en-US"/>
              </w:rPr>
              <w:t>&gt;</w:t>
            </w:r>
            <w:r w:rsidR="004B4830" w:rsidRPr="00364D58">
              <w:rPr>
                <w:noProof/>
                <w:sz w:val="20"/>
                <w:szCs w:val="20"/>
                <w:lang w:val="en-US"/>
              </w:rPr>
              <w:t xml:space="preserve"> </w:t>
            </w:r>
            <w:r w:rsidR="00364D58" w:rsidRPr="00364D58">
              <w:rPr>
                <w:noProof/>
                <w:sz w:val="20"/>
                <w:szCs w:val="20"/>
                <w:lang w:val="en-US"/>
              </w:rPr>
              <w:t xml:space="preserve">$3 billion annually in global agriculture (Waters et al., 2012). </w:t>
            </w:r>
            <w:r w:rsidR="004B4830">
              <w:rPr>
                <w:noProof/>
                <w:sz w:val="20"/>
                <w:szCs w:val="20"/>
                <w:lang w:val="en-US"/>
              </w:rPr>
              <w:t>H</w:t>
            </w:r>
            <w:r w:rsidR="00364D58" w:rsidRPr="00364D58">
              <w:rPr>
                <w:noProof/>
                <w:sz w:val="20"/>
                <w:szCs w:val="20"/>
                <w:lang w:val="en-US"/>
              </w:rPr>
              <w:t>ost immune response</w:t>
            </w:r>
            <w:r w:rsidR="004B4830">
              <w:rPr>
                <w:noProof/>
                <w:sz w:val="20"/>
                <w:szCs w:val="20"/>
                <w:lang w:val="en-US"/>
              </w:rPr>
              <w:t>s</w:t>
            </w:r>
            <w:r w:rsidR="00364D58" w:rsidRPr="00364D58">
              <w:rPr>
                <w:noProof/>
                <w:sz w:val="20"/>
                <w:szCs w:val="20"/>
                <w:lang w:val="en-US"/>
              </w:rPr>
              <w:t xml:space="preserve"> to mycobacterial infection involve a complex interplay between innate and adaptive immune systems. Previous transcriptomic studies demonstrated that mRNA expression </w:t>
            </w:r>
            <w:r w:rsidR="004B4830">
              <w:rPr>
                <w:noProof/>
                <w:sz w:val="20"/>
                <w:szCs w:val="20"/>
                <w:lang w:val="en-US"/>
              </w:rPr>
              <w:t>wa</w:t>
            </w:r>
            <w:r w:rsidR="004B4830" w:rsidRPr="00364D58">
              <w:rPr>
                <w:noProof/>
                <w:sz w:val="20"/>
                <w:szCs w:val="20"/>
                <w:lang w:val="en-US"/>
              </w:rPr>
              <w:t xml:space="preserve">s </w:t>
            </w:r>
            <w:r w:rsidR="00364D58" w:rsidRPr="00364D58">
              <w:rPr>
                <w:noProof/>
                <w:sz w:val="20"/>
                <w:szCs w:val="20"/>
                <w:lang w:val="en-US"/>
              </w:rPr>
              <w:t xml:space="preserve">significantly altered in bovine monocyte-derived macrophages (MDM) </w:t>
            </w:r>
            <w:r w:rsidR="004B4830">
              <w:rPr>
                <w:noProof/>
                <w:sz w:val="20"/>
                <w:szCs w:val="20"/>
                <w:lang w:val="en-US"/>
              </w:rPr>
              <w:t>following</w:t>
            </w:r>
            <w:r w:rsidR="004B4830" w:rsidRPr="00364D58">
              <w:rPr>
                <w:noProof/>
                <w:sz w:val="20"/>
                <w:szCs w:val="20"/>
                <w:lang w:val="en-US"/>
              </w:rPr>
              <w:t xml:space="preserve"> </w:t>
            </w:r>
            <w:r w:rsidR="00364D58" w:rsidRPr="00364D58">
              <w:rPr>
                <w:noProof/>
                <w:sz w:val="20"/>
                <w:szCs w:val="20"/>
                <w:lang w:val="en-US"/>
              </w:rPr>
              <w:t xml:space="preserve">MB infection. Thus, analyzing the host macrophage transcriptome in response to MB infection is expected to shed light on molecular mechanisms and host-pathogen interactions associated with bTB. Moreover, </w:t>
            </w:r>
            <w:r w:rsidR="004B4830">
              <w:rPr>
                <w:noProof/>
                <w:sz w:val="20"/>
                <w:szCs w:val="20"/>
                <w:lang w:val="en-US"/>
              </w:rPr>
              <w:t>although</w:t>
            </w:r>
            <w:r w:rsidR="004B4830" w:rsidRPr="00364D58">
              <w:rPr>
                <w:noProof/>
                <w:sz w:val="20"/>
                <w:szCs w:val="20"/>
                <w:lang w:val="en-US"/>
              </w:rPr>
              <w:t xml:space="preserve"> </w:t>
            </w:r>
            <w:r w:rsidR="00364D58" w:rsidRPr="00364D58">
              <w:rPr>
                <w:noProof/>
                <w:sz w:val="20"/>
                <w:szCs w:val="20"/>
                <w:lang w:val="en-US"/>
              </w:rPr>
              <w:t xml:space="preserve">non-coding RNAs (ncRNAs), </w:t>
            </w:r>
            <w:r w:rsidR="004B4830">
              <w:rPr>
                <w:noProof/>
                <w:sz w:val="20"/>
                <w:szCs w:val="20"/>
                <w:lang w:val="en-US"/>
              </w:rPr>
              <w:t xml:space="preserve">e.g., </w:t>
            </w:r>
            <w:r w:rsidR="00364D58" w:rsidRPr="00364D58">
              <w:rPr>
                <w:noProof/>
                <w:sz w:val="20"/>
                <w:szCs w:val="20"/>
                <w:lang w:val="en-US"/>
              </w:rPr>
              <w:t>microRNAs (miRNAs)</w:t>
            </w:r>
            <w:r w:rsidR="006E6992">
              <w:rPr>
                <w:noProof/>
                <w:sz w:val="20"/>
                <w:szCs w:val="20"/>
                <w:lang w:val="en-US"/>
              </w:rPr>
              <w:t>,</w:t>
            </w:r>
            <w:r w:rsidR="004B4830">
              <w:rPr>
                <w:noProof/>
                <w:sz w:val="20"/>
                <w:szCs w:val="20"/>
                <w:lang w:val="en-US"/>
              </w:rPr>
              <w:t xml:space="preserve"> have</w:t>
            </w:r>
            <w:r w:rsidR="00364D58" w:rsidRPr="00364D58">
              <w:rPr>
                <w:noProof/>
                <w:sz w:val="20"/>
                <w:szCs w:val="20"/>
                <w:lang w:val="en-US"/>
              </w:rPr>
              <w:t xml:space="preserve"> crucial role</w:t>
            </w:r>
            <w:r w:rsidR="004B4830">
              <w:rPr>
                <w:noProof/>
                <w:sz w:val="20"/>
                <w:szCs w:val="20"/>
                <w:lang w:val="en-US"/>
              </w:rPr>
              <w:t>s</w:t>
            </w:r>
            <w:r w:rsidR="00364D58" w:rsidRPr="00364D58">
              <w:rPr>
                <w:noProof/>
                <w:sz w:val="20"/>
                <w:szCs w:val="20"/>
                <w:lang w:val="en-US"/>
              </w:rPr>
              <w:t xml:space="preserve"> in regulating immune system function and may offer valuable insights into the disease, their role in </w:t>
            </w:r>
            <w:r w:rsidR="006E6992">
              <w:rPr>
                <w:noProof/>
                <w:sz w:val="20"/>
                <w:szCs w:val="20"/>
                <w:lang w:val="en-US"/>
              </w:rPr>
              <w:t>M</w:t>
            </w:r>
            <w:r w:rsidR="00364D58" w:rsidRPr="00364D58">
              <w:rPr>
                <w:noProof/>
                <w:sz w:val="20"/>
                <w:szCs w:val="20"/>
                <w:lang w:val="en-US"/>
              </w:rPr>
              <w:t>B infection in cattle has not been thoroughly investi</w:t>
            </w:r>
            <w:r w:rsidR="00364D58">
              <w:rPr>
                <w:noProof/>
                <w:sz w:val="20"/>
                <w:szCs w:val="20"/>
                <w:lang w:val="en-US"/>
              </w:rPr>
              <w:t>gated (McLoughlin et al., 2021)</w:t>
            </w:r>
            <w:r w:rsidR="00BA5FD2" w:rsidRPr="00BA5FD2">
              <w:rPr>
                <w:noProof/>
                <w:sz w:val="20"/>
                <w:szCs w:val="20"/>
                <w:lang w:val="en-US"/>
              </w:rPr>
              <w:t>.</w:t>
            </w:r>
          </w:p>
          <w:p w14:paraId="39ACFB0B" w14:textId="77777777" w:rsidR="00E66BC3" w:rsidRPr="00E66BC3" w:rsidRDefault="00E66BC3" w:rsidP="00A07CAE">
            <w:pPr>
              <w:jc w:val="both"/>
              <w:rPr>
                <w:b/>
                <w:sz w:val="8"/>
                <w:szCs w:val="8"/>
              </w:rPr>
            </w:pPr>
          </w:p>
          <w:p w14:paraId="47F0A2FC" w14:textId="75382964" w:rsidR="008D0B89" w:rsidRDefault="004775A7" w:rsidP="00A07CAE">
            <w:pPr>
              <w:jc w:val="both"/>
              <w:rPr>
                <w:noProof/>
                <w:sz w:val="20"/>
                <w:szCs w:val="20"/>
                <w:lang w:val="en-US"/>
              </w:rPr>
            </w:pPr>
            <w:r>
              <w:rPr>
                <w:b/>
                <w:sz w:val="20"/>
                <w:szCs w:val="20"/>
              </w:rPr>
              <w:t>M</w:t>
            </w:r>
            <w:r w:rsidR="002C3463">
              <w:rPr>
                <w:b/>
                <w:sz w:val="20"/>
                <w:szCs w:val="20"/>
              </w:rPr>
              <w:t>aterials and Methods</w:t>
            </w:r>
            <w:r w:rsidR="001A3F3B">
              <w:rPr>
                <w:b/>
                <w:sz w:val="20"/>
                <w:szCs w:val="20"/>
              </w:rPr>
              <w:t xml:space="preserve"> </w:t>
            </w:r>
            <w:r w:rsidR="00C209AD" w:rsidRPr="00C209AD">
              <w:rPr>
                <w:noProof/>
                <w:sz w:val="20"/>
                <w:szCs w:val="20"/>
                <w:lang w:val="en-US"/>
              </w:rPr>
              <w:t xml:space="preserve">RNA-Seq and microarray datasets from blood samples, specifically MDMs of MB-infected and control Holstein dairy cattle, were retrieved from the National Center for Biotechnology Information (NCBI) Gene Expression Omnibus (GEO) public database. </w:t>
            </w:r>
            <w:r w:rsidR="004B4830">
              <w:rPr>
                <w:noProof/>
                <w:sz w:val="20"/>
                <w:szCs w:val="20"/>
                <w:lang w:val="en-US"/>
              </w:rPr>
              <w:t>G</w:t>
            </w:r>
            <w:r w:rsidR="00C209AD" w:rsidRPr="00C209AD">
              <w:rPr>
                <w:noProof/>
                <w:sz w:val="20"/>
                <w:szCs w:val="20"/>
                <w:lang w:val="en-US"/>
              </w:rPr>
              <w:t xml:space="preserve">ene set annotation and functional enrichment analysis </w:t>
            </w:r>
            <w:r w:rsidR="004B4830">
              <w:rPr>
                <w:noProof/>
                <w:sz w:val="20"/>
                <w:szCs w:val="20"/>
                <w:lang w:val="en-US"/>
              </w:rPr>
              <w:t>wer</w:t>
            </w:r>
            <w:r w:rsidR="004B4830" w:rsidRPr="00C209AD">
              <w:rPr>
                <w:noProof/>
                <w:sz w:val="20"/>
                <w:szCs w:val="20"/>
                <w:lang w:val="en-US"/>
              </w:rPr>
              <w:t xml:space="preserve">e conducted </w:t>
            </w:r>
            <w:r w:rsidR="00C209AD" w:rsidRPr="00C209AD">
              <w:rPr>
                <w:noProof/>
                <w:sz w:val="20"/>
                <w:szCs w:val="20"/>
                <w:lang w:val="en-US"/>
              </w:rPr>
              <w:t xml:space="preserve">to explore hub mRNAs and miRNAs associated with </w:t>
            </w:r>
            <w:r w:rsidR="004B4830">
              <w:rPr>
                <w:noProof/>
                <w:sz w:val="20"/>
                <w:szCs w:val="20"/>
                <w:lang w:val="en-US"/>
              </w:rPr>
              <w:t>bTB,</w:t>
            </w:r>
            <w:r w:rsidR="00C209AD" w:rsidRPr="00C209AD">
              <w:rPr>
                <w:noProof/>
                <w:sz w:val="20"/>
                <w:szCs w:val="20"/>
                <w:lang w:val="en-US"/>
              </w:rPr>
              <w:t xml:space="preserve"> using the DAVID and STRING databases. This analysis aimed to determine potential functions as well as metabolic and signaling pathways related to the disease. Also, interactions between the RNAs (mRNAs and miRNAs) </w:t>
            </w:r>
            <w:r w:rsidR="00716E86" w:rsidRPr="00C209AD">
              <w:rPr>
                <w:noProof/>
                <w:sz w:val="20"/>
                <w:szCs w:val="20"/>
                <w:lang w:val="en-US"/>
              </w:rPr>
              <w:t>we</w:t>
            </w:r>
            <w:r w:rsidR="00716E86">
              <w:rPr>
                <w:noProof/>
                <w:sz w:val="20"/>
                <w:szCs w:val="20"/>
                <w:lang w:val="en-US"/>
              </w:rPr>
              <w:t>re</w:t>
            </w:r>
            <w:r w:rsidR="00716E86" w:rsidRPr="00C209AD">
              <w:rPr>
                <w:noProof/>
                <w:sz w:val="20"/>
                <w:szCs w:val="20"/>
                <w:lang w:val="en-US"/>
              </w:rPr>
              <w:t xml:space="preserve"> predicted </w:t>
            </w:r>
            <w:r w:rsidR="00C209AD" w:rsidRPr="00C209AD">
              <w:rPr>
                <w:noProof/>
                <w:sz w:val="20"/>
                <w:szCs w:val="20"/>
                <w:lang w:val="en-US"/>
              </w:rPr>
              <w:t xml:space="preserve">and an mRNA-miRNA regulatory network </w:t>
            </w:r>
            <w:r w:rsidR="00716E86" w:rsidRPr="00C209AD">
              <w:rPr>
                <w:noProof/>
                <w:sz w:val="20"/>
                <w:szCs w:val="20"/>
                <w:lang w:val="en-US"/>
              </w:rPr>
              <w:t xml:space="preserve">constructed </w:t>
            </w:r>
            <w:r w:rsidR="00C209AD" w:rsidRPr="00C209AD">
              <w:rPr>
                <w:noProof/>
                <w:sz w:val="20"/>
                <w:szCs w:val="20"/>
                <w:lang w:val="en-US"/>
              </w:rPr>
              <w:t>by integrating the protein-protein interaction (PPI) network with the gene regulatory network (GRN). Additionally, genes were assigned to functional categories using the Gene Ontology (GO) database, which includes biological processes (BP), molecular functions (MF</w:t>
            </w:r>
            <w:r w:rsidR="00C209AD">
              <w:rPr>
                <w:noProof/>
                <w:sz w:val="20"/>
                <w:szCs w:val="20"/>
                <w:lang w:val="en-US"/>
              </w:rPr>
              <w:t>) and cellular components (CC)</w:t>
            </w:r>
            <w:r w:rsidR="00700E87" w:rsidRPr="00700E87">
              <w:rPr>
                <w:noProof/>
                <w:sz w:val="20"/>
                <w:szCs w:val="20"/>
                <w:lang w:val="en-US"/>
              </w:rPr>
              <w:t>.</w:t>
            </w:r>
          </w:p>
          <w:p w14:paraId="6FF62AF2" w14:textId="51DA6D50" w:rsidR="00B164AB" w:rsidRPr="00B164AB" w:rsidRDefault="00B164AB" w:rsidP="00B164AB">
            <w:pPr>
              <w:jc w:val="both"/>
              <w:rPr>
                <w:noProof/>
                <w:sz w:val="20"/>
                <w:szCs w:val="20"/>
                <w:lang w:val="en-US"/>
              </w:rPr>
            </w:pPr>
            <w:r w:rsidRPr="00B164AB">
              <w:rPr>
                <w:b/>
                <w:bCs/>
                <w:noProof/>
                <w:sz w:val="20"/>
                <w:szCs w:val="20"/>
                <w:lang w:val="en-US"/>
              </w:rPr>
              <w:t>Table 1.</w:t>
            </w:r>
            <w:r w:rsidRPr="00B164AB">
              <w:rPr>
                <w:noProof/>
                <w:sz w:val="20"/>
                <w:szCs w:val="20"/>
                <w:lang w:val="en-US"/>
              </w:rPr>
              <w:t xml:space="preserve"> Summary of the GEO accession numbers for RNA-Seq and microarray data sets associated with bTB.</w:t>
            </w:r>
          </w:p>
          <w:tbl>
            <w:tblPr>
              <w:tblStyle w:val="Style1"/>
              <w:tblW w:w="9794" w:type="dxa"/>
              <w:tblLook w:val="04A0" w:firstRow="1" w:lastRow="0" w:firstColumn="1" w:lastColumn="0" w:noHBand="0" w:noVBand="1"/>
            </w:tblPr>
            <w:tblGrid>
              <w:gridCol w:w="511"/>
              <w:gridCol w:w="1116"/>
              <w:gridCol w:w="1687"/>
              <w:gridCol w:w="4860"/>
              <w:gridCol w:w="1620"/>
            </w:tblGrid>
            <w:tr w:rsidR="00A76640" w:rsidRPr="0060089F" w14:paraId="19DBC98C" w14:textId="77777777" w:rsidTr="00A76640">
              <w:tc>
                <w:tcPr>
                  <w:tcW w:w="511" w:type="dxa"/>
                  <w:tcBorders>
                    <w:top w:val="single" w:sz="4" w:space="0" w:color="auto"/>
                    <w:bottom w:val="single" w:sz="4" w:space="0" w:color="auto"/>
                  </w:tcBorders>
                  <w:vAlign w:val="center"/>
                </w:tcPr>
                <w:p w14:paraId="4D27E224" w14:textId="77777777" w:rsidR="00A76640" w:rsidRPr="00A76640" w:rsidRDefault="00A76640" w:rsidP="00A76640">
                  <w:pPr>
                    <w:jc w:val="center"/>
                    <w:rPr>
                      <w:noProof/>
                      <w:sz w:val="20"/>
                      <w:szCs w:val="20"/>
                    </w:rPr>
                  </w:pPr>
                  <w:r w:rsidRPr="00A76640">
                    <w:rPr>
                      <w:noProof/>
                      <w:sz w:val="20"/>
                      <w:szCs w:val="20"/>
                    </w:rPr>
                    <w:t>No.</w:t>
                  </w:r>
                </w:p>
              </w:tc>
              <w:tc>
                <w:tcPr>
                  <w:tcW w:w="1116" w:type="dxa"/>
                  <w:tcBorders>
                    <w:top w:val="single" w:sz="4" w:space="0" w:color="auto"/>
                    <w:bottom w:val="single" w:sz="4" w:space="0" w:color="auto"/>
                  </w:tcBorders>
                  <w:vAlign w:val="center"/>
                </w:tcPr>
                <w:p w14:paraId="0E1B6582" w14:textId="77777777" w:rsidR="00A76640" w:rsidRPr="00A76640" w:rsidRDefault="00A76640" w:rsidP="00A76640">
                  <w:pPr>
                    <w:jc w:val="center"/>
                    <w:rPr>
                      <w:noProof/>
                      <w:sz w:val="20"/>
                      <w:szCs w:val="20"/>
                    </w:rPr>
                  </w:pPr>
                  <w:r w:rsidRPr="00A76640">
                    <w:rPr>
                      <w:noProof/>
                      <w:sz w:val="20"/>
                      <w:szCs w:val="20"/>
                    </w:rPr>
                    <w:t>Data Type</w:t>
                  </w:r>
                </w:p>
              </w:tc>
              <w:tc>
                <w:tcPr>
                  <w:tcW w:w="1687" w:type="dxa"/>
                  <w:tcBorders>
                    <w:top w:val="single" w:sz="4" w:space="0" w:color="auto"/>
                    <w:bottom w:val="single" w:sz="4" w:space="0" w:color="auto"/>
                  </w:tcBorders>
                  <w:vAlign w:val="center"/>
                </w:tcPr>
                <w:p w14:paraId="4C11EB51" w14:textId="77777777" w:rsidR="00A76640" w:rsidRPr="00A76640" w:rsidRDefault="00A76640" w:rsidP="00A76640">
                  <w:pPr>
                    <w:jc w:val="center"/>
                    <w:rPr>
                      <w:noProof/>
                      <w:sz w:val="20"/>
                      <w:szCs w:val="20"/>
                    </w:rPr>
                  </w:pPr>
                  <w:r w:rsidRPr="00A76640">
                    <w:rPr>
                      <w:noProof/>
                      <w:sz w:val="20"/>
                      <w:szCs w:val="20"/>
                    </w:rPr>
                    <w:t xml:space="preserve">GEO a Accession </w:t>
                  </w:r>
                </w:p>
              </w:tc>
              <w:tc>
                <w:tcPr>
                  <w:tcW w:w="4860" w:type="dxa"/>
                  <w:tcBorders>
                    <w:top w:val="single" w:sz="4" w:space="0" w:color="auto"/>
                    <w:bottom w:val="single" w:sz="4" w:space="0" w:color="auto"/>
                  </w:tcBorders>
                  <w:vAlign w:val="center"/>
                </w:tcPr>
                <w:p w14:paraId="667D5A04" w14:textId="77777777" w:rsidR="00A76640" w:rsidRPr="00A76640" w:rsidRDefault="00A76640" w:rsidP="00A76640">
                  <w:pPr>
                    <w:jc w:val="center"/>
                    <w:rPr>
                      <w:noProof/>
                      <w:sz w:val="20"/>
                      <w:szCs w:val="20"/>
                    </w:rPr>
                  </w:pPr>
                  <w:r w:rsidRPr="00A76640">
                    <w:rPr>
                      <w:noProof/>
                      <w:sz w:val="20"/>
                      <w:szCs w:val="20"/>
                    </w:rPr>
                    <w:t>Platform</w:t>
                  </w:r>
                </w:p>
              </w:tc>
              <w:tc>
                <w:tcPr>
                  <w:tcW w:w="1620" w:type="dxa"/>
                  <w:tcBorders>
                    <w:top w:val="single" w:sz="4" w:space="0" w:color="auto"/>
                    <w:bottom w:val="single" w:sz="4" w:space="0" w:color="auto"/>
                  </w:tcBorders>
                  <w:vAlign w:val="center"/>
                </w:tcPr>
                <w:p w14:paraId="71F33241" w14:textId="49F8584D" w:rsidR="00A76640" w:rsidRPr="00A76640" w:rsidRDefault="00A76640" w:rsidP="00A76640">
                  <w:pPr>
                    <w:jc w:val="center"/>
                    <w:rPr>
                      <w:noProof/>
                      <w:sz w:val="20"/>
                      <w:szCs w:val="20"/>
                    </w:rPr>
                  </w:pPr>
                  <w:r w:rsidRPr="00A76640">
                    <w:rPr>
                      <w:noProof/>
                      <w:sz w:val="20"/>
                      <w:szCs w:val="20"/>
                    </w:rPr>
                    <w:t>Samples (M</w:t>
                  </w:r>
                  <w:r>
                    <w:rPr>
                      <w:noProof/>
                      <w:sz w:val="20"/>
                      <w:szCs w:val="20"/>
                    </w:rPr>
                    <w:t>B</w:t>
                  </w:r>
                  <w:r w:rsidRPr="00A76640">
                    <w:rPr>
                      <w:noProof/>
                      <w:sz w:val="20"/>
                      <w:szCs w:val="20"/>
                    </w:rPr>
                    <w:t>:H)</w:t>
                  </w:r>
                </w:p>
              </w:tc>
            </w:tr>
            <w:tr w:rsidR="00A76640" w:rsidRPr="0060089F" w14:paraId="679A4C5F" w14:textId="77777777" w:rsidTr="00A76640">
              <w:trPr>
                <w:trHeight w:val="282"/>
              </w:trPr>
              <w:tc>
                <w:tcPr>
                  <w:tcW w:w="511" w:type="dxa"/>
                  <w:tcBorders>
                    <w:top w:val="single" w:sz="4" w:space="0" w:color="auto"/>
                  </w:tcBorders>
                  <w:vAlign w:val="center"/>
                </w:tcPr>
                <w:p w14:paraId="1FCFC2EC" w14:textId="77777777" w:rsidR="00A76640" w:rsidRPr="00A76640" w:rsidRDefault="00A76640" w:rsidP="00A76640">
                  <w:pPr>
                    <w:jc w:val="center"/>
                    <w:rPr>
                      <w:noProof/>
                      <w:sz w:val="20"/>
                      <w:szCs w:val="20"/>
                    </w:rPr>
                  </w:pPr>
                  <w:r w:rsidRPr="00A76640">
                    <w:rPr>
                      <w:noProof/>
                      <w:sz w:val="20"/>
                      <w:szCs w:val="20"/>
                    </w:rPr>
                    <w:t>1</w:t>
                  </w:r>
                </w:p>
              </w:tc>
              <w:tc>
                <w:tcPr>
                  <w:tcW w:w="1116" w:type="dxa"/>
                  <w:tcBorders>
                    <w:top w:val="single" w:sz="4" w:space="0" w:color="auto"/>
                  </w:tcBorders>
                  <w:vAlign w:val="center"/>
                </w:tcPr>
                <w:p w14:paraId="0075A105" w14:textId="77777777" w:rsidR="00A76640" w:rsidRPr="00A76640" w:rsidRDefault="00A76640" w:rsidP="00A76640">
                  <w:pPr>
                    <w:jc w:val="center"/>
                    <w:rPr>
                      <w:noProof/>
                      <w:sz w:val="20"/>
                      <w:szCs w:val="20"/>
                    </w:rPr>
                  </w:pPr>
                  <w:r w:rsidRPr="00A76640">
                    <w:rPr>
                      <w:noProof/>
                      <w:sz w:val="20"/>
                      <w:szCs w:val="20"/>
                    </w:rPr>
                    <w:t>Microarray</w:t>
                  </w:r>
                </w:p>
              </w:tc>
              <w:tc>
                <w:tcPr>
                  <w:tcW w:w="1687" w:type="dxa"/>
                  <w:tcBorders>
                    <w:top w:val="single" w:sz="4" w:space="0" w:color="auto"/>
                  </w:tcBorders>
                  <w:vAlign w:val="center"/>
                </w:tcPr>
                <w:p w14:paraId="3BAEE2A8" w14:textId="77777777" w:rsidR="00A76640" w:rsidRPr="00A76640" w:rsidRDefault="00A76640" w:rsidP="00A76640">
                  <w:pPr>
                    <w:jc w:val="center"/>
                    <w:rPr>
                      <w:noProof/>
                      <w:sz w:val="20"/>
                      <w:szCs w:val="20"/>
                    </w:rPr>
                  </w:pPr>
                  <w:r w:rsidRPr="00A76640">
                    <w:rPr>
                      <w:noProof/>
                      <w:sz w:val="20"/>
                      <w:szCs w:val="20"/>
                    </w:rPr>
                    <w:t>GSE33309</w:t>
                  </w:r>
                </w:p>
              </w:tc>
              <w:tc>
                <w:tcPr>
                  <w:tcW w:w="4860" w:type="dxa"/>
                  <w:tcBorders>
                    <w:top w:val="single" w:sz="4" w:space="0" w:color="auto"/>
                  </w:tcBorders>
                  <w:vAlign w:val="center"/>
                </w:tcPr>
                <w:p w14:paraId="3F3A1675" w14:textId="77777777" w:rsidR="00A76640" w:rsidRPr="00A76640" w:rsidRDefault="00A76640" w:rsidP="00A76640">
                  <w:pPr>
                    <w:jc w:val="center"/>
                    <w:rPr>
                      <w:noProof/>
                      <w:sz w:val="20"/>
                      <w:szCs w:val="20"/>
                    </w:rPr>
                  </w:pPr>
                  <w:r w:rsidRPr="00A76640">
                    <w:rPr>
                      <w:noProof/>
                      <w:sz w:val="20"/>
                      <w:szCs w:val="20"/>
                    </w:rPr>
                    <w:t>GPL2112 ((Bovine) Affymetrix Bovine Genome Array)</w:t>
                  </w:r>
                </w:p>
              </w:tc>
              <w:tc>
                <w:tcPr>
                  <w:tcW w:w="1620" w:type="dxa"/>
                  <w:tcBorders>
                    <w:top w:val="single" w:sz="4" w:space="0" w:color="auto"/>
                  </w:tcBorders>
                  <w:vAlign w:val="center"/>
                </w:tcPr>
                <w:p w14:paraId="327C5A20" w14:textId="77777777" w:rsidR="00A76640" w:rsidRPr="00A76640" w:rsidRDefault="00A76640" w:rsidP="00A76640">
                  <w:pPr>
                    <w:jc w:val="center"/>
                    <w:rPr>
                      <w:noProof/>
                      <w:sz w:val="20"/>
                      <w:szCs w:val="20"/>
                    </w:rPr>
                  </w:pPr>
                  <w:r w:rsidRPr="00A76640">
                    <w:rPr>
                      <w:noProof/>
                      <w:sz w:val="20"/>
                      <w:szCs w:val="20"/>
                    </w:rPr>
                    <w:t>42 (21:21)</w:t>
                  </w:r>
                </w:p>
              </w:tc>
            </w:tr>
            <w:tr w:rsidR="00A76640" w:rsidRPr="0060089F" w14:paraId="4DCA2C02" w14:textId="77777777" w:rsidTr="00A76640">
              <w:trPr>
                <w:trHeight w:val="400"/>
              </w:trPr>
              <w:tc>
                <w:tcPr>
                  <w:tcW w:w="511" w:type="dxa"/>
                  <w:vAlign w:val="center"/>
                </w:tcPr>
                <w:p w14:paraId="2570D50B" w14:textId="77777777" w:rsidR="00A76640" w:rsidRPr="00A76640" w:rsidRDefault="00A76640" w:rsidP="00A76640">
                  <w:pPr>
                    <w:jc w:val="center"/>
                    <w:rPr>
                      <w:noProof/>
                      <w:sz w:val="20"/>
                      <w:szCs w:val="20"/>
                    </w:rPr>
                  </w:pPr>
                  <w:r w:rsidRPr="00A76640">
                    <w:rPr>
                      <w:noProof/>
                      <w:sz w:val="20"/>
                      <w:szCs w:val="20"/>
                    </w:rPr>
                    <w:t>2</w:t>
                  </w:r>
                </w:p>
              </w:tc>
              <w:tc>
                <w:tcPr>
                  <w:tcW w:w="1116" w:type="dxa"/>
                  <w:vAlign w:val="center"/>
                </w:tcPr>
                <w:p w14:paraId="74A9DC7D" w14:textId="77777777" w:rsidR="00A76640" w:rsidRPr="00A76640" w:rsidRDefault="00A76640" w:rsidP="00A76640">
                  <w:pPr>
                    <w:jc w:val="center"/>
                    <w:rPr>
                      <w:noProof/>
                      <w:sz w:val="20"/>
                      <w:szCs w:val="20"/>
                    </w:rPr>
                  </w:pPr>
                  <w:r w:rsidRPr="00A76640">
                    <w:rPr>
                      <w:noProof/>
                      <w:sz w:val="20"/>
                      <w:szCs w:val="20"/>
                    </w:rPr>
                    <w:t>Microarray</w:t>
                  </w:r>
                </w:p>
              </w:tc>
              <w:tc>
                <w:tcPr>
                  <w:tcW w:w="1687" w:type="dxa"/>
                  <w:vAlign w:val="center"/>
                </w:tcPr>
                <w:p w14:paraId="337C8AEB" w14:textId="77777777" w:rsidR="00A76640" w:rsidRPr="00A76640" w:rsidRDefault="00A76640" w:rsidP="00A76640">
                  <w:pPr>
                    <w:jc w:val="center"/>
                    <w:rPr>
                      <w:noProof/>
                      <w:sz w:val="20"/>
                      <w:szCs w:val="20"/>
                    </w:rPr>
                  </w:pPr>
                  <w:r w:rsidRPr="00A76640">
                    <w:rPr>
                      <w:noProof/>
                      <w:sz w:val="20"/>
                      <w:szCs w:val="20"/>
                    </w:rPr>
                    <w:t>GSE41401</w:t>
                  </w:r>
                </w:p>
              </w:tc>
              <w:tc>
                <w:tcPr>
                  <w:tcW w:w="4860" w:type="dxa"/>
                  <w:vAlign w:val="center"/>
                </w:tcPr>
                <w:p w14:paraId="4BEA153D" w14:textId="77777777" w:rsidR="00A76640" w:rsidRPr="00A76640" w:rsidRDefault="00A76640" w:rsidP="00A76640">
                  <w:pPr>
                    <w:jc w:val="center"/>
                    <w:rPr>
                      <w:noProof/>
                      <w:sz w:val="20"/>
                      <w:szCs w:val="20"/>
                    </w:rPr>
                  </w:pPr>
                  <w:r w:rsidRPr="00A76640">
                    <w:rPr>
                      <w:noProof/>
                      <w:sz w:val="20"/>
                      <w:szCs w:val="20"/>
                    </w:rPr>
                    <w:t>GPL11649 (Agilent-023647 B. taurus (Bovine) Oligo Microarray v2 (Probe Name version))</w:t>
                  </w:r>
                </w:p>
              </w:tc>
              <w:tc>
                <w:tcPr>
                  <w:tcW w:w="1620" w:type="dxa"/>
                  <w:vAlign w:val="center"/>
                </w:tcPr>
                <w:p w14:paraId="6E3DA404" w14:textId="77777777" w:rsidR="00A76640" w:rsidRPr="00A76640" w:rsidRDefault="00A76640" w:rsidP="00A76640">
                  <w:pPr>
                    <w:jc w:val="center"/>
                    <w:rPr>
                      <w:noProof/>
                      <w:sz w:val="20"/>
                      <w:szCs w:val="20"/>
                    </w:rPr>
                  </w:pPr>
                  <w:r w:rsidRPr="00A76640">
                    <w:rPr>
                      <w:noProof/>
                      <w:sz w:val="20"/>
                      <w:szCs w:val="20"/>
                    </w:rPr>
                    <w:t>12 (6:6)</w:t>
                  </w:r>
                </w:p>
              </w:tc>
            </w:tr>
            <w:tr w:rsidR="00A76640" w:rsidRPr="0060089F" w14:paraId="56957CE7" w14:textId="77777777" w:rsidTr="00A76640">
              <w:trPr>
                <w:trHeight w:val="265"/>
              </w:trPr>
              <w:tc>
                <w:tcPr>
                  <w:tcW w:w="511" w:type="dxa"/>
                  <w:vAlign w:val="center"/>
                </w:tcPr>
                <w:p w14:paraId="60071A9F" w14:textId="77777777" w:rsidR="00A76640" w:rsidRPr="00A76640" w:rsidRDefault="00A76640" w:rsidP="00A76640">
                  <w:pPr>
                    <w:jc w:val="center"/>
                    <w:rPr>
                      <w:noProof/>
                      <w:sz w:val="20"/>
                      <w:szCs w:val="20"/>
                    </w:rPr>
                  </w:pPr>
                  <w:r w:rsidRPr="00A76640">
                    <w:rPr>
                      <w:noProof/>
                      <w:sz w:val="20"/>
                      <w:szCs w:val="20"/>
                    </w:rPr>
                    <w:t>3</w:t>
                  </w:r>
                </w:p>
              </w:tc>
              <w:tc>
                <w:tcPr>
                  <w:tcW w:w="1116" w:type="dxa"/>
                  <w:vAlign w:val="center"/>
                </w:tcPr>
                <w:p w14:paraId="0B95340F" w14:textId="77777777" w:rsidR="00A76640" w:rsidRPr="00A76640" w:rsidRDefault="00A76640" w:rsidP="00A76640">
                  <w:pPr>
                    <w:jc w:val="center"/>
                    <w:rPr>
                      <w:noProof/>
                      <w:sz w:val="20"/>
                      <w:szCs w:val="20"/>
                    </w:rPr>
                  </w:pPr>
                  <w:r w:rsidRPr="00A76640">
                    <w:rPr>
                      <w:noProof/>
                      <w:sz w:val="20"/>
                      <w:szCs w:val="20"/>
                    </w:rPr>
                    <w:t>RNA-Seq</w:t>
                  </w:r>
                </w:p>
              </w:tc>
              <w:tc>
                <w:tcPr>
                  <w:tcW w:w="1687" w:type="dxa"/>
                  <w:vAlign w:val="center"/>
                </w:tcPr>
                <w:p w14:paraId="75FAE54F" w14:textId="77777777" w:rsidR="00A76640" w:rsidRPr="00A76640" w:rsidRDefault="00A76640" w:rsidP="00A76640">
                  <w:pPr>
                    <w:jc w:val="center"/>
                    <w:rPr>
                      <w:noProof/>
                      <w:sz w:val="20"/>
                      <w:szCs w:val="20"/>
                    </w:rPr>
                  </w:pPr>
                  <w:r w:rsidRPr="00A76640">
                    <w:rPr>
                      <w:noProof/>
                      <w:sz w:val="20"/>
                      <w:szCs w:val="20"/>
                    </w:rPr>
                    <w:t>GSE45439</w:t>
                  </w:r>
                </w:p>
              </w:tc>
              <w:tc>
                <w:tcPr>
                  <w:tcW w:w="4860" w:type="dxa"/>
                  <w:vAlign w:val="center"/>
                </w:tcPr>
                <w:p w14:paraId="353BFAF1" w14:textId="77777777" w:rsidR="00A76640" w:rsidRPr="00A76640" w:rsidRDefault="00A76640" w:rsidP="00A76640">
                  <w:pPr>
                    <w:jc w:val="center"/>
                    <w:rPr>
                      <w:noProof/>
                      <w:sz w:val="20"/>
                      <w:szCs w:val="20"/>
                    </w:rPr>
                  </w:pPr>
                  <w:r w:rsidRPr="00A76640">
                    <w:rPr>
                      <w:noProof/>
                      <w:sz w:val="20"/>
                      <w:szCs w:val="20"/>
                    </w:rPr>
                    <w:t>GPL15750 (Illumina Genome Analyzer IIx (</w:t>
                  </w:r>
                  <w:r w:rsidRPr="00A76640">
                    <w:rPr>
                      <w:i/>
                      <w:iCs/>
                      <w:noProof/>
                      <w:sz w:val="20"/>
                      <w:szCs w:val="20"/>
                    </w:rPr>
                    <w:t>Bos taurus</w:t>
                  </w:r>
                  <w:r w:rsidRPr="00A76640">
                    <w:rPr>
                      <w:noProof/>
                      <w:sz w:val="20"/>
                      <w:szCs w:val="20"/>
                    </w:rPr>
                    <w:t>))</w:t>
                  </w:r>
                </w:p>
              </w:tc>
              <w:tc>
                <w:tcPr>
                  <w:tcW w:w="1620" w:type="dxa"/>
                  <w:vAlign w:val="center"/>
                </w:tcPr>
                <w:p w14:paraId="5916B11D" w14:textId="77777777" w:rsidR="00A76640" w:rsidRPr="00A76640" w:rsidRDefault="00A76640" w:rsidP="00A76640">
                  <w:pPr>
                    <w:jc w:val="center"/>
                    <w:rPr>
                      <w:noProof/>
                      <w:sz w:val="20"/>
                      <w:szCs w:val="20"/>
                    </w:rPr>
                  </w:pPr>
                  <w:r w:rsidRPr="00A76640">
                    <w:rPr>
                      <w:noProof/>
                      <w:sz w:val="20"/>
                      <w:szCs w:val="20"/>
                    </w:rPr>
                    <w:t>14 (7:7)</w:t>
                  </w:r>
                </w:p>
              </w:tc>
            </w:tr>
            <w:tr w:rsidR="00A76640" w:rsidRPr="0060089F" w14:paraId="671DB385" w14:textId="77777777" w:rsidTr="00A76640">
              <w:trPr>
                <w:trHeight w:val="274"/>
              </w:trPr>
              <w:tc>
                <w:tcPr>
                  <w:tcW w:w="511" w:type="dxa"/>
                  <w:vAlign w:val="center"/>
                </w:tcPr>
                <w:p w14:paraId="3FE57BD1" w14:textId="77777777" w:rsidR="00A76640" w:rsidRPr="00A76640" w:rsidRDefault="00A76640" w:rsidP="00A76640">
                  <w:pPr>
                    <w:jc w:val="center"/>
                    <w:rPr>
                      <w:noProof/>
                      <w:sz w:val="20"/>
                      <w:szCs w:val="20"/>
                    </w:rPr>
                  </w:pPr>
                  <w:r w:rsidRPr="00A76640">
                    <w:rPr>
                      <w:noProof/>
                      <w:sz w:val="20"/>
                      <w:szCs w:val="20"/>
                    </w:rPr>
                    <w:t>4</w:t>
                  </w:r>
                </w:p>
              </w:tc>
              <w:tc>
                <w:tcPr>
                  <w:tcW w:w="1116" w:type="dxa"/>
                  <w:vAlign w:val="center"/>
                </w:tcPr>
                <w:p w14:paraId="61CBC8DB" w14:textId="77777777" w:rsidR="00A76640" w:rsidRPr="00A76640" w:rsidRDefault="00A76640" w:rsidP="00A76640">
                  <w:pPr>
                    <w:jc w:val="center"/>
                    <w:rPr>
                      <w:noProof/>
                      <w:sz w:val="20"/>
                      <w:szCs w:val="20"/>
                    </w:rPr>
                  </w:pPr>
                  <w:r w:rsidRPr="00A76640">
                    <w:rPr>
                      <w:noProof/>
                      <w:sz w:val="20"/>
                      <w:szCs w:val="20"/>
                    </w:rPr>
                    <w:t>RNA-Seq</w:t>
                  </w:r>
                </w:p>
              </w:tc>
              <w:tc>
                <w:tcPr>
                  <w:tcW w:w="1687" w:type="dxa"/>
                  <w:vAlign w:val="center"/>
                </w:tcPr>
                <w:p w14:paraId="61E561C8" w14:textId="77777777" w:rsidR="00A76640" w:rsidRPr="00A76640" w:rsidRDefault="00A76640" w:rsidP="00A76640">
                  <w:pPr>
                    <w:jc w:val="center"/>
                    <w:rPr>
                      <w:noProof/>
                      <w:sz w:val="20"/>
                      <w:szCs w:val="20"/>
                    </w:rPr>
                  </w:pPr>
                  <w:r w:rsidRPr="00A76640">
                    <w:rPr>
                      <w:noProof/>
                      <w:sz w:val="20"/>
                      <w:szCs w:val="20"/>
                    </w:rPr>
                    <w:t>GSE60265</w:t>
                  </w:r>
                </w:p>
              </w:tc>
              <w:tc>
                <w:tcPr>
                  <w:tcW w:w="4860" w:type="dxa"/>
                  <w:vAlign w:val="center"/>
                </w:tcPr>
                <w:p w14:paraId="37E528E6" w14:textId="77777777" w:rsidR="00A76640" w:rsidRPr="00A76640" w:rsidRDefault="00A76640" w:rsidP="00A76640">
                  <w:pPr>
                    <w:jc w:val="center"/>
                    <w:rPr>
                      <w:noProof/>
                      <w:sz w:val="20"/>
                      <w:szCs w:val="20"/>
                    </w:rPr>
                  </w:pPr>
                  <w:r w:rsidRPr="00A76640">
                    <w:rPr>
                      <w:noProof/>
                      <w:sz w:val="20"/>
                      <w:szCs w:val="20"/>
                    </w:rPr>
                    <w:t>GPL15750 (Illumina Genome Analyzer IIx (</w:t>
                  </w:r>
                  <w:r w:rsidRPr="00A76640">
                    <w:rPr>
                      <w:i/>
                      <w:iCs/>
                      <w:noProof/>
                      <w:sz w:val="20"/>
                      <w:szCs w:val="20"/>
                    </w:rPr>
                    <w:t>Bos taurus</w:t>
                  </w:r>
                  <w:r w:rsidRPr="00A76640">
                    <w:rPr>
                      <w:noProof/>
                      <w:sz w:val="20"/>
                      <w:szCs w:val="20"/>
                    </w:rPr>
                    <w:t>))</w:t>
                  </w:r>
                </w:p>
              </w:tc>
              <w:tc>
                <w:tcPr>
                  <w:tcW w:w="1620" w:type="dxa"/>
                  <w:vAlign w:val="center"/>
                </w:tcPr>
                <w:p w14:paraId="6D5EC0F7" w14:textId="77777777" w:rsidR="00A76640" w:rsidRPr="00A76640" w:rsidRDefault="00A76640" w:rsidP="00A76640">
                  <w:pPr>
                    <w:jc w:val="center"/>
                    <w:rPr>
                      <w:noProof/>
                      <w:sz w:val="20"/>
                      <w:szCs w:val="20"/>
                    </w:rPr>
                  </w:pPr>
                  <w:r w:rsidRPr="00A76640">
                    <w:rPr>
                      <w:noProof/>
                      <w:sz w:val="20"/>
                      <w:szCs w:val="20"/>
                    </w:rPr>
                    <w:t>16 (8:8)</w:t>
                  </w:r>
                </w:p>
              </w:tc>
            </w:tr>
            <w:tr w:rsidR="00A76640" w:rsidRPr="0060089F" w14:paraId="67F658FB" w14:textId="77777777" w:rsidTr="00A76640">
              <w:tc>
                <w:tcPr>
                  <w:tcW w:w="511" w:type="dxa"/>
                  <w:tcBorders>
                    <w:bottom w:val="single" w:sz="4" w:space="0" w:color="auto"/>
                  </w:tcBorders>
                  <w:vAlign w:val="center"/>
                </w:tcPr>
                <w:p w14:paraId="797CF5D1" w14:textId="77777777" w:rsidR="00A76640" w:rsidRPr="00A76640" w:rsidRDefault="00A76640" w:rsidP="00A76640">
                  <w:pPr>
                    <w:jc w:val="center"/>
                    <w:rPr>
                      <w:noProof/>
                      <w:sz w:val="20"/>
                      <w:szCs w:val="20"/>
                    </w:rPr>
                  </w:pPr>
                  <w:r w:rsidRPr="00A76640">
                    <w:rPr>
                      <w:noProof/>
                      <w:sz w:val="20"/>
                      <w:szCs w:val="20"/>
                    </w:rPr>
                    <w:t>5</w:t>
                  </w:r>
                </w:p>
              </w:tc>
              <w:tc>
                <w:tcPr>
                  <w:tcW w:w="1116" w:type="dxa"/>
                  <w:tcBorders>
                    <w:bottom w:val="single" w:sz="4" w:space="0" w:color="auto"/>
                  </w:tcBorders>
                  <w:vAlign w:val="center"/>
                </w:tcPr>
                <w:p w14:paraId="49EF4078" w14:textId="77777777" w:rsidR="00A76640" w:rsidRPr="00A76640" w:rsidRDefault="00A76640" w:rsidP="00A76640">
                  <w:pPr>
                    <w:jc w:val="center"/>
                    <w:rPr>
                      <w:noProof/>
                      <w:sz w:val="20"/>
                      <w:szCs w:val="20"/>
                    </w:rPr>
                  </w:pPr>
                  <w:r w:rsidRPr="00A76640">
                    <w:rPr>
                      <w:noProof/>
                      <w:sz w:val="20"/>
                      <w:szCs w:val="20"/>
                    </w:rPr>
                    <w:t>RNA-Seq</w:t>
                  </w:r>
                </w:p>
              </w:tc>
              <w:tc>
                <w:tcPr>
                  <w:tcW w:w="1687" w:type="dxa"/>
                  <w:tcBorders>
                    <w:bottom w:val="single" w:sz="4" w:space="0" w:color="auto"/>
                  </w:tcBorders>
                  <w:vAlign w:val="center"/>
                </w:tcPr>
                <w:p w14:paraId="7A892B02" w14:textId="77777777" w:rsidR="00A76640" w:rsidRPr="00A76640" w:rsidRDefault="00A76640" w:rsidP="00A76640">
                  <w:pPr>
                    <w:jc w:val="center"/>
                    <w:rPr>
                      <w:noProof/>
                      <w:sz w:val="20"/>
                      <w:szCs w:val="20"/>
                    </w:rPr>
                  </w:pPr>
                  <w:r w:rsidRPr="00A76640">
                    <w:rPr>
                      <w:noProof/>
                      <w:sz w:val="20"/>
                      <w:szCs w:val="20"/>
                    </w:rPr>
                    <w:t>GSE62506</w:t>
                  </w:r>
                </w:p>
              </w:tc>
              <w:tc>
                <w:tcPr>
                  <w:tcW w:w="4860" w:type="dxa"/>
                  <w:tcBorders>
                    <w:bottom w:val="single" w:sz="4" w:space="0" w:color="auto"/>
                  </w:tcBorders>
                  <w:vAlign w:val="center"/>
                </w:tcPr>
                <w:p w14:paraId="7B43EFBF" w14:textId="77777777" w:rsidR="00A76640" w:rsidRPr="00A76640" w:rsidRDefault="00A76640" w:rsidP="00A76640">
                  <w:pPr>
                    <w:jc w:val="center"/>
                    <w:rPr>
                      <w:noProof/>
                      <w:sz w:val="20"/>
                      <w:szCs w:val="20"/>
                    </w:rPr>
                  </w:pPr>
                  <w:r w:rsidRPr="00A76640">
                    <w:rPr>
                      <w:noProof/>
                      <w:sz w:val="20"/>
                      <w:szCs w:val="20"/>
                    </w:rPr>
                    <w:t>GPL15749 (Illumina HiSeq 2000 (</w:t>
                  </w:r>
                  <w:r w:rsidRPr="00A76640">
                    <w:rPr>
                      <w:i/>
                      <w:iCs/>
                      <w:noProof/>
                      <w:sz w:val="20"/>
                      <w:szCs w:val="20"/>
                    </w:rPr>
                    <w:t>Bos taurus</w:t>
                  </w:r>
                  <w:r w:rsidRPr="00A76640">
                    <w:rPr>
                      <w:noProof/>
                      <w:sz w:val="20"/>
                      <w:szCs w:val="20"/>
                    </w:rPr>
                    <w:t>))</w:t>
                  </w:r>
                </w:p>
              </w:tc>
              <w:tc>
                <w:tcPr>
                  <w:tcW w:w="1620" w:type="dxa"/>
                  <w:tcBorders>
                    <w:bottom w:val="single" w:sz="4" w:space="0" w:color="auto"/>
                  </w:tcBorders>
                  <w:vAlign w:val="center"/>
                </w:tcPr>
                <w:p w14:paraId="785174AF" w14:textId="77777777" w:rsidR="00A76640" w:rsidRPr="00A76640" w:rsidRDefault="00A76640" w:rsidP="00A76640">
                  <w:pPr>
                    <w:jc w:val="center"/>
                    <w:rPr>
                      <w:noProof/>
                      <w:sz w:val="20"/>
                      <w:szCs w:val="20"/>
                    </w:rPr>
                  </w:pPr>
                  <w:r w:rsidRPr="00A76640">
                    <w:rPr>
                      <w:noProof/>
                      <w:sz w:val="20"/>
                      <w:szCs w:val="20"/>
                    </w:rPr>
                    <w:t>78 (39:39)</w:t>
                  </w:r>
                </w:p>
              </w:tc>
            </w:tr>
          </w:tbl>
          <w:p w14:paraId="4DDB731E" w14:textId="289AEC6E" w:rsidR="009F4295" w:rsidRDefault="002C3463" w:rsidP="00A07CAE">
            <w:pPr>
              <w:ind w:left="37"/>
              <w:jc w:val="both"/>
              <w:rPr>
                <w:noProof/>
                <w:sz w:val="20"/>
                <w:szCs w:val="20"/>
                <w:lang w:val="en-US"/>
              </w:rPr>
            </w:pPr>
            <w:r>
              <w:rPr>
                <w:b/>
                <w:sz w:val="20"/>
                <w:szCs w:val="20"/>
              </w:rPr>
              <w:t>Results</w:t>
            </w:r>
            <w:r w:rsidR="00A444DC">
              <w:rPr>
                <w:b/>
                <w:sz w:val="20"/>
                <w:szCs w:val="20"/>
              </w:rPr>
              <w:t xml:space="preserve"> </w:t>
            </w:r>
            <w:r w:rsidR="00FD00B6" w:rsidRPr="00FD00B6">
              <w:rPr>
                <w:noProof/>
                <w:sz w:val="20"/>
                <w:szCs w:val="20"/>
                <w:lang w:val="en-US"/>
              </w:rPr>
              <w:t xml:space="preserve">Comparative transcriptomics-related analyses identified 3076 and 3229 differentially expressed genes (DEGs) between MB-infected and control Holstein dairy cattle samples for RNA-Seq and microarray datasets respectively, based on </w:t>
            </w:r>
            <w:r w:rsidR="00716E86">
              <w:rPr>
                <w:noProof/>
                <w:sz w:val="20"/>
                <w:szCs w:val="20"/>
                <w:lang w:val="en-US"/>
              </w:rPr>
              <w:t>a</w:t>
            </w:r>
            <w:r w:rsidR="00716E86" w:rsidRPr="00FD00B6">
              <w:rPr>
                <w:noProof/>
                <w:sz w:val="20"/>
                <w:szCs w:val="20"/>
                <w:lang w:val="en-US"/>
              </w:rPr>
              <w:t xml:space="preserve"> </w:t>
            </w:r>
            <w:r w:rsidR="00FD00B6" w:rsidRPr="00FD00B6">
              <w:rPr>
                <w:noProof/>
                <w:sz w:val="20"/>
                <w:szCs w:val="20"/>
                <w:lang w:val="en-US"/>
              </w:rPr>
              <w:t xml:space="preserve">fold change ≥ 1 or ≤ -1, and a false discovery rate &lt; 0.05. Among these, 13 genes were common between </w:t>
            </w:r>
            <w:r w:rsidR="00FD00B6">
              <w:rPr>
                <w:noProof/>
                <w:sz w:val="20"/>
                <w:szCs w:val="20"/>
                <w:lang w:val="en-US"/>
              </w:rPr>
              <w:t>t</w:t>
            </w:r>
            <w:r w:rsidR="00FD00B6" w:rsidRPr="00FD00B6">
              <w:rPr>
                <w:noProof/>
                <w:sz w:val="20"/>
                <w:szCs w:val="20"/>
                <w:lang w:val="en-US"/>
              </w:rPr>
              <w:t>ranscriptomic profile datasets. In addition to DEGs, 9 and 39 miRNAs were simultaneously identified in the RNA-Seq datasets and literature mining, respectively. Furthermore, we identified 5 hub genes (</w:t>
            </w:r>
            <w:r w:rsidR="00FD00B6" w:rsidRPr="00FD00B6">
              <w:rPr>
                <w:i/>
                <w:iCs/>
                <w:noProof/>
                <w:sz w:val="20"/>
                <w:szCs w:val="20"/>
                <w:lang w:val="en-US"/>
              </w:rPr>
              <w:t>CCL4</w:t>
            </w:r>
            <w:r w:rsidR="00FD00B6" w:rsidRPr="00FD00B6">
              <w:rPr>
                <w:noProof/>
                <w:sz w:val="20"/>
                <w:szCs w:val="20"/>
                <w:lang w:val="en-US"/>
              </w:rPr>
              <w:t xml:space="preserve">, </w:t>
            </w:r>
            <w:r w:rsidR="00FD00B6" w:rsidRPr="00FD00B6">
              <w:rPr>
                <w:i/>
                <w:iCs/>
                <w:noProof/>
                <w:sz w:val="20"/>
                <w:szCs w:val="20"/>
                <w:lang w:val="en-US"/>
              </w:rPr>
              <w:t>CXCL2</w:t>
            </w:r>
            <w:r w:rsidR="00FD00B6" w:rsidRPr="00FD00B6">
              <w:rPr>
                <w:noProof/>
                <w:sz w:val="20"/>
                <w:szCs w:val="20"/>
                <w:lang w:val="en-US"/>
              </w:rPr>
              <w:t xml:space="preserve">, </w:t>
            </w:r>
            <w:r w:rsidR="00FD00B6" w:rsidRPr="00FD00B6">
              <w:rPr>
                <w:i/>
                <w:iCs/>
                <w:noProof/>
                <w:sz w:val="20"/>
                <w:szCs w:val="20"/>
                <w:lang w:val="en-US"/>
              </w:rPr>
              <w:t>IL12B</w:t>
            </w:r>
            <w:r w:rsidR="00FD00B6" w:rsidRPr="00FD00B6">
              <w:rPr>
                <w:noProof/>
                <w:sz w:val="20"/>
                <w:szCs w:val="20"/>
                <w:lang w:val="en-US"/>
              </w:rPr>
              <w:t xml:space="preserve">, </w:t>
            </w:r>
            <w:r w:rsidR="00FD00B6" w:rsidRPr="00FD00B6">
              <w:rPr>
                <w:i/>
                <w:iCs/>
                <w:noProof/>
                <w:sz w:val="20"/>
                <w:szCs w:val="20"/>
                <w:lang w:val="en-US"/>
              </w:rPr>
              <w:t>IL1A</w:t>
            </w:r>
            <w:r w:rsidR="00FD00B6" w:rsidRPr="00FD00B6">
              <w:rPr>
                <w:noProof/>
                <w:sz w:val="20"/>
                <w:szCs w:val="20"/>
                <w:lang w:val="en-US"/>
              </w:rPr>
              <w:t xml:space="preserve">, and </w:t>
            </w:r>
            <w:r w:rsidR="00FD00B6" w:rsidRPr="00FD00B6">
              <w:rPr>
                <w:i/>
                <w:iCs/>
                <w:noProof/>
                <w:sz w:val="20"/>
                <w:szCs w:val="20"/>
                <w:lang w:val="en-US"/>
              </w:rPr>
              <w:t>RETN</w:t>
            </w:r>
            <w:r w:rsidR="00FD00B6" w:rsidRPr="00FD00B6">
              <w:rPr>
                <w:noProof/>
                <w:sz w:val="20"/>
                <w:szCs w:val="20"/>
                <w:lang w:val="en-US"/>
              </w:rPr>
              <w:t xml:space="preserve">) involved in </w:t>
            </w:r>
            <w:r w:rsidR="006E6992">
              <w:rPr>
                <w:noProof/>
                <w:sz w:val="20"/>
                <w:szCs w:val="20"/>
                <w:lang w:val="en-US"/>
              </w:rPr>
              <w:t>MB infection</w:t>
            </w:r>
            <w:r w:rsidR="00FD00B6" w:rsidRPr="00FD00B6">
              <w:rPr>
                <w:noProof/>
                <w:sz w:val="20"/>
                <w:szCs w:val="20"/>
                <w:lang w:val="en-US"/>
              </w:rPr>
              <w:t xml:space="preserve">. Identified biological and regulatory networks were mainly associated with immune system signature pathways. Gene set annotation and functional enrichment of identified DEGs implicated important biological pathways. In this regard, functional enrichment analysis, based on the mRNA-miRNA regulatory network (Figure 1) revealed 6, 4 and 1 GO terms related to bTB in the biological process, molecular function, and cellular component categories, respectively. In addition, KEGG enrichment analysis identified cytokine-cytokine receptor interaction, </w:t>
            </w:r>
            <w:r w:rsidR="00FD00B6">
              <w:rPr>
                <w:noProof/>
                <w:sz w:val="20"/>
                <w:szCs w:val="20"/>
                <w:lang w:val="en-US"/>
              </w:rPr>
              <w:t>t</w:t>
            </w:r>
            <w:r w:rsidR="00FD00B6" w:rsidRPr="00FD00B6">
              <w:rPr>
                <w:noProof/>
                <w:sz w:val="20"/>
                <w:szCs w:val="20"/>
                <w:lang w:val="en-US"/>
              </w:rPr>
              <w:t>uberculosis, and signaling pathways for chemokine, NF-k</w:t>
            </w:r>
            <w:r w:rsidR="00FD00B6">
              <w:rPr>
                <w:noProof/>
                <w:sz w:val="20"/>
                <w:szCs w:val="20"/>
                <w:lang w:val="en-US"/>
              </w:rPr>
              <w:t>appa B and Toll-like receptors</w:t>
            </w:r>
            <w:r w:rsidR="00BA5FD2">
              <w:rPr>
                <w:noProof/>
                <w:sz w:val="20"/>
                <w:szCs w:val="20"/>
                <w:lang w:val="en-US"/>
              </w:rPr>
              <w:t>.</w:t>
            </w:r>
          </w:p>
          <w:p w14:paraId="2BF44334" w14:textId="27EF0042" w:rsidR="00A3288B" w:rsidRPr="00A3288B" w:rsidRDefault="001A3F3B" w:rsidP="00A3288B">
            <w:pPr>
              <w:jc w:val="both"/>
              <w:rPr>
                <w:noProof/>
                <w:sz w:val="20"/>
                <w:szCs w:val="20"/>
                <w:lang w:val="en-US"/>
              </w:rPr>
            </w:pPr>
            <w:r>
              <w:rPr>
                <w:b/>
                <w:sz w:val="20"/>
                <w:szCs w:val="20"/>
              </w:rPr>
              <w:t>Conclusions</w:t>
            </w:r>
            <w:r w:rsidR="00FA2783">
              <w:rPr>
                <w:sz w:val="20"/>
                <w:szCs w:val="20"/>
              </w:rPr>
              <w:t xml:space="preserve"> </w:t>
            </w:r>
            <w:r w:rsidR="009F4295" w:rsidRPr="009F4295">
              <w:rPr>
                <w:noProof/>
                <w:sz w:val="20"/>
                <w:szCs w:val="20"/>
                <w:lang w:val="en-US"/>
              </w:rPr>
              <w:t>These findings offer</w:t>
            </w:r>
            <w:r w:rsidR="004B4830">
              <w:rPr>
                <w:noProof/>
                <w:sz w:val="20"/>
                <w:szCs w:val="20"/>
                <w:lang w:val="en-US"/>
              </w:rPr>
              <w:t>ed</w:t>
            </w:r>
            <w:r w:rsidR="009F4295" w:rsidRPr="009F4295">
              <w:rPr>
                <w:noProof/>
                <w:sz w:val="20"/>
                <w:szCs w:val="20"/>
                <w:lang w:val="en-US"/>
              </w:rPr>
              <w:t xml:space="preserve"> valuable insights into the molecular evidence surrounding the regulatory mechanisms involved in transcriptome profiling of MB-infected Holstein dairy cattle</w:t>
            </w:r>
            <w:r w:rsidR="00716E86">
              <w:rPr>
                <w:noProof/>
                <w:sz w:val="20"/>
                <w:szCs w:val="20"/>
                <w:lang w:val="en-US"/>
              </w:rPr>
              <w:t>,</w:t>
            </w:r>
            <w:r w:rsidR="009F4295" w:rsidRPr="009F4295">
              <w:rPr>
                <w:noProof/>
                <w:sz w:val="20"/>
                <w:szCs w:val="20"/>
                <w:lang w:val="en-US"/>
              </w:rPr>
              <w:t xml:space="preserve"> compared to </w:t>
            </w:r>
            <w:r w:rsidR="00716E86">
              <w:rPr>
                <w:noProof/>
                <w:sz w:val="20"/>
                <w:szCs w:val="20"/>
                <w:lang w:val="en-US"/>
              </w:rPr>
              <w:t xml:space="preserve">noninfected </w:t>
            </w:r>
            <w:r w:rsidR="009F4295" w:rsidRPr="009F4295">
              <w:rPr>
                <w:noProof/>
                <w:sz w:val="20"/>
                <w:szCs w:val="20"/>
                <w:lang w:val="en-US"/>
              </w:rPr>
              <w:t xml:space="preserve">controls. Additionally, they </w:t>
            </w:r>
            <w:r w:rsidR="004B4830">
              <w:rPr>
                <w:noProof/>
                <w:sz w:val="20"/>
                <w:szCs w:val="20"/>
                <w:lang w:val="en-US"/>
              </w:rPr>
              <w:t>are</w:t>
            </w:r>
            <w:r w:rsidR="009F4295" w:rsidRPr="009F4295">
              <w:rPr>
                <w:noProof/>
                <w:sz w:val="20"/>
                <w:szCs w:val="20"/>
                <w:lang w:val="en-US"/>
              </w:rPr>
              <w:t xml:space="preserve"> an impetus to explore molecular networks and functions of </w:t>
            </w:r>
            <w:r w:rsidR="00E930B1">
              <w:rPr>
                <w:noProof/>
                <w:sz w:val="20"/>
                <w:szCs w:val="20"/>
                <w:lang w:val="en-US"/>
              </w:rPr>
              <w:t>DEGs</w:t>
            </w:r>
            <w:r w:rsidR="009F4295" w:rsidRPr="009F4295">
              <w:rPr>
                <w:noProof/>
                <w:sz w:val="20"/>
                <w:szCs w:val="20"/>
                <w:lang w:val="en-US"/>
              </w:rPr>
              <w:t xml:space="preserve"> associated with blood samples, particularly focusing on MDMs and their role in immune system function. This research provides a foundational starting point for future studies</w:t>
            </w:r>
            <w:r w:rsidR="009F4295">
              <w:rPr>
                <w:noProof/>
                <w:sz w:val="20"/>
                <w:szCs w:val="20"/>
                <w:lang w:val="en-US"/>
              </w:rPr>
              <w:t xml:space="preserve"> on bovine tuberculosis disease</w:t>
            </w:r>
            <w:r w:rsidR="00700E87" w:rsidRPr="00700E87">
              <w:rPr>
                <w:noProof/>
                <w:sz w:val="20"/>
                <w:szCs w:val="20"/>
                <w:lang w:val="en-US"/>
              </w:rPr>
              <w:t>.</w:t>
            </w:r>
          </w:p>
          <w:p w14:paraId="09454B7E" w14:textId="2442D4B7" w:rsidR="00BA5FD2" w:rsidRPr="00BA5FD2" w:rsidRDefault="00BA5FD2" w:rsidP="00BA5FD2">
            <w:pPr>
              <w:rPr>
                <w:b/>
                <w:sz w:val="20"/>
                <w:szCs w:val="20"/>
              </w:rPr>
            </w:pPr>
            <w:r w:rsidRPr="00BA5FD2">
              <w:rPr>
                <w:b/>
                <w:sz w:val="20"/>
                <w:szCs w:val="20"/>
              </w:rPr>
              <w:t>References</w:t>
            </w:r>
          </w:p>
          <w:p w14:paraId="426DD00E" w14:textId="302782AD" w:rsidR="00BA5FD2" w:rsidRPr="00BA5FD2" w:rsidRDefault="00CA00A1" w:rsidP="00550A93">
            <w:pPr>
              <w:rPr>
                <w:noProof/>
                <w:sz w:val="20"/>
                <w:szCs w:val="20"/>
                <w:lang w:val="en-US"/>
              </w:rPr>
            </w:pPr>
            <w:r w:rsidRPr="00CA00A1">
              <w:rPr>
                <w:noProof/>
                <w:sz w:val="20"/>
                <w:szCs w:val="20"/>
                <w:lang w:val="en-US"/>
              </w:rPr>
              <w:t xml:space="preserve">Hall, T.J., Mullen, M.P., McHugo, G.P., Killick, K.E., Ring, S.C., Berry, D.P., </w:t>
            </w:r>
            <w:r w:rsidR="00550A93">
              <w:rPr>
                <w:noProof/>
                <w:sz w:val="20"/>
                <w:szCs w:val="20"/>
                <w:lang w:val="en-US"/>
              </w:rPr>
              <w:t>et al.</w:t>
            </w:r>
            <w:r w:rsidRPr="00CA00A1">
              <w:rPr>
                <w:noProof/>
                <w:sz w:val="20"/>
                <w:szCs w:val="20"/>
                <w:lang w:val="en-US"/>
              </w:rPr>
              <w:t xml:space="preserve"> </w:t>
            </w:r>
            <w:r w:rsidR="00550A93">
              <w:rPr>
                <w:noProof/>
                <w:sz w:val="20"/>
                <w:szCs w:val="20"/>
                <w:lang w:val="en-US"/>
              </w:rPr>
              <w:t>(</w:t>
            </w:r>
            <w:r w:rsidRPr="00CA00A1">
              <w:rPr>
                <w:noProof/>
                <w:sz w:val="20"/>
                <w:szCs w:val="20"/>
                <w:lang w:val="en-US"/>
              </w:rPr>
              <w:t>2021</w:t>
            </w:r>
            <w:r w:rsidR="00550A93">
              <w:rPr>
                <w:noProof/>
                <w:sz w:val="20"/>
                <w:szCs w:val="20"/>
                <w:lang w:val="en-US"/>
              </w:rPr>
              <w:t>)</w:t>
            </w:r>
            <w:r w:rsidRPr="00CA00A1">
              <w:rPr>
                <w:noProof/>
                <w:sz w:val="20"/>
                <w:szCs w:val="20"/>
                <w:lang w:val="en-US"/>
              </w:rPr>
              <w:t>. Integrative genomics of the mammalian alveolar macrophage response to intracellular mycobacte</w:t>
            </w:r>
            <w:r w:rsidR="00550A93">
              <w:rPr>
                <w:noProof/>
                <w:sz w:val="20"/>
                <w:szCs w:val="20"/>
                <w:lang w:val="en-US"/>
              </w:rPr>
              <w:t>ria. BMC Genomics, 22(1), 343</w:t>
            </w:r>
            <w:r w:rsidR="00BA5FD2" w:rsidRPr="00BA5FD2">
              <w:rPr>
                <w:noProof/>
                <w:sz w:val="20"/>
                <w:szCs w:val="20"/>
                <w:lang w:val="en-US"/>
              </w:rPr>
              <w:t>.</w:t>
            </w:r>
          </w:p>
          <w:p w14:paraId="09D3742B" w14:textId="28DED095" w:rsidR="00BA5FD2" w:rsidRPr="00BA5FD2" w:rsidRDefault="00794353" w:rsidP="00BA5FD2">
            <w:pPr>
              <w:rPr>
                <w:noProof/>
                <w:sz w:val="20"/>
                <w:szCs w:val="20"/>
                <w:lang w:val="en-US"/>
              </w:rPr>
            </w:pPr>
            <w:r w:rsidRPr="00794353">
              <w:rPr>
                <w:noProof/>
                <w:sz w:val="20"/>
                <w:szCs w:val="20"/>
                <w:lang w:val="en-US"/>
              </w:rPr>
              <w:t>Waters, W.R., Palmer, M.V., Bud</w:t>
            </w:r>
            <w:r>
              <w:rPr>
                <w:noProof/>
                <w:sz w:val="20"/>
                <w:szCs w:val="20"/>
                <w:lang w:val="en-US"/>
              </w:rPr>
              <w:t>dle, B.M. and Vordermeier, H.M.</w:t>
            </w:r>
            <w:r w:rsidRPr="00794353">
              <w:rPr>
                <w:noProof/>
                <w:sz w:val="20"/>
                <w:szCs w:val="20"/>
                <w:lang w:val="en-US"/>
              </w:rPr>
              <w:t xml:space="preserve"> </w:t>
            </w:r>
            <w:r>
              <w:rPr>
                <w:noProof/>
                <w:sz w:val="20"/>
                <w:szCs w:val="20"/>
                <w:lang w:val="en-US"/>
              </w:rPr>
              <w:t>(</w:t>
            </w:r>
            <w:r w:rsidRPr="00794353">
              <w:rPr>
                <w:noProof/>
                <w:sz w:val="20"/>
                <w:szCs w:val="20"/>
                <w:lang w:val="en-US"/>
              </w:rPr>
              <w:t>2012</w:t>
            </w:r>
            <w:r>
              <w:rPr>
                <w:noProof/>
                <w:sz w:val="20"/>
                <w:szCs w:val="20"/>
                <w:lang w:val="en-US"/>
              </w:rPr>
              <w:t>)</w:t>
            </w:r>
            <w:r w:rsidRPr="00794353">
              <w:rPr>
                <w:noProof/>
                <w:sz w:val="20"/>
                <w:szCs w:val="20"/>
                <w:lang w:val="en-US"/>
              </w:rPr>
              <w:t>. Bovine tuberculosis vaccine research: historical perspectives and recent advances. Vaccine, 30(</w:t>
            </w:r>
            <w:r>
              <w:rPr>
                <w:noProof/>
                <w:sz w:val="20"/>
                <w:szCs w:val="20"/>
                <w:lang w:val="en-US"/>
              </w:rPr>
              <w:t xml:space="preserve">16), </w:t>
            </w:r>
            <w:r w:rsidRPr="00794353">
              <w:rPr>
                <w:noProof/>
                <w:sz w:val="20"/>
                <w:szCs w:val="20"/>
                <w:lang w:val="en-US"/>
              </w:rPr>
              <w:t>2611-2622</w:t>
            </w:r>
            <w:r w:rsidR="00BA5FD2" w:rsidRPr="00BA5FD2">
              <w:rPr>
                <w:noProof/>
                <w:sz w:val="20"/>
                <w:szCs w:val="20"/>
                <w:lang w:val="en-US"/>
              </w:rPr>
              <w:t>.</w:t>
            </w:r>
          </w:p>
          <w:p w14:paraId="2832D57F" w14:textId="4B8B8F2B" w:rsidR="00BA5FD2" w:rsidRPr="00700E1B" w:rsidRDefault="00794353" w:rsidP="00A07CAE">
            <w:pPr>
              <w:rPr>
                <w:noProof/>
                <w:sz w:val="20"/>
                <w:szCs w:val="20"/>
                <w:lang w:val="en-US"/>
              </w:rPr>
            </w:pPr>
            <w:r w:rsidRPr="00794353">
              <w:rPr>
                <w:noProof/>
                <w:sz w:val="20"/>
                <w:szCs w:val="20"/>
                <w:lang w:val="en-US"/>
              </w:rPr>
              <w:t>McLoughlin, K.E., Correia, C.N., Browne, J.A., Magee, D.A.,</w:t>
            </w:r>
            <w:r w:rsidR="00A07CAE">
              <w:rPr>
                <w:noProof/>
                <w:sz w:val="20"/>
                <w:szCs w:val="20"/>
                <w:lang w:val="en-US"/>
              </w:rPr>
              <w:t xml:space="preserve"> Nalpas, N.C., Rue-Albrecht, K., et al.</w:t>
            </w:r>
            <w:r w:rsidRPr="00794353">
              <w:rPr>
                <w:noProof/>
                <w:sz w:val="20"/>
                <w:szCs w:val="20"/>
                <w:lang w:val="en-US"/>
              </w:rPr>
              <w:t xml:space="preserve"> </w:t>
            </w:r>
            <w:r w:rsidR="00A07CAE">
              <w:rPr>
                <w:noProof/>
                <w:sz w:val="20"/>
                <w:szCs w:val="20"/>
                <w:lang w:val="en-US"/>
              </w:rPr>
              <w:t>(</w:t>
            </w:r>
            <w:r w:rsidRPr="00794353">
              <w:rPr>
                <w:noProof/>
                <w:sz w:val="20"/>
                <w:szCs w:val="20"/>
                <w:lang w:val="en-US"/>
              </w:rPr>
              <w:t>2021</w:t>
            </w:r>
            <w:r w:rsidR="00A07CAE">
              <w:rPr>
                <w:noProof/>
                <w:sz w:val="20"/>
                <w:szCs w:val="20"/>
                <w:lang w:val="en-US"/>
              </w:rPr>
              <w:t>)</w:t>
            </w:r>
            <w:r w:rsidRPr="00794353">
              <w:rPr>
                <w:noProof/>
                <w:sz w:val="20"/>
                <w:szCs w:val="20"/>
                <w:lang w:val="en-US"/>
              </w:rPr>
              <w:t xml:space="preserve">. RNA-seq transcriptome analysis of peripheral blood from cattle infected with </w:t>
            </w:r>
            <w:r w:rsidRPr="001C6448">
              <w:rPr>
                <w:i/>
                <w:iCs/>
                <w:noProof/>
                <w:sz w:val="20"/>
                <w:szCs w:val="20"/>
                <w:lang w:val="en-US"/>
              </w:rPr>
              <w:t>Mycobacterium bovis</w:t>
            </w:r>
            <w:r w:rsidRPr="00794353">
              <w:rPr>
                <w:noProof/>
                <w:sz w:val="20"/>
                <w:szCs w:val="20"/>
                <w:lang w:val="en-US"/>
              </w:rPr>
              <w:t xml:space="preserve"> across an experimental time course. Fronti</w:t>
            </w:r>
            <w:r w:rsidR="00A07CAE">
              <w:rPr>
                <w:noProof/>
                <w:sz w:val="20"/>
                <w:szCs w:val="20"/>
                <w:lang w:val="en-US"/>
              </w:rPr>
              <w:t xml:space="preserve">ers in Veterinary Science, 8, </w:t>
            </w:r>
            <w:r w:rsidRPr="00794353">
              <w:rPr>
                <w:noProof/>
                <w:sz w:val="20"/>
                <w:szCs w:val="20"/>
                <w:lang w:val="en-US"/>
              </w:rPr>
              <w:t>662002.</w:t>
            </w:r>
          </w:p>
          <w:p w14:paraId="2B80968A" w14:textId="41353A49" w:rsidR="003C014D" w:rsidRPr="002C3463" w:rsidRDefault="003C014D" w:rsidP="00833425">
            <w:pPr>
              <w:autoSpaceDE w:val="0"/>
              <w:autoSpaceDN w:val="0"/>
              <w:adjustRightInd w:val="0"/>
              <w:rPr>
                <w:sz w:val="20"/>
                <w:szCs w:val="20"/>
              </w:rPr>
            </w:pPr>
          </w:p>
        </w:tc>
      </w:tr>
      <w:tr w:rsidR="00B164AB" w:rsidRPr="00AE32E3" w14:paraId="1CF59104" w14:textId="77777777" w:rsidTr="00B164AB">
        <w:trPr>
          <w:trHeight w:hRule="exact" w:val="12674"/>
        </w:trPr>
        <w:tc>
          <w:tcPr>
            <w:tcW w:w="5000" w:type="pct"/>
            <w:tcBorders>
              <w:top w:val="single" w:sz="4" w:space="0" w:color="auto"/>
              <w:left w:val="single" w:sz="4" w:space="0" w:color="auto"/>
              <w:right w:val="single" w:sz="4" w:space="0" w:color="auto"/>
            </w:tcBorders>
            <w:shd w:val="clear" w:color="auto" w:fill="F3F3F3"/>
          </w:tcPr>
          <w:p w14:paraId="0EAFDD52" w14:textId="0BCA5D0C" w:rsidR="0005437A" w:rsidRDefault="0005437A" w:rsidP="00E057D4">
            <w:pPr>
              <w:jc w:val="both"/>
              <w:rPr>
                <w:b/>
                <w:noProof/>
                <w:sz w:val="20"/>
                <w:szCs w:val="20"/>
                <w:lang w:val="en-US"/>
              </w:rPr>
            </w:pPr>
            <w:r>
              <w:rPr>
                <w:b/>
                <w:noProof/>
                <w:sz w:val="20"/>
                <w:szCs w:val="20"/>
              </w:rPr>
              <w:lastRenderedPageBreak/>
              <w:drawing>
                <wp:inline distT="0" distB="0" distL="0" distR="0" wp14:anchorId="6D60490F" wp14:editId="16A9A91A">
                  <wp:extent cx="6183630" cy="4570730"/>
                  <wp:effectExtent l="0" t="0" r="7620" b="1270"/>
                  <wp:docPr id="672155161" name="Picture 2"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55161" name="Picture 2" descr="A diagram of a network&#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83630" cy="4570730"/>
                          </a:xfrm>
                          <a:prstGeom prst="rect">
                            <a:avLst/>
                          </a:prstGeom>
                        </pic:spPr>
                      </pic:pic>
                    </a:graphicData>
                  </a:graphic>
                </wp:inline>
              </w:drawing>
            </w:r>
          </w:p>
          <w:p w14:paraId="41A974E0" w14:textId="1D13AB91" w:rsidR="00B164AB" w:rsidRPr="0005437A" w:rsidRDefault="0005437A" w:rsidP="0005437A">
            <w:pPr>
              <w:rPr>
                <w:noProof/>
                <w:sz w:val="20"/>
                <w:szCs w:val="20"/>
                <w:lang w:val="en-US"/>
              </w:rPr>
            </w:pPr>
            <w:r w:rsidRPr="00BA5FD2">
              <w:rPr>
                <w:b/>
                <w:sz w:val="20"/>
                <w:szCs w:val="20"/>
              </w:rPr>
              <w:t>Figure 1</w:t>
            </w:r>
            <w:r>
              <w:rPr>
                <w:b/>
                <w:sz w:val="20"/>
                <w:szCs w:val="20"/>
              </w:rPr>
              <w:t>:</w:t>
            </w:r>
            <w:r w:rsidRPr="00BA3E35">
              <w:t xml:space="preserve"> </w:t>
            </w:r>
            <w:r w:rsidRPr="00BA5FD2">
              <w:rPr>
                <w:noProof/>
                <w:sz w:val="20"/>
                <w:szCs w:val="20"/>
                <w:lang w:val="en-US"/>
              </w:rPr>
              <w:t xml:space="preserve">mRNA-miRNA regulatory network on </w:t>
            </w:r>
            <w:r>
              <w:rPr>
                <w:noProof/>
                <w:sz w:val="20"/>
                <w:szCs w:val="20"/>
                <w:lang w:val="en-US"/>
              </w:rPr>
              <w:t>MB infection</w:t>
            </w:r>
            <w:r w:rsidRPr="00BA5FD2">
              <w:rPr>
                <w:noProof/>
                <w:sz w:val="20"/>
                <w:szCs w:val="20"/>
                <w:lang w:val="en-US"/>
              </w:rPr>
              <w:t xml:space="preserve"> in dairy cattle</w:t>
            </w:r>
            <w:r>
              <w:rPr>
                <w:noProof/>
                <w:sz w:val="20"/>
                <w:szCs w:val="20"/>
                <w:lang w:val="en-US"/>
              </w:rPr>
              <w:t>.</w:t>
            </w:r>
          </w:p>
        </w:tc>
      </w:tr>
    </w:tbl>
    <w:p w14:paraId="6BF96E5C" w14:textId="6CE99F36" w:rsidR="00631EB0" w:rsidRDefault="00631EB0" w:rsidP="00A07CAE"/>
    <w:sectPr w:rsidR="00631EB0" w:rsidSect="00E14333">
      <w:headerReference w:type="default" r:id="rId9"/>
      <w:pgSz w:w="11906" w:h="16838" w:code="9"/>
      <w:pgMar w:top="284" w:right="964" w:bottom="567" w:left="96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8F5AB" w14:textId="77777777" w:rsidR="00956579" w:rsidRDefault="00956579" w:rsidP="00E14333">
      <w:r>
        <w:separator/>
      </w:r>
    </w:p>
  </w:endnote>
  <w:endnote w:type="continuationSeparator" w:id="0">
    <w:p w14:paraId="6D3B3D1A" w14:textId="77777777" w:rsidR="00956579" w:rsidRDefault="00956579" w:rsidP="00E143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03866" w14:textId="77777777" w:rsidR="00956579" w:rsidRDefault="00956579" w:rsidP="00E14333">
      <w:r>
        <w:separator/>
      </w:r>
    </w:p>
  </w:footnote>
  <w:footnote w:type="continuationSeparator" w:id="0">
    <w:p w14:paraId="3D826950" w14:textId="77777777" w:rsidR="00956579" w:rsidRDefault="00956579" w:rsidP="00E143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7BBFCC" w14:textId="77777777" w:rsidR="00E14333" w:rsidRPr="000F31AE" w:rsidRDefault="00E14333" w:rsidP="00E14333">
    <w:pPr>
      <w:pStyle w:val="Header"/>
      <w:rPr>
        <w:color w:val="FF0000"/>
        <w:sz w:val="20"/>
        <w:szCs w:val="20"/>
      </w:rPr>
    </w:pPr>
    <w:r w:rsidRPr="00DB49E8">
      <w:rPr>
        <w:color w:val="FF0000"/>
        <w:u w:val="single"/>
      </w:rPr>
      <w:t>I</w:t>
    </w:r>
    <w:r w:rsidRPr="000F31AE">
      <w:rPr>
        <w:color w:val="FF0000"/>
        <w:sz w:val="20"/>
        <w:szCs w:val="20"/>
        <w:u w:val="single"/>
      </w:rPr>
      <w:t>mportant notes</w:t>
    </w:r>
    <w:r w:rsidRPr="000F31AE">
      <w:rPr>
        <w:color w:val="FF0000"/>
        <w:sz w:val="20"/>
        <w:szCs w:val="20"/>
      </w:rPr>
      <w:t>:</w:t>
    </w:r>
  </w:p>
  <w:p w14:paraId="4079EF18" w14:textId="77777777" w:rsidR="00E14333" w:rsidRPr="000F31AE" w:rsidRDefault="00E14333" w:rsidP="00E14333">
    <w:pPr>
      <w:pStyle w:val="Header"/>
      <w:rPr>
        <w:color w:val="FF0000"/>
        <w:sz w:val="20"/>
        <w:szCs w:val="20"/>
      </w:rPr>
    </w:pPr>
    <w:r w:rsidRPr="000F31AE">
      <w:rPr>
        <w:color w:val="FF0000"/>
        <w:sz w:val="20"/>
        <w:szCs w:val="20"/>
      </w:rPr>
      <w:t>Do NOT enter author and affiliation information on this document. You will be able to enter this information online when you submit the abstract.</w:t>
    </w:r>
  </w:p>
  <w:p w14:paraId="20D63A78" w14:textId="77777777" w:rsidR="00E14333" w:rsidRPr="000F31AE" w:rsidRDefault="00E14333" w:rsidP="00E14333">
    <w:pPr>
      <w:pStyle w:val="Header"/>
      <w:rPr>
        <w:color w:val="FF0000"/>
        <w:sz w:val="20"/>
        <w:szCs w:val="20"/>
      </w:rPr>
    </w:pPr>
    <w:r w:rsidRPr="000F31AE">
      <w:rPr>
        <w:color w:val="FF0000"/>
        <w:sz w:val="20"/>
        <w:szCs w:val="20"/>
      </w:rPr>
      <w:t xml:space="preserve">Do NOT write outside the boxes. Any text or images outside the boxes </w:t>
    </w:r>
    <w:r w:rsidRPr="000F31AE">
      <w:rPr>
        <w:b/>
        <w:color w:val="FF0000"/>
        <w:sz w:val="20"/>
        <w:szCs w:val="20"/>
        <w:u w:val="single"/>
      </w:rPr>
      <w:t>will be deleted</w:t>
    </w:r>
    <w:r w:rsidRPr="000F31AE">
      <w:rPr>
        <w:color w:val="FF0000"/>
        <w:sz w:val="20"/>
        <w:szCs w:val="20"/>
      </w:rPr>
      <w:t>.</w:t>
    </w:r>
  </w:p>
  <w:p w14:paraId="558DE3C3" w14:textId="77777777" w:rsidR="00E14333" w:rsidRPr="000F31AE" w:rsidRDefault="00E14333" w:rsidP="00E14333">
    <w:pPr>
      <w:pStyle w:val="Header"/>
      <w:rPr>
        <w:color w:val="FF0000"/>
        <w:sz w:val="20"/>
        <w:szCs w:val="20"/>
      </w:rPr>
    </w:pPr>
    <w:r w:rsidRPr="000F31AE">
      <w:rPr>
        <w:color w:val="FF0000"/>
        <w:sz w:val="20"/>
        <w:szCs w:val="20"/>
      </w:rPr>
      <w:t>Do NOT alter the structure of this document. Simply enter your title and abstract in the gray boxes. The document will be automatically processed – if you alter its structure your submission will not be processed correctly.</w:t>
    </w:r>
  </w:p>
  <w:p w14:paraId="3F678555" w14:textId="77777777" w:rsidR="00E14333" w:rsidRDefault="00E14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71F68"/>
    <w:multiLevelType w:val="hybridMultilevel"/>
    <w:tmpl w:val="FBDE12AE"/>
    <w:lvl w:ilvl="0" w:tplc="167626D8">
      <w:start w:val="1"/>
      <w:numFmt w:val="decimal"/>
      <w:lvlText w:val="%1)"/>
      <w:lvlJc w:val="left"/>
      <w:pPr>
        <w:tabs>
          <w:tab w:val="num" w:pos="720"/>
        </w:tabs>
        <w:ind w:left="720" w:hanging="360"/>
      </w:pPr>
    </w:lvl>
    <w:lvl w:ilvl="1" w:tplc="94E8173C" w:tentative="1">
      <w:start w:val="1"/>
      <w:numFmt w:val="decimal"/>
      <w:lvlText w:val="%2)"/>
      <w:lvlJc w:val="left"/>
      <w:pPr>
        <w:tabs>
          <w:tab w:val="num" w:pos="1440"/>
        </w:tabs>
        <w:ind w:left="1440" w:hanging="360"/>
      </w:pPr>
    </w:lvl>
    <w:lvl w:ilvl="2" w:tplc="A4167740" w:tentative="1">
      <w:start w:val="1"/>
      <w:numFmt w:val="decimal"/>
      <w:lvlText w:val="%3)"/>
      <w:lvlJc w:val="left"/>
      <w:pPr>
        <w:tabs>
          <w:tab w:val="num" w:pos="2160"/>
        </w:tabs>
        <w:ind w:left="2160" w:hanging="360"/>
      </w:pPr>
    </w:lvl>
    <w:lvl w:ilvl="3" w:tplc="30DA926C" w:tentative="1">
      <w:start w:val="1"/>
      <w:numFmt w:val="decimal"/>
      <w:lvlText w:val="%4)"/>
      <w:lvlJc w:val="left"/>
      <w:pPr>
        <w:tabs>
          <w:tab w:val="num" w:pos="2880"/>
        </w:tabs>
        <w:ind w:left="2880" w:hanging="360"/>
      </w:pPr>
    </w:lvl>
    <w:lvl w:ilvl="4" w:tplc="D5FA969E" w:tentative="1">
      <w:start w:val="1"/>
      <w:numFmt w:val="decimal"/>
      <w:lvlText w:val="%5)"/>
      <w:lvlJc w:val="left"/>
      <w:pPr>
        <w:tabs>
          <w:tab w:val="num" w:pos="3600"/>
        </w:tabs>
        <w:ind w:left="3600" w:hanging="360"/>
      </w:pPr>
    </w:lvl>
    <w:lvl w:ilvl="5" w:tplc="A768E442" w:tentative="1">
      <w:start w:val="1"/>
      <w:numFmt w:val="decimal"/>
      <w:lvlText w:val="%6)"/>
      <w:lvlJc w:val="left"/>
      <w:pPr>
        <w:tabs>
          <w:tab w:val="num" w:pos="4320"/>
        </w:tabs>
        <w:ind w:left="4320" w:hanging="360"/>
      </w:pPr>
    </w:lvl>
    <w:lvl w:ilvl="6" w:tplc="36ACCE02" w:tentative="1">
      <w:start w:val="1"/>
      <w:numFmt w:val="decimal"/>
      <w:lvlText w:val="%7)"/>
      <w:lvlJc w:val="left"/>
      <w:pPr>
        <w:tabs>
          <w:tab w:val="num" w:pos="5040"/>
        </w:tabs>
        <w:ind w:left="5040" w:hanging="360"/>
      </w:pPr>
    </w:lvl>
    <w:lvl w:ilvl="7" w:tplc="B9521042" w:tentative="1">
      <w:start w:val="1"/>
      <w:numFmt w:val="decimal"/>
      <w:lvlText w:val="%8)"/>
      <w:lvlJc w:val="left"/>
      <w:pPr>
        <w:tabs>
          <w:tab w:val="num" w:pos="5760"/>
        </w:tabs>
        <w:ind w:left="5760" w:hanging="360"/>
      </w:pPr>
    </w:lvl>
    <w:lvl w:ilvl="8" w:tplc="1D0A87B4" w:tentative="1">
      <w:start w:val="1"/>
      <w:numFmt w:val="decimal"/>
      <w:lvlText w:val="%9)"/>
      <w:lvlJc w:val="left"/>
      <w:pPr>
        <w:tabs>
          <w:tab w:val="num" w:pos="6480"/>
        </w:tabs>
        <w:ind w:left="6480" w:hanging="360"/>
      </w:pPr>
    </w:lvl>
  </w:abstractNum>
  <w:abstractNum w:abstractNumId="1" w15:restartNumberingAfterBreak="0">
    <w:nsid w:val="0CC22A01"/>
    <w:multiLevelType w:val="hybridMultilevel"/>
    <w:tmpl w:val="01E6286C"/>
    <w:lvl w:ilvl="0" w:tplc="74287C40">
      <w:start w:val="3"/>
      <w:numFmt w:val="bullet"/>
      <w:lvlText w:val=""/>
      <w:lvlJc w:val="left"/>
      <w:pPr>
        <w:ind w:left="397" w:hanging="360"/>
      </w:pPr>
      <w:rPr>
        <w:rFonts w:ascii="Symbol" w:eastAsia="Times New Roman" w:hAnsi="Symbol" w:cs="Times New Roman" w:hint="default"/>
      </w:rPr>
    </w:lvl>
    <w:lvl w:ilvl="1" w:tplc="08090003" w:tentative="1">
      <w:start w:val="1"/>
      <w:numFmt w:val="bullet"/>
      <w:lvlText w:val="o"/>
      <w:lvlJc w:val="left"/>
      <w:pPr>
        <w:ind w:left="1117" w:hanging="360"/>
      </w:pPr>
      <w:rPr>
        <w:rFonts w:ascii="Courier New" w:hAnsi="Courier New" w:cs="Courier New" w:hint="default"/>
      </w:rPr>
    </w:lvl>
    <w:lvl w:ilvl="2" w:tplc="08090005" w:tentative="1">
      <w:start w:val="1"/>
      <w:numFmt w:val="bullet"/>
      <w:lvlText w:val=""/>
      <w:lvlJc w:val="left"/>
      <w:pPr>
        <w:ind w:left="1837" w:hanging="360"/>
      </w:pPr>
      <w:rPr>
        <w:rFonts w:ascii="Wingdings" w:hAnsi="Wingdings" w:hint="default"/>
      </w:rPr>
    </w:lvl>
    <w:lvl w:ilvl="3" w:tplc="08090001" w:tentative="1">
      <w:start w:val="1"/>
      <w:numFmt w:val="bullet"/>
      <w:lvlText w:val=""/>
      <w:lvlJc w:val="left"/>
      <w:pPr>
        <w:ind w:left="2557" w:hanging="360"/>
      </w:pPr>
      <w:rPr>
        <w:rFonts w:ascii="Symbol" w:hAnsi="Symbol" w:hint="default"/>
      </w:rPr>
    </w:lvl>
    <w:lvl w:ilvl="4" w:tplc="08090003" w:tentative="1">
      <w:start w:val="1"/>
      <w:numFmt w:val="bullet"/>
      <w:lvlText w:val="o"/>
      <w:lvlJc w:val="left"/>
      <w:pPr>
        <w:ind w:left="3277" w:hanging="360"/>
      </w:pPr>
      <w:rPr>
        <w:rFonts w:ascii="Courier New" w:hAnsi="Courier New" w:cs="Courier New" w:hint="default"/>
      </w:rPr>
    </w:lvl>
    <w:lvl w:ilvl="5" w:tplc="08090005" w:tentative="1">
      <w:start w:val="1"/>
      <w:numFmt w:val="bullet"/>
      <w:lvlText w:val=""/>
      <w:lvlJc w:val="left"/>
      <w:pPr>
        <w:ind w:left="3997" w:hanging="360"/>
      </w:pPr>
      <w:rPr>
        <w:rFonts w:ascii="Wingdings" w:hAnsi="Wingdings" w:hint="default"/>
      </w:rPr>
    </w:lvl>
    <w:lvl w:ilvl="6" w:tplc="08090001" w:tentative="1">
      <w:start w:val="1"/>
      <w:numFmt w:val="bullet"/>
      <w:lvlText w:val=""/>
      <w:lvlJc w:val="left"/>
      <w:pPr>
        <w:ind w:left="4717" w:hanging="360"/>
      </w:pPr>
      <w:rPr>
        <w:rFonts w:ascii="Symbol" w:hAnsi="Symbol" w:hint="default"/>
      </w:rPr>
    </w:lvl>
    <w:lvl w:ilvl="7" w:tplc="08090003" w:tentative="1">
      <w:start w:val="1"/>
      <w:numFmt w:val="bullet"/>
      <w:lvlText w:val="o"/>
      <w:lvlJc w:val="left"/>
      <w:pPr>
        <w:ind w:left="5437" w:hanging="360"/>
      </w:pPr>
      <w:rPr>
        <w:rFonts w:ascii="Courier New" w:hAnsi="Courier New" w:cs="Courier New" w:hint="default"/>
      </w:rPr>
    </w:lvl>
    <w:lvl w:ilvl="8" w:tplc="08090005" w:tentative="1">
      <w:start w:val="1"/>
      <w:numFmt w:val="bullet"/>
      <w:lvlText w:val=""/>
      <w:lvlJc w:val="left"/>
      <w:pPr>
        <w:ind w:left="6157" w:hanging="360"/>
      </w:pPr>
      <w:rPr>
        <w:rFonts w:ascii="Wingdings" w:hAnsi="Wingdings" w:hint="default"/>
      </w:rPr>
    </w:lvl>
  </w:abstractNum>
  <w:abstractNum w:abstractNumId="2" w15:restartNumberingAfterBreak="0">
    <w:nsid w:val="76CE1068"/>
    <w:multiLevelType w:val="hybridMultilevel"/>
    <w:tmpl w:val="5088ED86"/>
    <w:lvl w:ilvl="0" w:tplc="B952FD44">
      <w:start w:val="1"/>
      <w:numFmt w:val="bullet"/>
      <w:lvlText w:val=""/>
      <w:lvlJc w:val="left"/>
      <w:pPr>
        <w:tabs>
          <w:tab w:val="num" w:pos="720"/>
        </w:tabs>
        <w:ind w:left="720" w:hanging="360"/>
      </w:pPr>
      <w:rPr>
        <w:rFonts w:ascii="Wingdings" w:hAnsi="Wingdings" w:hint="default"/>
      </w:rPr>
    </w:lvl>
    <w:lvl w:ilvl="1" w:tplc="DAD482A2" w:tentative="1">
      <w:start w:val="1"/>
      <w:numFmt w:val="bullet"/>
      <w:lvlText w:val=""/>
      <w:lvlJc w:val="left"/>
      <w:pPr>
        <w:tabs>
          <w:tab w:val="num" w:pos="1440"/>
        </w:tabs>
        <w:ind w:left="1440" w:hanging="360"/>
      </w:pPr>
      <w:rPr>
        <w:rFonts w:ascii="Wingdings" w:hAnsi="Wingdings" w:hint="default"/>
      </w:rPr>
    </w:lvl>
    <w:lvl w:ilvl="2" w:tplc="284C3A28" w:tentative="1">
      <w:start w:val="1"/>
      <w:numFmt w:val="bullet"/>
      <w:lvlText w:val=""/>
      <w:lvlJc w:val="left"/>
      <w:pPr>
        <w:tabs>
          <w:tab w:val="num" w:pos="2160"/>
        </w:tabs>
        <w:ind w:left="2160" w:hanging="360"/>
      </w:pPr>
      <w:rPr>
        <w:rFonts w:ascii="Wingdings" w:hAnsi="Wingdings" w:hint="default"/>
      </w:rPr>
    </w:lvl>
    <w:lvl w:ilvl="3" w:tplc="85C2CD9E" w:tentative="1">
      <w:start w:val="1"/>
      <w:numFmt w:val="bullet"/>
      <w:lvlText w:val=""/>
      <w:lvlJc w:val="left"/>
      <w:pPr>
        <w:tabs>
          <w:tab w:val="num" w:pos="2880"/>
        </w:tabs>
        <w:ind w:left="2880" w:hanging="360"/>
      </w:pPr>
      <w:rPr>
        <w:rFonts w:ascii="Wingdings" w:hAnsi="Wingdings" w:hint="default"/>
      </w:rPr>
    </w:lvl>
    <w:lvl w:ilvl="4" w:tplc="DB1200A2" w:tentative="1">
      <w:start w:val="1"/>
      <w:numFmt w:val="bullet"/>
      <w:lvlText w:val=""/>
      <w:lvlJc w:val="left"/>
      <w:pPr>
        <w:tabs>
          <w:tab w:val="num" w:pos="3600"/>
        </w:tabs>
        <w:ind w:left="3600" w:hanging="360"/>
      </w:pPr>
      <w:rPr>
        <w:rFonts w:ascii="Wingdings" w:hAnsi="Wingdings" w:hint="default"/>
      </w:rPr>
    </w:lvl>
    <w:lvl w:ilvl="5" w:tplc="B13239AC" w:tentative="1">
      <w:start w:val="1"/>
      <w:numFmt w:val="bullet"/>
      <w:lvlText w:val=""/>
      <w:lvlJc w:val="left"/>
      <w:pPr>
        <w:tabs>
          <w:tab w:val="num" w:pos="4320"/>
        </w:tabs>
        <w:ind w:left="4320" w:hanging="360"/>
      </w:pPr>
      <w:rPr>
        <w:rFonts w:ascii="Wingdings" w:hAnsi="Wingdings" w:hint="default"/>
      </w:rPr>
    </w:lvl>
    <w:lvl w:ilvl="6" w:tplc="06FE82B0" w:tentative="1">
      <w:start w:val="1"/>
      <w:numFmt w:val="bullet"/>
      <w:lvlText w:val=""/>
      <w:lvlJc w:val="left"/>
      <w:pPr>
        <w:tabs>
          <w:tab w:val="num" w:pos="5040"/>
        </w:tabs>
        <w:ind w:left="5040" w:hanging="360"/>
      </w:pPr>
      <w:rPr>
        <w:rFonts w:ascii="Wingdings" w:hAnsi="Wingdings" w:hint="default"/>
      </w:rPr>
    </w:lvl>
    <w:lvl w:ilvl="7" w:tplc="19B0E8FE" w:tentative="1">
      <w:start w:val="1"/>
      <w:numFmt w:val="bullet"/>
      <w:lvlText w:val=""/>
      <w:lvlJc w:val="left"/>
      <w:pPr>
        <w:tabs>
          <w:tab w:val="num" w:pos="5760"/>
        </w:tabs>
        <w:ind w:left="5760" w:hanging="360"/>
      </w:pPr>
      <w:rPr>
        <w:rFonts w:ascii="Wingdings" w:hAnsi="Wingdings" w:hint="default"/>
      </w:rPr>
    </w:lvl>
    <w:lvl w:ilvl="8" w:tplc="EF2067E6" w:tentative="1">
      <w:start w:val="1"/>
      <w:numFmt w:val="bullet"/>
      <w:lvlText w:val=""/>
      <w:lvlJc w:val="left"/>
      <w:pPr>
        <w:tabs>
          <w:tab w:val="num" w:pos="6480"/>
        </w:tabs>
        <w:ind w:left="6480" w:hanging="360"/>
      </w:pPr>
      <w:rPr>
        <w:rFonts w:ascii="Wingdings" w:hAnsi="Wingdings" w:hint="default"/>
      </w:rPr>
    </w:lvl>
  </w:abstractNum>
  <w:num w:numId="1" w16cid:durableId="1485513957">
    <w:abstractNumId w:val="2"/>
  </w:num>
  <w:num w:numId="2" w16cid:durableId="1309549385">
    <w:abstractNumId w:val="0"/>
  </w:num>
  <w:num w:numId="3" w16cid:durableId="875770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5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333"/>
    <w:rsid w:val="0000373E"/>
    <w:rsid w:val="00010C49"/>
    <w:rsid w:val="000141BF"/>
    <w:rsid w:val="00017C7C"/>
    <w:rsid w:val="0002096C"/>
    <w:rsid w:val="00023E99"/>
    <w:rsid w:val="00024F94"/>
    <w:rsid w:val="00025C53"/>
    <w:rsid w:val="00027412"/>
    <w:rsid w:val="000306DE"/>
    <w:rsid w:val="00030CE2"/>
    <w:rsid w:val="00044BDB"/>
    <w:rsid w:val="0005437A"/>
    <w:rsid w:val="0005535F"/>
    <w:rsid w:val="0005642A"/>
    <w:rsid w:val="00057287"/>
    <w:rsid w:val="00060112"/>
    <w:rsid w:val="00067D82"/>
    <w:rsid w:val="00070E58"/>
    <w:rsid w:val="00071B7B"/>
    <w:rsid w:val="0008247A"/>
    <w:rsid w:val="00091E9E"/>
    <w:rsid w:val="000A6FB9"/>
    <w:rsid w:val="000B09D2"/>
    <w:rsid w:val="000B1E88"/>
    <w:rsid w:val="000B39DE"/>
    <w:rsid w:val="000B69D7"/>
    <w:rsid w:val="000C3920"/>
    <w:rsid w:val="000C5A54"/>
    <w:rsid w:val="000E180C"/>
    <w:rsid w:val="000E36EC"/>
    <w:rsid w:val="000E4FB3"/>
    <w:rsid w:val="000E73E4"/>
    <w:rsid w:val="000F1CBA"/>
    <w:rsid w:val="000F58D4"/>
    <w:rsid w:val="00101F3B"/>
    <w:rsid w:val="00107F26"/>
    <w:rsid w:val="00110B17"/>
    <w:rsid w:val="001147C1"/>
    <w:rsid w:val="001416D4"/>
    <w:rsid w:val="00145941"/>
    <w:rsid w:val="00156EF6"/>
    <w:rsid w:val="0016508B"/>
    <w:rsid w:val="0017176C"/>
    <w:rsid w:val="00177F4C"/>
    <w:rsid w:val="001804F3"/>
    <w:rsid w:val="00180698"/>
    <w:rsid w:val="001807C4"/>
    <w:rsid w:val="00183C81"/>
    <w:rsid w:val="0018687D"/>
    <w:rsid w:val="00195178"/>
    <w:rsid w:val="00195279"/>
    <w:rsid w:val="001A3E59"/>
    <w:rsid w:val="001A3F3B"/>
    <w:rsid w:val="001A497F"/>
    <w:rsid w:val="001C6448"/>
    <w:rsid w:val="001D0AE5"/>
    <w:rsid w:val="001D6CFF"/>
    <w:rsid w:val="001E0EA8"/>
    <w:rsid w:val="001E2F9C"/>
    <w:rsid w:val="001E4B33"/>
    <w:rsid w:val="00213FBA"/>
    <w:rsid w:val="00214C57"/>
    <w:rsid w:val="002435B0"/>
    <w:rsid w:val="002468E6"/>
    <w:rsid w:val="00260801"/>
    <w:rsid w:val="00270ABA"/>
    <w:rsid w:val="00270B9B"/>
    <w:rsid w:val="0027428D"/>
    <w:rsid w:val="00282159"/>
    <w:rsid w:val="002832FB"/>
    <w:rsid w:val="0028447F"/>
    <w:rsid w:val="002844A0"/>
    <w:rsid w:val="002A6ED8"/>
    <w:rsid w:val="002B0331"/>
    <w:rsid w:val="002B2556"/>
    <w:rsid w:val="002B3660"/>
    <w:rsid w:val="002B584C"/>
    <w:rsid w:val="002C1940"/>
    <w:rsid w:val="002C340D"/>
    <w:rsid w:val="002C3463"/>
    <w:rsid w:val="002C73D2"/>
    <w:rsid w:val="002D6391"/>
    <w:rsid w:val="002E268D"/>
    <w:rsid w:val="002E5D0B"/>
    <w:rsid w:val="002E6F5F"/>
    <w:rsid w:val="002F54EE"/>
    <w:rsid w:val="002F68A3"/>
    <w:rsid w:val="002F6ECE"/>
    <w:rsid w:val="002F7164"/>
    <w:rsid w:val="00310EA8"/>
    <w:rsid w:val="003166DF"/>
    <w:rsid w:val="00320656"/>
    <w:rsid w:val="00323A1D"/>
    <w:rsid w:val="003300A8"/>
    <w:rsid w:val="00341FE4"/>
    <w:rsid w:val="00364D58"/>
    <w:rsid w:val="00374BE5"/>
    <w:rsid w:val="003758EF"/>
    <w:rsid w:val="0037628A"/>
    <w:rsid w:val="00390A36"/>
    <w:rsid w:val="003A2E4C"/>
    <w:rsid w:val="003A556F"/>
    <w:rsid w:val="003C014D"/>
    <w:rsid w:val="003C3A2D"/>
    <w:rsid w:val="003F59CC"/>
    <w:rsid w:val="003F75F3"/>
    <w:rsid w:val="004013D9"/>
    <w:rsid w:val="00401E95"/>
    <w:rsid w:val="00403BC6"/>
    <w:rsid w:val="00405B53"/>
    <w:rsid w:val="00406B58"/>
    <w:rsid w:val="004170BC"/>
    <w:rsid w:val="00420A44"/>
    <w:rsid w:val="00434111"/>
    <w:rsid w:val="00436001"/>
    <w:rsid w:val="00443188"/>
    <w:rsid w:val="00445707"/>
    <w:rsid w:val="0044605F"/>
    <w:rsid w:val="00447359"/>
    <w:rsid w:val="00447905"/>
    <w:rsid w:val="0046271C"/>
    <w:rsid w:val="00465AF8"/>
    <w:rsid w:val="00465E99"/>
    <w:rsid w:val="00466865"/>
    <w:rsid w:val="004775A7"/>
    <w:rsid w:val="00497F6F"/>
    <w:rsid w:val="004A1B53"/>
    <w:rsid w:val="004B20E6"/>
    <w:rsid w:val="004B3381"/>
    <w:rsid w:val="004B4830"/>
    <w:rsid w:val="004C5FF1"/>
    <w:rsid w:val="004F0B1F"/>
    <w:rsid w:val="004F4C03"/>
    <w:rsid w:val="004F71C7"/>
    <w:rsid w:val="00501853"/>
    <w:rsid w:val="00513176"/>
    <w:rsid w:val="00516695"/>
    <w:rsid w:val="005211E6"/>
    <w:rsid w:val="005262B6"/>
    <w:rsid w:val="005316FF"/>
    <w:rsid w:val="00534310"/>
    <w:rsid w:val="0053613A"/>
    <w:rsid w:val="00550A93"/>
    <w:rsid w:val="00560DFD"/>
    <w:rsid w:val="00562240"/>
    <w:rsid w:val="00571FDB"/>
    <w:rsid w:val="00581556"/>
    <w:rsid w:val="005879FE"/>
    <w:rsid w:val="00591816"/>
    <w:rsid w:val="00597F60"/>
    <w:rsid w:val="005A13D2"/>
    <w:rsid w:val="005A3C33"/>
    <w:rsid w:val="005A4E43"/>
    <w:rsid w:val="005B3011"/>
    <w:rsid w:val="005C039B"/>
    <w:rsid w:val="005C515F"/>
    <w:rsid w:val="005D15CB"/>
    <w:rsid w:val="005D2C1F"/>
    <w:rsid w:val="005D35CF"/>
    <w:rsid w:val="005E21B3"/>
    <w:rsid w:val="005E33F6"/>
    <w:rsid w:val="005E5060"/>
    <w:rsid w:val="005E70AF"/>
    <w:rsid w:val="005F363D"/>
    <w:rsid w:val="00601008"/>
    <w:rsid w:val="00602FC4"/>
    <w:rsid w:val="0060631C"/>
    <w:rsid w:val="0061518B"/>
    <w:rsid w:val="00616E25"/>
    <w:rsid w:val="006171B4"/>
    <w:rsid w:val="00620324"/>
    <w:rsid w:val="0062478E"/>
    <w:rsid w:val="006255B5"/>
    <w:rsid w:val="00631EB0"/>
    <w:rsid w:val="00635AEF"/>
    <w:rsid w:val="00641E88"/>
    <w:rsid w:val="00661720"/>
    <w:rsid w:val="00661E6D"/>
    <w:rsid w:val="00674730"/>
    <w:rsid w:val="00675805"/>
    <w:rsid w:val="0068382E"/>
    <w:rsid w:val="006912D2"/>
    <w:rsid w:val="0069563E"/>
    <w:rsid w:val="006A0721"/>
    <w:rsid w:val="006A278D"/>
    <w:rsid w:val="006A396D"/>
    <w:rsid w:val="006A4FDD"/>
    <w:rsid w:val="006B4EE6"/>
    <w:rsid w:val="006B7E6C"/>
    <w:rsid w:val="006C32D4"/>
    <w:rsid w:val="006C33D4"/>
    <w:rsid w:val="006C5342"/>
    <w:rsid w:val="006C7344"/>
    <w:rsid w:val="006D51FD"/>
    <w:rsid w:val="006D5F88"/>
    <w:rsid w:val="006E0555"/>
    <w:rsid w:val="006E58EE"/>
    <w:rsid w:val="006E6992"/>
    <w:rsid w:val="006F0B92"/>
    <w:rsid w:val="006F4F49"/>
    <w:rsid w:val="00700E1B"/>
    <w:rsid w:val="00700E87"/>
    <w:rsid w:val="00713856"/>
    <w:rsid w:val="00716E86"/>
    <w:rsid w:val="007351E8"/>
    <w:rsid w:val="007408F9"/>
    <w:rsid w:val="00747C6C"/>
    <w:rsid w:val="00753E74"/>
    <w:rsid w:val="0075734E"/>
    <w:rsid w:val="0075766D"/>
    <w:rsid w:val="00770130"/>
    <w:rsid w:val="00771C2E"/>
    <w:rsid w:val="0077624A"/>
    <w:rsid w:val="00793607"/>
    <w:rsid w:val="00794353"/>
    <w:rsid w:val="00795D4B"/>
    <w:rsid w:val="007A08B8"/>
    <w:rsid w:val="007A7CD3"/>
    <w:rsid w:val="007B2614"/>
    <w:rsid w:val="007B7616"/>
    <w:rsid w:val="007B7948"/>
    <w:rsid w:val="007C0F25"/>
    <w:rsid w:val="007C2503"/>
    <w:rsid w:val="007C26D7"/>
    <w:rsid w:val="007D251F"/>
    <w:rsid w:val="007D76E8"/>
    <w:rsid w:val="007E1111"/>
    <w:rsid w:val="008107F1"/>
    <w:rsid w:val="008122B2"/>
    <w:rsid w:val="00812DE2"/>
    <w:rsid w:val="008157B7"/>
    <w:rsid w:val="00821A60"/>
    <w:rsid w:val="00831085"/>
    <w:rsid w:val="00833059"/>
    <w:rsid w:val="00833425"/>
    <w:rsid w:val="0084158B"/>
    <w:rsid w:val="00851BCD"/>
    <w:rsid w:val="00863C8A"/>
    <w:rsid w:val="00866490"/>
    <w:rsid w:val="00872CD0"/>
    <w:rsid w:val="008738E7"/>
    <w:rsid w:val="00877628"/>
    <w:rsid w:val="00880D60"/>
    <w:rsid w:val="008921B8"/>
    <w:rsid w:val="00892EC8"/>
    <w:rsid w:val="00893E63"/>
    <w:rsid w:val="008A7245"/>
    <w:rsid w:val="008B0135"/>
    <w:rsid w:val="008B6ED1"/>
    <w:rsid w:val="008D0B89"/>
    <w:rsid w:val="008E3F6B"/>
    <w:rsid w:val="009001C2"/>
    <w:rsid w:val="009004F9"/>
    <w:rsid w:val="009017F8"/>
    <w:rsid w:val="0090191D"/>
    <w:rsid w:val="00902A9E"/>
    <w:rsid w:val="009064E0"/>
    <w:rsid w:val="00911C32"/>
    <w:rsid w:val="00912098"/>
    <w:rsid w:val="00912ABD"/>
    <w:rsid w:val="00920198"/>
    <w:rsid w:val="00921F95"/>
    <w:rsid w:val="009413BA"/>
    <w:rsid w:val="00953DA5"/>
    <w:rsid w:val="0095590F"/>
    <w:rsid w:val="00955CD7"/>
    <w:rsid w:val="00956579"/>
    <w:rsid w:val="0096165A"/>
    <w:rsid w:val="00962E37"/>
    <w:rsid w:val="00972819"/>
    <w:rsid w:val="00973066"/>
    <w:rsid w:val="0097597E"/>
    <w:rsid w:val="00977849"/>
    <w:rsid w:val="009847D7"/>
    <w:rsid w:val="00997420"/>
    <w:rsid w:val="009A060D"/>
    <w:rsid w:val="009A2D2E"/>
    <w:rsid w:val="009B3C81"/>
    <w:rsid w:val="009C567C"/>
    <w:rsid w:val="009C6060"/>
    <w:rsid w:val="009C6B91"/>
    <w:rsid w:val="009D6BE5"/>
    <w:rsid w:val="009E72BA"/>
    <w:rsid w:val="009F14D8"/>
    <w:rsid w:val="009F2002"/>
    <w:rsid w:val="009F3027"/>
    <w:rsid w:val="009F4295"/>
    <w:rsid w:val="009F4D9D"/>
    <w:rsid w:val="009F525C"/>
    <w:rsid w:val="00A07CAE"/>
    <w:rsid w:val="00A14E38"/>
    <w:rsid w:val="00A22129"/>
    <w:rsid w:val="00A3288B"/>
    <w:rsid w:val="00A330D6"/>
    <w:rsid w:val="00A4193C"/>
    <w:rsid w:val="00A444DC"/>
    <w:rsid w:val="00A45B5E"/>
    <w:rsid w:val="00A47B6D"/>
    <w:rsid w:val="00A5364C"/>
    <w:rsid w:val="00A754B5"/>
    <w:rsid w:val="00A76640"/>
    <w:rsid w:val="00A864E5"/>
    <w:rsid w:val="00A95C34"/>
    <w:rsid w:val="00AA07F6"/>
    <w:rsid w:val="00AA3040"/>
    <w:rsid w:val="00AA3745"/>
    <w:rsid w:val="00AA77BD"/>
    <w:rsid w:val="00AB1C68"/>
    <w:rsid w:val="00AB58BF"/>
    <w:rsid w:val="00AC06BD"/>
    <w:rsid w:val="00AC194C"/>
    <w:rsid w:val="00AC2704"/>
    <w:rsid w:val="00AC44ED"/>
    <w:rsid w:val="00AD1246"/>
    <w:rsid w:val="00AD180D"/>
    <w:rsid w:val="00AD2D12"/>
    <w:rsid w:val="00AD4202"/>
    <w:rsid w:val="00AF4B79"/>
    <w:rsid w:val="00B01F9F"/>
    <w:rsid w:val="00B0764E"/>
    <w:rsid w:val="00B14833"/>
    <w:rsid w:val="00B164AB"/>
    <w:rsid w:val="00B22ECD"/>
    <w:rsid w:val="00B23F80"/>
    <w:rsid w:val="00B25926"/>
    <w:rsid w:val="00B34D0F"/>
    <w:rsid w:val="00B3693F"/>
    <w:rsid w:val="00B40369"/>
    <w:rsid w:val="00B52D92"/>
    <w:rsid w:val="00B569FD"/>
    <w:rsid w:val="00B669E4"/>
    <w:rsid w:val="00B70AC9"/>
    <w:rsid w:val="00B73201"/>
    <w:rsid w:val="00B83E13"/>
    <w:rsid w:val="00BA5FD2"/>
    <w:rsid w:val="00BA740B"/>
    <w:rsid w:val="00BB31F9"/>
    <w:rsid w:val="00BC489F"/>
    <w:rsid w:val="00BD3592"/>
    <w:rsid w:val="00BD3EFF"/>
    <w:rsid w:val="00BD6461"/>
    <w:rsid w:val="00BD6E39"/>
    <w:rsid w:val="00BE1335"/>
    <w:rsid w:val="00BE7488"/>
    <w:rsid w:val="00BF3F1B"/>
    <w:rsid w:val="00BF7EEE"/>
    <w:rsid w:val="00C04D70"/>
    <w:rsid w:val="00C13825"/>
    <w:rsid w:val="00C209AD"/>
    <w:rsid w:val="00C213D4"/>
    <w:rsid w:val="00C31336"/>
    <w:rsid w:val="00C315B7"/>
    <w:rsid w:val="00C344E8"/>
    <w:rsid w:val="00C348C7"/>
    <w:rsid w:val="00C415CD"/>
    <w:rsid w:val="00C46BE8"/>
    <w:rsid w:val="00C46DE9"/>
    <w:rsid w:val="00C4791D"/>
    <w:rsid w:val="00C53831"/>
    <w:rsid w:val="00C555B0"/>
    <w:rsid w:val="00C61204"/>
    <w:rsid w:val="00C612E5"/>
    <w:rsid w:val="00C70EDB"/>
    <w:rsid w:val="00C908A6"/>
    <w:rsid w:val="00C96618"/>
    <w:rsid w:val="00CA00A1"/>
    <w:rsid w:val="00CA2199"/>
    <w:rsid w:val="00CA6645"/>
    <w:rsid w:val="00CB3D8B"/>
    <w:rsid w:val="00CB5E83"/>
    <w:rsid w:val="00CB77E9"/>
    <w:rsid w:val="00CD5AEA"/>
    <w:rsid w:val="00CD7A66"/>
    <w:rsid w:val="00CE1A14"/>
    <w:rsid w:val="00CF1045"/>
    <w:rsid w:val="00CF17C4"/>
    <w:rsid w:val="00CF343D"/>
    <w:rsid w:val="00CF39CA"/>
    <w:rsid w:val="00D205C3"/>
    <w:rsid w:val="00D26470"/>
    <w:rsid w:val="00D27F9C"/>
    <w:rsid w:val="00D303B2"/>
    <w:rsid w:val="00D3204D"/>
    <w:rsid w:val="00D41726"/>
    <w:rsid w:val="00D425FD"/>
    <w:rsid w:val="00D450CB"/>
    <w:rsid w:val="00D468BF"/>
    <w:rsid w:val="00D574E7"/>
    <w:rsid w:val="00D609A0"/>
    <w:rsid w:val="00D62E06"/>
    <w:rsid w:val="00D676BC"/>
    <w:rsid w:val="00D70503"/>
    <w:rsid w:val="00D72212"/>
    <w:rsid w:val="00D85300"/>
    <w:rsid w:val="00D86DA7"/>
    <w:rsid w:val="00D9073B"/>
    <w:rsid w:val="00D92CD7"/>
    <w:rsid w:val="00D96957"/>
    <w:rsid w:val="00DA05B4"/>
    <w:rsid w:val="00DB3502"/>
    <w:rsid w:val="00DB7070"/>
    <w:rsid w:val="00DB71D5"/>
    <w:rsid w:val="00DD6A1F"/>
    <w:rsid w:val="00DE63C9"/>
    <w:rsid w:val="00E063CB"/>
    <w:rsid w:val="00E110AD"/>
    <w:rsid w:val="00E14333"/>
    <w:rsid w:val="00E17E14"/>
    <w:rsid w:val="00E22B1E"/>
    <w:rsid w:val="00E349E0"/>
    <w:rsid w:val="00E41BBC"/>
    <w:rsid w:val="00E43570"/>
    <w:rsid w:val="00E51341"/>
    <w:rsid w:val="00E540E3"/>
    <w:rsid w:val="00E5640E"/>
    <w:rsid w:val="00E64141"/>
    <w:rsid w:val="00E66BC3"/>
    <w:rsid w:val="00E678D2"/>
    <w:rsid w:val="00E73E8A"/>
    <w:rsid w:val="00E86C82"/>
    <w:rsid w:val="00E87FD7"/>
    <w:rsid w:val="00E9275E"/>
    <w:rsid w:val="00E930B1"/>
    <w:rsid w:val="00E94D43"/>
    <w:rsid w:val="00E95D2C"/>
    <w:rsid w:val="00EA0F26"/>
    <w:rsid w:val="00EA62F6"/>
    <w:rsid w:val="00EA7C8E"/>
    <w:rsid w:val="00EB398A"/>
    <w:rsid w:val="00EB442A"/>
    <w:rsid w:val="00EB6568"/>
    <w:rsid w:val="00EC3579"/>
    <w:rsid w:val="00EC78A7"/>
    <w:rsid w:val="00EE0940"/>
    <w:rsid w:val="00F04945"/>
    <w:rsid w:val="00F055DF"/>
    <w:rsid w:val="00F16411"/>
    <w:rsid w:val="00F31D5C"/>
    <w:rsid w:val="00F36AB6"/>
    <w:rsid w:val="00F41B13"/>
    <w:rsid w:val="00F51F0F"/>
    <w:rsid w:val="00F5408E"/>
    <w:rsid w:val="00F55969"/>
    <w:rsid w:val="00F648BD"/>
    <w:rsid w:val="00F67896"/>
    <w:rsid w:val="00F74774"/>
    <w:rsid w:val="00F7616B"/>
    <w:rsid w:val="00F8260E"/>
    <w:rsid w:val="00F845AD"/>
    <w:rsid w:val="00F900E3"/>
    <w:rsid w:val="00F970EA"/>
    <w:rsid w:val="00FA1EAD"/>
    <w:rsid w:val="00FA2783"/>
    <w:rsid w:val="00FA4A4D"/>
    <w:rsid w:val="00FA5C7A"/>
    <w:rsid w:val="00FA7B57"/>
    <w:rsid w:val="00FB6C8A"/>
    <w:rsid w:val="00FC23F8"/>
    <w:rsid w:val="00FC3ADB"/>
    <w:rsid w:val="00FC7240"/>
    <w:rsid w:val="00FD00B6"/>
    <w:rsid w:val="00FD077B"/>
    <w:rsid w:val="00FE1F1C"/>
    <w:rsid w:val="00FE7200"/>
    <w:rsid w:val="00FF60ED"/>
    <w:rsid w:val="00FF78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93E3D"/>
  <w15:docId w15:val="{B102C03F-5FE2-4991-9A68-ECB4C4360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3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1433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14333"/>
  </w:style>
  <w:style w:type="paragraph" w:styleId="Footer">
    <w:name w:val="footer"/>
    <w:basedOn w:val="Normal"/>
    <w:link w:val="FooterChar"/>
    <w:uiPriority w:val="99"/>
    <w:unhideWhenUsed/>
    <w:rsid w:val="00E1433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14333"/>
  </w:style>
  <w:style w:type="paragraph" w:styleId="BalloonText">
    <w:name w:val="Balloon Text"/>
    <w:basedOn w:val="Normal"/>
    <w:link w:val="BalloonTextChar"/>
    <w:uiPriority w:val="99"/>
    <w:semiHidden/>
    <w:unhideWhenUsed/>
    <w:rsid w:val="00E1433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14333"/>
    <w:rPr>
      <w:rFonts w:ascii="Tahoma" w:hAnsi="Tahoma" w:cs="Tahoma"/>
      <w:sz w:val="16"/>
      <w:szCs w:val="16"/>
    </w:rPr>
  </w:style>
  <w:style w:type="paragraph" w:customStyle="1" w:styleId="Default">
    <w:name w:val="Default"/>
    <w:rsid w:val="00C213D4"/>
    <w:pPr>
      <w:autoSpaceDE w:val="0"/>
      <w:autoSpaceDN w:val="0"/>
      <w:adjustRightInd w:val="0"/>
      <w:spacing w:after="0" w:line="240" w:lineRule="auto"/>
    </w:pPr>
    <w:rPr>
      <w:rFonts w:ascii="Cambria" w:hAnsi="Cambria" w:cs="Cambria"/>
      <w:color w:val="000000"/>
      <w:sz w:val="24"/>
      <w:szCs w:val="24"/>
    </w:rPr>
  </w:style>
  <w:style w:type="character" w:customStyle="1" w:styleId="st">
    <w:name w:val="st"/>
    <w:basedOn w:val="DefaultParagraphFont"/>
    <w:rsid w:val="000F58D4"/>
  </w:style>
  <w:style w:type="character" w:styleId="Emphasis">
    <w:name w:val="Emphasis"/>
    <w:basedOn w:val="DefaultParagraphFont"/>
    <w:uiPriority w:val="20"/>
    <w:qFormat/>
    <w:rsid w:val="000F58D4"/>
    <w:rPr>
      <w:i/>
      <w:iCs/>
    </w:rPr>
  </w:style>
  <w:style w:type="character" w:styleId="Hyperlink">
    <w:name w:val="Hyperlink"/>
    <w:basedOn w:val="DefaultParagraphFont"/>
    <w:uiPriority w:val="99"/>
    <w:unhideWhenUsed/>
    <w:rsid w:val="00534310"/>
    <w:rPr>
      <w:color w:val="0000FF" w:themeColor="hyperlink"/>
      <w:u w:val="single"/>
    </w:rPr>
  </w:style>
  <w:style w:type="character" w:styleId="CommentReference">
    <w:name w:val="annotation reference"/>
    <w:basedOn w:val="DefaultParagraphFont"/>
    <w:uiPriority w:val="99"/>
    <w:semiHidden/>
    <w:unhideWhenUsed/>
    <w:rsid w:val="00057287"/>
    <w:rPr>
      <w:sz w:val="16"/>
      <w:szCs w:val="16"/>
    </w:rPr>
  </w:style>
  <w:style w:type="paragraph" w:styleId="CommentText">
    <w:name w:val="annotation text"/>
    <w:basedOn w:val="Normal"/>
    <w:link w:val="CommentTextChar"/>
    <w:uiPriority w:val="99"/>
    <w:unhideWhenUsed/>
    <w:rsid w:val="00057287"/>
    <w:rPr>
      <w:sz w:val="20"/>
      <w:szCs w:val="20"/>
    </w:rPr>
  </w:style>
  <w:style w:type="character" w:customStyle="1" w:styleId="CommentTextChar">
    <w:name w:val="Comment Text Char"/>
    <w:basedOn w:val="DefaultParagraphFont"/>
    <w:link w:val="CommentText"/>
    <w:uiPriority w:val="99"/>
    <w:rsid w:val="000572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7287"/>
    <w:rPr>
      <w:b/>
      <w:bCs/>
    </w:rPr>
  </w:style>
  <w:style w:type="character" w:customStyle="1" w:styleId="CommentSubjectChar">
    <w:name w:val="Comment Subject Char"/>
    <w:basedOn w:val="CommentTextChar"/>
    <w:link w:val="CommentSubject"/>
    <w:uiPriority w:val="99"/>
    <w:semiHidden/>
    <w:rsid w:val="00057287"/>
    <w:rPr>
      <w:rFonts w:ascii="Times New Roman" w:eastAsia="Times New Roman" w:hAnsi="Times New Roman" w:cs="Times New Roman"/>
      <w:b/>
      <w:bCs/>
      <w:sz w:val="20"/>
      <w:szCs w:val="20"/>
    </w:rPr>
  </w:style>
  <w:style w:type="paragraph" w:customStyle="1" w:styleId="EndNoteBibliography">
    <w:name w:val="EndNote Bibliography"/>
    <w:basedOn w:val="Normal"/>
    <w:link w:val="EndNoteBibliographyChar"/>
    <w:rsid w:val="00AC2704"/>
    <w:pPr>
      <w:spacing w:after="160"/>
    </w:pPr>
    <w:rPr>
      <w:rFonts w:ascii="Calibri" w:eastAsiaTheme="minorHAnsi" w:hAnsi="Calibri" w:cstheme="minorBidi"/>
      <w:noProof/>
      <w:sz w:val="22"/>
      <w:szCs w:val="22"/>
      <w:lang w:val="en-US"/>
    </w:rPr>
  </w:style>
  <w:style w:type="character" w:customStyle="1" w:styleId="EndNoteBibliographyChar">
    <w:name w:val="EndNote Bibliography Char"/>
    <w:basedOn w:val="DefaultParagraphFont"/>
    <w:link w:val="EndNoteBibliography"/>
    <w:rsid w:val="00AC2704"/>
    <w:rPr>
      <w:rFonts w:ascii="Calibri" w:hAnsi="Calibri"/>
      <w:noProof/>
      <w:lang w:val="en-US"/>
    </w:rPr>
  </w:style>
  <w:style w:type="paragraph" w:styleId="ListParagraph">
    <w:name w:val="List Paragraph"/>
    <w:basedOn w:val="Normal"/>
    <w:uiPriority w:val="34"/>
    <w:qFormat/>
    <w:rsid w:val="004B3381"/>
    <w:pPr>
      <w:ind w:left="720"/>
      <w:contextualSpacing/>
    </w:pPr>
  </w:style>
  <w:style w:type="paragraph" w:styleId="Revision">
    <w:name w:val="Revision"/>
    <w:hidden/>
    <w:uiPriority w:val="99"/>
    <w:semiHidden/>
    <w:rsid w:val="00023E99"/>
    <w:pPr>
      <w:spacing w:after="0" w:line="240" w:lineRule="auto"/>
    </w:pPr>
    <w:rPr>
      <w:rFonts w:ascii="Times New Roman" w:eastAsia="Times New Roman" w:hAnsi="Times New Roman" w:cs="Times New Roman"/>
      <w:sz w:val="24"/>
      <w:szCs w:val="24"/>
    </w:rPr>
  </w:style>
  <w:style w:type="table" w:customStyle="1" w:styleId="Style1">
    <w:name w:val="Style1"/>
    <w:basedOn w:val="TableNormal"/>
    <w:uiPriority w:val="99"/>
    <w:rsid w:val="00A76640"/>
    <w:pPr>
      <w:spacing w:after="0" w:line="240" w:lineRule="auto"/>
    </w:pPr>
    <w:rPr>
      <w:lang w:val="en-US"/>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649381">
      <w:bodyDiv w:val="1"/>
      <w:marLeft w:val="0"/>
      <w:marRight w:val="0"/>
      <w:marTop w:val="0"/>
      <w:marBottom w:val="0"/>
      <w:divBdr>
        <w:top w:val="none" w:sz="0" w:space="0" w:color="auto"/>
        <w:left w:val="none" w:sz="0" w:space="0" w:color="auto"/>
        <w:bottom w:val="none" w:sz="0" w:space="0" w:color="auto"/>
        <w:right w:val="none" w:sz="0" w:space="0" w:color="auto"/>
      </w:divBdr>
    </w:div>
    <w:div w:id="1499493990">
      <w:bodyDiv w:val="1"/>
      <w:marLeft w:val="0"/>
      <w:marRight w:val="0"/>
      <w:marTop w:val="0"/>
      <w:marBottom w:val="0"/>
      <w:divBdr>
        <w:top w:val="none" w:sz="0" w:space="0" w:color="auto"/>
        <w:left w:val="none" w:sz="0" w:space="0" w:color="auto"/>
        <w:bottom w:val="none" w:sz="0" w:space="0" w:color="auto"/>
        <w:right w:val="none" w:sz="0" w:space="0" w:color="auto"/>
      </w:divBdr>
    </w:div>
    <w:div w:id="1560359074">
      <w:bodyDiv w:val="1"/>
      <w:marLeft w:val="0"/>
      <w:marRight w:val="0"/>
      <w:marTop w:val="0"/>
      <w:marBottom w:val="0"/>
      <w:divBdr>
        <w:top w:val="none" w:sz="0" w:space="0" w:color="auto"/>
        <w:left w:val="none" w:sz="0" w:space="0" w:color="auto"/>
        <w:bottom w:val="none" w:sz="0" w:space="0" w:color="auto"/>
        <w:right w:val="none" w:sz="0" w:space="0" w:color="auto"/>
      </w:divBdr>
      <w:divsChild>
        <w:div w:id="1269041586">
          <w:marLeft w:val="720"/>
          <w:marRight w:val="0"/>
          <w:marTop w:val="0"/>
          <w:marBottom w:val="0"/>
          <w:divBdr>
            <w:top w:val="none" w:sz="0" w:space="0" w:color="auto"/>
            <w:left w:val="none" w:sz="0" w:space="0" w:color="auto"/>
            <w:bottom w:val="none" w:sz="0" w:space="0" w:color="auto"/>
            <w:right w:val="none" w:sz="0" w:space="0" w:color="auto"/>
          </w:divBdr>
        </w:div>
        <w:div w:id="1885948779">
          <w:marLeft w:val="720"/>
          <w:marRight w:val="0"/>
          <w:marTop w:val="0"/>
          <w:marBottom w:val="0"/>
          <w:divBdr>
            <w:top w:val="none" w:sz="0" w:space="0" w:color="auto"/>
            <w:left w:val="none" w:sz="0" w:space="0" w:color="auto"/>
            <w:bottom w:val="none" w:sz="0" w:space="0" w:color="auto"/>
            <w:right w:val="none" w:sz="0" w:space="0" w:color="auto"/>
          </w:divBdr>
        </w:div>
        <w:div w:id="1723866874">
          <w:marLeft w:val="720"/>
          <w:marRight w:val="0"/>
          <w:marTop w:val="0"/>
          <w:marBottom w:val="0"/>
          <w:divBdr>
            <w:top w:val="none" w:sz="0" w:space="0" w:color="auto"/>
            <w:left w:val="none" w:sz="0" w:space="0" w:color="auto"/>
            <w:bottom w:val="none" w:sz="0" w:space="0" w:color="auto"/>
            <w:right w:val="none" w:sz="0" w:space="0" w:color="auto"/>
          </w:divBdr>
        </w:div>
      </w:divsChild>
    </w:div>
    <w:div w:id="1983777036">
      <w:bodyDiv w:val="1"/>
      <w:marLeft w:val="0"/>
      <w:marRight w:val="0"/>
      <w:marTop w:val="0"/>
      <w:marBottom w:val="0"/>
      <w:divBdr>
        <w:top w:val="none" w:sz="0" w:space="0" w:color="auto"/>
        <w:left w:val="none" w:sz="0" w:space="0" w:color="auto"/>
        <w:bottom w:val="none" w:sz="0" w:space="0" w:color="auto"/>
        <w:right w:val="none" w:sz="0" w:space="0" w:color="auto"/>
      </w:divBdr>
      <w:divsChild>
        <w:div w:id="1667782105">
          <w:marLeft w:val="720"/>
          <w:marRight w:val="0"/>
          <w:marTop w:val="0"/>
          <w:marBottom w:val="0"/>
          <w:divBdr>
            <w:top w:val="none" w:sz="0" w:space="0" w:color="auto"/>
            <w:left w:val="none" w:sz="0" w:space="0" w:color="auto"/>
            <w:bottom w:val="none" w:sz="0" w:space="0" w:color="auto"/>
            <w:right w:val="none" w:sz="0" w:space="0" w:color="auto"/>
          </w:divBdr>
        </w:div>
        <w:div w:id="857162866">
          <w:marLeft w:val="720"/>
          <w:marRight w:val="0"/>
          <w:marTop w:val="0"/>
          <w:marBottom w:val="0"/>
          <w:divBdr>
            <w:top w:val="none" w:sz="0" w:space="0" w:color="auto"/>
            <w:left w:val="none" w:sz="0" w:space="0" w:color="auto"/>
            <w:bottom w:val="none" w:sz="0" w:space="0" w:color="auto"/>
            <w:right w:val="none" w:sz="0" w:space="0" w:color="auto"/>
          </w:divBdr>
        </w:div>
        <w:div w:id="1961718964">
          <w:marLeft w:val="720"/>
          <w:marRight w:val="0"/>
          <w:marTop w:val="0"/>
          <w:marBottom w:val="0"/>
          <w:divBdr>
            <w:top w:val="none" w:sz="0" w:space="0" w:color="auto"/>
            <w:left w:val="none" w:sz="0" w:space="0" w:color="auto"/>
            <w:bottom w:val="none" w:sz="0" w:space="0" w:color="auto"/>
            <w:right w:val="none" w:sz="0" w:space="0" w:color="auto"/>
          </w:divBdr>
        </w:div>
        <w:div w:id="1300038025">
          <w:marLeft w:val="720"/>
          <w:marRight w:val="0"/>
          <w:marTop w:val="0"/>
          <w:marBottom w:val="0"/>
          <w:divBdr>
            <w:top w:val="none" w:sz="0" w:space="0" w:color="auto"/>
            <w:left w:val="none" w:sz="0" w:space="0" w:color="auto"/>
            <w:bottom w:val="none" w:sz="0" w:space="0" w:color="auto"/>
            <w:right w:val="none" w:sz="0" w:space="0" w:color="auto"/>
          </w:divBdr>
        </w:div>
        <w:div w:id="1867283826">
          <w:marLeft w:val="720"/>
          <w:marRight w:val="0"/>
          <w:marTop w:val="0"/>
          <w:marBottom w:val="0"/>
          <w:divBdr>
            <w:top w:val="none" w:sz="0" w:space="0" w:color="auto"/>
            <w:left w:val="none" w:sz="0" w:space="0" w:color="auto"/>
            <w:bottom w:val="none" w:sz="0" w:space="0" w:color="auto"/>
            <w:right w:val="none" w:sz="0" w:space="0" w:color="auto"/>
          </w:divBdr>
        </w:div>
        <w:div w:id="745687829">
          <w:marLeft w:val="720"/>
          <w:marRight w:val="0"/>
          <w:marTop w:val="0"/>
          <w:marBottom w:val="0"/>
          <w:divBdr>
            <w:top w:val="none" w:sz="0" w:space="0" w:color="auto"/>
            <w:left w:val="none" w:sz="0" w:space="0" w:color="auto"/>
            <w:bottom w:val="none" w:sz="0" w:space="0" w:color="auto"/>
            <w:right w:val="none" w:sz="0" w:space="0" w:color="auto"/>
          </w:divBdr>
        </w:div>
      </w:divsChild>
    </w:div>
    <w:div w:id="209219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4698A-0579-42B7-8BD6-497F2C43F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872</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SRUC</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BSAS</dc:creator>
  <cp:lastModifiedBy>Ghafouri, Farzad</cp:lastModifiedBy>
  <cp:revision>14</cp:revision>
  <dcterms:created xsi:type="dcterms:W3CDTF">2024-11-24T00:48:00Z</dcterms:created>
  <dcterms:modified xsi:type="dcterms:W3CDTF">2025-01-13T12:15:00Z</dcterms:modified>
</cp:coreProperties>
</file>