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865B" w14:textId="19AA3619" w:rsidR="00F57765" w:rsidRDefault="204D2C8A" w:rsidP="001030EF">
      <w:pPr>
        <w:pStyle w:val="Title"/>
        <w:jc w:val="center"/>
      </w:pPr>
      <w:r>
        <w:t xml:space="preserve">Associations between data derived KPI’s and gross margin in Welsh and English </w:t>
      </w:r>
      <w:r w:rsidR="00A54327">
        <w:t xml:space="preserve">beef </w:t>
      </w:r>
      <w:r>
        <w:t>suckler herds</w:t>
      </w:r>
    </w:p>
    <w:p w14:paraId="703A2592" w14:textId="6E621DCB" w:rsidR="00045B38" w:rsidRDefault="00045B38" w:rsidP="00CE2DD5">
      <w:pPr>
        <w:pStyle w:val="Heading1"/>
      </w:pPr>
      <w:r w:rsidRPr="00045B38">
        <w:t xml:space="preserve">Application </w:t>
      </w:r>
    </w:p>
    <w:p w14:paraId="726D8D82" w14:textId="1B62FCD0" w:rsidR="00406158" w:rsidRDefault="59E9267A" w:rsidP="005E6889">
      <w:r>
        <w:t>K</w:t>
      </w:r>
      <w:r w:rsidR="005672E8">
        <w:t xml:space="preserve">ey performance </w:t>
      </w:r>
      <w:r w:rsidR="00915119">
        <w:t>indicators</w:t>
      </w:r>
      <w:r w:rsidR="008E568A">
        <w:t xml:space="preserve"> of</w:t>
      </w:r>
      <w:r w:rsidR="005672E8">
        <w:t xml:space="preserve"> beef suckler</w:t>
      </w:r>
      <w:r w:rsidR="008E568A">
        <w:t xml:space="preserve"> </w:t>
      </w:r>
      <w:r w:rsidR="5B84F6DB">
        <w:t>production can be used to predict the gr</w:t>
      </w:r>
      <w:r w:rsidR="2F337484">
        <w:t xml:space="preserve">oss margin of </w:t>
      </w:r>
      <w:r w:rsidR="00915119">
        <w:t xml:space="preserve">both lowland and less favoured area suckler </w:t>
      </w:r>
      <w:r w:rsidR="00905C06">
        <w:t xml:space="preserve">herds </w:t>
      </w:r>
      <w:r w:rsidR="00F46A32">
        <w:t>in Wales and England</w:t>
      </w:r>
      <w:r w:rsidR="00915119">
        <w:t xml:space="preserve">. </w:t>
      </w:r>
    </w:p>
    <w:p w14:paraId="575D4247" w14:textId="21D13CBD" w:rsidR="005E6889" w:rsidRDefault="001030EF" w:rsidP="00CE2DD5">
      <w:pPr>
        <w:pStyle w:val="Heading1"/>
      </w:pPr>
      <w:r>
        <w:t xml:space="preserve">Introduction </w:t>
      </w:r>
    </w:p>
    <w:p w14:paraId="5B7CAF87" w14:textId="3BBCDC53" w:rsidR="00406158" w:rsidRPr="00406158" w:rsidRDefault="00406158" w:rsidP="00CE2DD5">
      <w:pPr>
        <w:pStyle w:val="Heading1"/>
      </w:pPr>
      <w:r w:rsidRPr="00406158">
        <w:rPr>
          <w:rFonts w:asciiTheme="minorHAnsi" w:eastAsiaTheme="minorHAnsi" w:hAnsiTheme="minorHAnsi" w:cstheme="minorBidi"/>
          <w:color w:val="auto"/>
          <w:sz w:val="22"/>
          <w:szCs w:val="22"/>
        </w:rPr>
        <w:t xml:space="preserve">Key performance indicators (KPI’s) within livestock production systems can be used to inform both production and financial efficiency and aid on-farm decision making (Jones et al., 2021). This is done by collecting data on farm, calculating the KPI, and benchmarking to determine year on year performance or compare with industry recommendations. A recent report by Huang et al., (2022) highlighted that nearly half of the farms in their study were underperforming when they conducted a KPI review with farms scoring highly on KPI’s tending to score highly on business resilience. While farming systems can be very diverse, gross margin offers the ability to measure the gross income less the variable costs on an enterprise basis. Therefore, the aim of the present study was to analyse data from the Farm Business Survey (FBS) and determine the relationship between calculated KPI’s and gross margin per head of suckler cows in two different farming system types, lowland and LFA.  </w:t>
      </w:r>
    </w:p>
    <w:p w14:paraId="22F13C26" w14:textId="392BAC45" w:rsidR="00045B38" w:rsidRDefault="00045B38" w:rsidP="00CE2DD5">
      <w:pPr>
        <w:pStyle w:val="Heading1"/>
      </w:pPr>
      <w:r w:rsidRPr="00045B38">
        <w:t xml:space="preserve">Materials and Methods </w:t>
      </w:r>
    </w:p>
    <w:p w14:paraId="2BF681C8" w14:textId="7AFF04A1" w:rsidR="00190197" w:rsidRPr="00190197" w:rsidRDefault="00190197" w:rsidP="00190197">
      <w:pPr>
        <w:pStyle w:val="Heading1"/>
        <w:rPr>
          <w:rFonts w:asciiTheme="minorHAnsi" w:eastAsiaTheme="minorHAnsi" w:hAnsiTheme="minorHAnsi" w:cstheme="minorBidi"/>
          <w:color w:val="auto"/>
          <w:sz w:val="22"/>
          <w:szCs w:val="22"/>
        </w:rPr>
      </w:pPr>
      <w:r w:rsidRPr="00190197">
        <w:rPr>
          <w:rFonts w:asciiTheme="minorHAnsi" w:eastAsiaTheme="minorHAnsi" w:hAnsiTheme="minorHAnsi" w:cstheme="minorBidi"/>
          <w:color w:val="auto"/>
          <w:sz w:val="22"/>
          <w:szCs w:val="22"/>
        </w:rPr>
        <w:t xml:space="preserve">Data was extracted from FBS which is the annual stratified survey of farms ran by Aberystwyth University in Wales and the Department for Environment, Food and Rural Affairs in England. After searching the literature for key performance indicators used to describe suckler cow performance, data was extracted for the year 2021-2022 using MATLAB from survey results and ten key performance indicators were calculated as described below. A total of 130 lowland and 315 LFA suckler farms were used for the data analysis. The FBS defines LFA or </w:t>
      </w:r>
      <w:r w:rsidR="00EE6D75">
        <w:rPr>
          <w:rFonts w:asciiTheme="minorHAnsi" w:eastAsiaTheme="minorHAnsi" w:hAnsiTheme="minorHAnsi" w:cstheme="minorBidi"/>
          <w:color w:val="auto"/>
          <w:sz w:val="22"/>
          <w:szCs w:val="22"/>
        </w:rPr>
        <w:t>L</w:t>
      </w:r>
      <w:r w:rsidRPr="00190197">
        <w:rPr>
          <w:rFonts w:asciiTheme="minorHAnsi" w:eastAsiaTheme="minorHAnsi" w:hAnsiTheme="minorHAnsi" w:cstheme="minorBidi"/>
          <w:color w:val="auto"/>
          <w:sz w:val="22"/>
          <w:szCs w:val="22"/>
        </w:rPr>
        <w:t xml:space="preserve">owland as holdings where grazing livestock account for two thirds of their total standard output.  </w:t>
      </w:r>
    </w:p>
    <w:p w14:paraId="250DCDCF" w14:textId="77777777" w:rsidR="00190197" w:rsidRDefault="00190197" w:rsidP="00190197">
      <w:pPr>
        <w:pStyle w:val="Heading1"/>
        <w:rPr>
          <w:rFonts w:asciiTheme="minorHAnsi" w:eastAsiaTheme="minorHAnsi" w:hAnsiTheme="minorHAnsi" w:cstheme="minorBidi"/>
          <w:color w:val="auto"/>
          <w:sz w:val="22"/>
          <w:szCs w:val="22"/>
        </w:rPr>
      </w:pPr>
      <w:r w:rsidRPr="00190197">
        <w:rPr>
          <w:rFonts w:asciiTheme="minorHAnsi" w:eastAsiaTheme="minorHAnsi" w:hAnsiTheme="minorHAnsi" w:cstheme="minorBidi"/>
          <w:color w:val="auto"/>
          <w:sz w:val="22"/>
          <w:szCs w:val="22"/>
        </w:rPr>
        <w:t xml:space="preserve">Data quality was checked using histograms and </w:t>
      </w:r>
      <w:proofErr w:type="spellStart"/>
      <w:r w:rsidRPr="00190197">
        <w:rPr>
          <w:rFonts w:asciiTheme="minorHAnsi" w:eastAsiaTheme="minorHAnsi" w:hAnsiTheme="minorHAnsi" w:cstheme="minorBidi"/>
          <w:color w:val="auto"/>
          <w:sz w:val="22"/>
          <w:szCs w:val="22"/>
        </w:rPr>
        <w:t>qq</w:t>
      </w:r>
      <w:proofErr w:type="spellEnd"/>
      <w:r w:rsidRPr="00190197">
        <w:rPr>
          <w:rFonts w:asciiTheme="minorHAnsi" w:eastAsiaTheme="minorHAnsi" w:hAnsiTheme="minorHAnsi" w:cstheme="minorBidi"/>
          <w:color w:val="auto"/>
          <w:sz w:val="22"/>
          <w:szCs w:val="22"/>
        </w:rPr>
        <w:t xml:space="preserve"> plots. Farms with multiple key performance indicators missing were removed and data was also tested for normal distribution. Statistical analysis was conducted using RStudio and forward and backward stepwise linear regression was conducted. Possible predictors of the gross margin out of the following independent variables on a per cow basis; Vet &amp; Med (£), Variable Cost (£), Concentrates (£), Gross </w:t>
      </w:r>
      <w:proofErr w:type="gramStart"/>
      <w:r w:rsidRPr="00190197">
        <w:rPr>
          <w:rFonts w:asciiTheme="minorHAnsi" w:eastAsiaTheme="minorHAnsi" w:hAnsiTheme="minorHAnsi" w:cstheme="minorBidi"/>
          <w:color w:val="auto"/>
          <w:sz w:val="22"/>
          <w:szCs w:val="22"/>
        </w:rPr>
        <w:t>Margin(</w:t>
      </w:r>
      <w:proofErr w:type="gramEnd"/>
      <w:r w:rsidRPr="00190197">
        <w:rPr>
          <w:rFonts w:asciiTheme="minorHAnsi" w:eastAsiaTheme="minorHAnsi" w:hAnsiTheme="minorHAnsi" w:cstheme="minorBidi"/>
          <w:color w:val="auto"/>
          <w:sz w:val="22"/>
          <w:szCs w:val="22"/>
        </w:rPr>
        <w:t xml:space="preserve">£), Forage Area (ha), Calf Mortality (%), Grazing units, Cow to Bull Ratio, Total calves, Cow Mortality (%), Replacement Rate (%).  </w:t>
      </w:r>
    </w:p>
    <w:p w14:paraId="7AA04FFF" w14:textId="14E4B559" w:rsidR="00045B38" w:rsidRDefault="00045B38" w:rsidP="00190197">
      <w:pPr>
        <w:pStyle w:val="Heading1"/>
      </w:pPr>
      <w:r w:rsidRPr="00045B38">
        <w:t xml:space="preserve">Results </w:t>
      </w:r>
    </w:p>
    <w:p w14:paraId="5AC6FF8A" w14:textId="3D1E91C4" w:rsidR="00A045D5" w:rsidRPr="00F50D20" w:rsidRDefault="00B5736C" w:rsidP="00F50D20">
      <w:r>
        <w:t xml:space="preserve">Average gross margin per head </w:t>
      </w:r>
      <w:r w:rsidR="000A113D">
        <w:t xml:space="preserve">for </w:t>
      </w:r>
      <w:r w:rsidR="00EE6D75">
        <w:t>L</w:t>
      </w:r>
      <w:r w:rsidR="000A113D">
        <w:t>owland sucklers was £256</w:t>
      </w:r>
      <w:r w:rsidR="00BC54B2">
        <w:t xml:space="preserve">.20 and £284.98 for LFA suckler systems. </w:t>
      </w:r>
      <w:r w:rsidR="00190197" w:rsidRPr="00190197">
        <w:t xml:space="preserve">Key performance indicators significantly associated with gross margin per head of suckler </w:t>
      </w:r>
      <w:r w:rsidR="00190197" w:rsidRPr="00190197">
        <w:lastRenderedPageBreak/>
        <w:t xml:space="preserve">cows were cow mortality, variable costs, </w:t>
      </w:r>
      <w:proofErr w:type="gramStart"/>
      <w:r w:rsidR="00190197" w:rsidRPr="00190197">
        <w:t>vet</w:t>
      </w:r>
      <w:proofErr w:type="gramEnd"/>
      <w:r w:rsidR="00190197" w:rsidRPr="00190197">
        <w:t xml:space="preserve"> and med, concentrates and forage area with R2 = 0.4183 and 0.6125 for LFA and </w:t>
      </w:r>
      <w:r w:rsidR="00EE6D75">
        <w:t>L</w:t>
      </w:r>
      <w:r w:rsidR="00190197" w:rsidRPr="00190197">
        <w:t>owland farms</w:t>
      </w:r>
      <w:r>
        <w:t>,</w:t>
      </w:r>
      <w:r w:rsidR="00190197" w:rsidRPr="00190197">
        <w:t xml:space="preserve"> respectively. </w:t>
      </w:r>
    </w:p>
    <w:tbl>
      <w:tblPr>
        <w:tblStyle w:val="TableGrid"/>
        <w:tblW w:w="0" w:type="auto"/>
        <w:tblLook w:val="04A0" w:firstRow="1" w:lastRow="0" w:firstColumn="1" w:lastColumn="0" w:noHBand="0" w:noVBand="1"/>
      </w:tblPr>
      <w:tblGrid>
        <w:gridCol w:w="2263"/>
        <w:gridCol w:w="1447"/>
        <w:gridCol w:w="1701"/>
        <w:gridCol w:w="1904"/>
        <w:gridCol w:w="1701"/>
      </w:tblGrid>
      <w:tr w:rsidR="007907C6" w14:paraId="572DB512" w14:textId="77777777" w:rsidTr="3C809D91">
        <w:tc>
          <w:tcPr>
            <w:tcW w:w="2263" w:type="dxa"/>
            <w:tcBorders>
              <w:top w:val="single" w:sz="4" w:space="0" w:color="auto"/>
              <w:left w:val="nil"/>
              <w:bottom w:val="nil"/>
              <w:right w:val="nil"/>
            </w:tcBorders>
          </w:tcPr>
          <w:p w14:paraId="799EE6D8" w14:textId="3A2C2A5A" w:rsidR="007907C6" w:rsidRDefault="007907C6" w:rsidP="00A83BFB">
            <w:pPr>
              <w:jc w:val="center"/>
            </w:pPr>
          </w:p>
        </w:tc>
        <w:tc>
          <w:tcPr>
            <w:tcW w:w="6753" w:type="dxa"/>
            <w:gridSpan w:val="4"/>
            <w:tcBorders>
              <w:top w:val="single" w:sz="4" w:space="0" w:color="auto"/>
              <w:left w:val="nil"/>
              <w:bottom w:val="single" w:sz="4" w:space="0" w:color="auto"/>
              <w:right w:val="nil"/>
            </w:tcBorders>
          </w:tcPr>
          <w:p w14:paraId="357B530C" w14:textId="6CFCFD40" w:rsidR="007907C6" w:rsidRDefault="00A80C95" w:rsidP="00A83BFB">
            <w:pPr>
              <w:jc w:val="center"/>
            </w:pPr>
            <w:r>
              <w:t>Changes in mean gross margin</w:t>
            </w:r>
            <w:r w:rsidR="00032095">
              <w:t xml:space="preserve"> (£)</w:t>
            </w:r>
            <w:r>
              <w:t xml:space="preserve"> </w:t>
            </w:r>
            <w:r w:rsidR="00456C82">
              <w:t xml:space="preserve">given </w:t>
            </w:r>
            <w:r w:rsidR="00D83243">
              <w:t>one</w:t>
            </w:r>
            <w:r w:rsidR="00456C82">
              <w:t xml:space="preserve"> unit change in </w:t>
            </w:r>
            <w:r w:rsidR="00D83243">
              <w:t xml:space="preserve">KPI </w:t>
            </w:r>
          </w:p>
        </w:tc>
      </w:tr>
      <w:tr w:rsidR="007907C6" w14:paraId="1083F917" w14:textId="77777777" w:rsidTr="3C809D91">
        <w:tc>
          <w:tcPr>
            <w:tcW w:w="2263" w:type="dxa"/>
            <w:tcBorders>
              <w:top w:val="nil"/>
              <w:left w:val="nil"/>
              <w:bottom w:val="single" w:sz="4" w:space="0" w:color="auto"/>
              <w:right w:val="nil"/>
            </w:tcBorders>
          </w:tcPr>
          <w:p w14:paraId="0F8858D8" w14:textId="69D585F1" w:rsidR="007907C6" w:rsidRDefault="007E61B1" w:rsidP="00A83BFB">
            <w:pPr>
              <w:jc w:val="center"/>
            </w:pPr>
            <w:r>
              <w:t>KPI</w:t>
            </w:r>
          </w:p>
        </w:tc>
        <w:tc>
          <w:tcPr>
            <w:tcW w:w="1447" w:type="dxa"/>
            <w:tcBorders>
              <w:top w:val="single" w:sz="4" w:space="0" w:color="auto"/>
              <w:left w:val="nil"/>
              <w:bottom w:val="single" w:sz="4" w:space="0" w:color="auto"/>
              <w:right w:val="nil"/>
            </w:tcBorders>
          </w:tcPr>
          <w:p w14:paraId="7CC5201F" w14:textId="5A07FE77" w:rsidR="007907C6" w:rsidRDefault="007907C6" w:rsidP="00A83BFB">
            <w:pPr>
              <w:jc w:val="center"/>
            </w:pPr>
            <w:r>
              <w:t>LFA</w:t>
            </w:r>
          </w:p>
        </w:tc>
        <w:tc>
          <w:tcPr>
            <w:tcW w:w="1701" w:type="dxa"/>
            <w:tcBorders>
              <w:top w:val="single" w:sz="4" w:space="0" w:color="auto"/>
              <w:left w:val="nil"/>
              <w:bottom w:val="single" w:sz="4" w:space="0" w:color="auto"/>
              <w:right w:val="nil"/>
            </w:tcBorders>
          </w:tcPr>
          <w:p w14:paraId="72E50551" w14:textId="2D321090" w:rsidR="007907C6" w:rsidRDefault="007907C6" w:rsidP="00A83BFB">
            <w:pPr>
              <w:jc w:val="center"/>
            </w:pPr>
          </w:p>
        </w:tc>
        <w:tc>
          <w:tcPr>
            <w:tcW w:w="1904" w:type="dxa"/>
            <w:tcBorders>
              <w:top w:val="single" w:sz="4" w:space="0" w:color="auto"/>
              <w:left w:val="nil"/>
              <w:bottom w:val="single" w:sz="4" w:space="0" w:color="auto"/>
              <w:right w:val="nil"/>
            </w:tcBorders>
          </w:tcPr>
          <w:p w14:paraId="316E344F" w14:textId="1FC71980" w:rsidR="007907C6" w:rsidRDefault="007907C6" w:rsidP="00A83BFB">
            <w:pPr>
              <w:jc w:val="center"/>
            </w:pPr>
            <w:r>
              <w:t>Lowland</w:t>
            </w:r>
          </w:p>
        </w:tc>
        <w:tc>
          <w:tcPr>
            <w:tcW w:w="1701" w:type="dxa"/>
            <w:tcBorders>
              <w:top w:val="single" w:sz="4" w:space="0" w:color="auto"/>
              <w:left w:val="nil"/>
              <w:bottom w:val="single" w:sz="4" w:space="0" w:color="auto"/>
              <w:right w:val="nil"/>
            </w:tcBorders>
          </w:tcPr>
          <w:p w14:paraId="6BD975AA" w14:textId="208C0423" w:rsidR="007907C6" w:rsidRDefault="007907C6" w:rsidP="00A83BFB">
            <w:pPr>
              <w:jc w:val="center"/>
            </w:pPr>
          </w:p>
        </w:tc>
      </w:tr>
      <w:tr w:rsidR="007907C6" w14:paraId="185118D4" w14:textId="77777777" w:rsidTr="3C809D91">
        <w:tc>
          <w:tcPr>
            <w:tcW w:w="2263" w:type="dxa"/>
            <w:tcBorders>
              <w:top w:val="single" w:sz="4" w:space="0" w:color="auto"/>
              <w:left w:val="nil"/>
              <w:bottom w:val="nil"/>
              <w:right w:val="nil"/>
            </w:tcBorders>
          </w:tcPr>
          <w:p w14:paraId="01C5D9C7" w14:textId="6214F428" w:rsidR="002D6274" w:rsidRPr="002D6274" w:rsidRDefault="002D6274" w:rsidP="00A83BFB">
            <w:pPr>
              <w:jc w:val="center"/>
            </w:pPr>
            <w:r w:rsidRPr="002D6274">
              <w:t>Variable</w:t>
            </w:r>
            <w:r w:rsidR="00A40D69">
              <w:t xml:space="preserve"> </w:t>
            </w:r>
            <w:r w:rsidRPr="002D6274">
              <w:t>Costs</w:t>
            </w:r>
            <w:r w:rsidR="00A40D69">
              <w:t xml:space="preserve"> </w:t>
            </w:r>
            <w:r w:rsidRPr="002D6274">
              <w:t>per</w:t>
            </w:r>
            <w:r w:rsidR="00A40D69">
              <w:t xml:space="preserve"> c</w:t>
            </w:r>
            <w:r w:rsidRPr="002D6274">
              <w:t>ow</w:t>
            </w:r>
            <w:r w:rsidR="472B0753">
              <w:t>, (£)</w:t>
            </w:r>
          </w:p>
          <w:p w14:paraId="31F7A46C" w14:textId="77777777" w:rsidR="007907C6" w:rsidRDefault="007907C6" w:rsidP="00A83BFB">
            <w:pPr>
              <w:jc w:val="center"/>
            </w:pPr>
          </w:p>
        </w:tc>
        <w:tc>
          <w:tcPr>
            <w:tcW w:w="1447" w:type="dxa"/>
            <w:tcBorders>
              <w:top w:val="single" w:sz="4" w:space="0" w:color="auto"/>
              <w:left w:val="nil"/>
              <w:bottom w:val="nil"/>
              <w:right w:val="nil"/>
            </w:tcBorders>
          </w:tcPr>
          <w:p w14:paraId="046B9E80" w14:textId="4CDCF97C" w:rsidR="007907C6" w:rsidRDefault="00043921" w:rsidP="00A83BFB">
            <w:pPr>
              <w:jc w:val="center"/>
            </w:pPr>
            <w:r w:rsidRPr="00043921">
              <w:t>-0.6160</w:t>
            </w:r>
          </w:p>
        </w:tc>
        <w:tc>
          <w:tcPr>
            <w:tcW w:w="1701" w:type="dxa"/>
            <w:tcBorders>
              <w:top w:val="single" w:sz="4" w:space="0" w:color="auto"/>
              <w:left w:val="nil"/>
              <w:bottom w:val="nil"/>
              <w:right w:val="nil"/>
            </w:tcBorders>
          </w:tcPr>
          <w:p w14:paraId="4BB717B4" w14:textId="3F417729" w:rsidR="007907C6" w:rsidRDefault="00E550BA" w:rsidP="00A83BFB">
            <w:pPr>
              <w:jc w:val="center"/>
            </w:pPr>
            <w:r>
              <w:t>***</w:t>
            </w:r>
          </w:p>
        </w:tc>
        <w:tc>
          <w:tcPr>
            <w:tcW w:w="1904" w:type="dxa"/>
            <w:tcBorders>
              <w:top w:val="single" w:sz="4" w:space="0" w:color="auto"/>
              <w:left w:val="nil"/>
              <w:bottom w:val="nil"/>
              <w:right w:val="nil"/>
            </w:tcBorders>
          </w:tcPr>
          <w:p w14:paraId="2FAC511E" w14:textId="545BFB1D" w:rsidR="007907C6" w:rsidRDefault="00E25B1B" w:rsidP="00A83BFB">
            <w:pPr>
              <w:jc w:val="center"/>
            </w:pPr>
            <w:r w:rsidRPr="00E25B1B">
              <w:t>-0.51442</w:t>
            </w:r>
          </w:p>
        </w:tc>
        <w:tc>
          <w:tcPr>
            <w:tcW w:w="1701" w:type="dxa"/>
            <w:tcBorders>
              <w:top w:val="single" w:sz="4" w:space="0" w:color="auto"/>
              <w:left w:val="nil"/>
              <w:bottom w:val="nil"/>
              <w:right w:val="nil"/>
            </w:tcBorders>
          </w:tcPr>
          <w:p w14:paraId="00B0C3B8" w14:textId="6064AB17" w:rsidR="007907C6" w:rsidRDefault="003C0485" w:rsidP="00A83BFB">
            <w:pPr>
              <w:jc w:val="center"/>
            </w:pPr>
            <w:r>
              <w:t>***</w:t>
            </w:r>
          </w:p>
        </w:tc>
      </w:tr>
      <w:tr w:rsidR="007907C6" w14:paraId="196F3971" w14:textId="77777777" w:rsidTr="3C809D91">
        <w:tc>
          <w:tcPr>
            <w:tcW w:w="2263" w:type="dxa"/>
            <w:tcBorders>
              <w:top w:val="nil"/>
              <w:left w:val="nil"/>
              <w:bottom w:val="nil"/>
              <w:right w:val="nil"/>
            </w:tcBorders>
          </w:tcPr>
          <w:p w14:paraId="09D70971" w14:textId="49476790" w:rsidR="002D6274" w:rsidRPr="002D6274" w:rsidRDefault="002D6274" w:rsidP="00A83BFB">
            <w:pPr>
              <w:jc w:val="center"/>
            </w:pPr>
            <w:r w:rsidRPr="002D6274">
              <w:t>Cow</w:t>
            </w:r>
            <w:r w:rsidR="00A40D69">
              <w:t xml:space="preserve"> </w:t>
            </w:r>
            <w:r w:rsidRPr="002D6274">
              <w:t>Mortality</w:t>
            </w:r>
            <w:r w:rsidR="00A40D69">
              <w:t>, %</w:t>
            </w:r>
          </w:p>
          <w:p w14:paraId="7A322C38" w14:textId="77777777" w:rsidR="007907C6" w:rsidRDefault="007907C6" w:rsidP="00A83BFB">
            <w:pPr>
              <w:jc w:val="center"/>
            </w:pPr>
          </w:p>
        </w:tc>
        <w:tc>
          <w:tcPr>
            <w:tcW w:w="1447" w:type="dxa"/>
            <w:tcBorders>
              <w:top w:val="nil"/>
              <w:left w:val="nil"/>
              <w:bottom w:val="nil"/>
              <w:right w:val="nil"/>
            </w:tcBorders>
          </w:tcPr>
          <w:p w14:paraId="71D75651" w14:textId="67BD650B" w:rsidR="007907C6" w:rsidRDefault="000A1CB5" w:rsidP="00A83BFB">
            <w:pPr>
              <w:jc w:val="center"/>
            </w:pPr>
            <w:r w:rsidRPr="000A1CB5">
              <w:t>-12.1437</w:t>
            </w:r>
          </w:p>
        </w:tc>
        <w:tc>
          <w:tcPr>
            <w:tcW w:w="1701" w:type="dxa"/>
            <w:tcBorders>
              <w:top w:val="nil"/>
              <w:left w:val="nil"/>
              <w:bottom w:val="nil"/>
              <w:right w:val="nil"/>
            </w:tcBorders>
          </w:tcPr>
          <w:p w14:paraId="43D3CBC4" w14:textId="097524F3" w:rsidR="007907C6" w:rsidRDefault="00E550BA" w:rsidP="00A83BFB">
            <w:pPr>
              <w:jc w:val="center"/>
            </w:pPr>
            <w:r>
              <w:t>**</w:t>
            </w:r>
          </w:p>
        </w:tc>
        <w:tc>
          <w:tcPr>
            <w:tcW w:w="1904" w:type="dxa"/>
            <w:tcBorders>
              <w:top w:val="nil"/>
              <w:left w:val="nil"/>
              <w:bottom w:val="nil"/>
              <w:right w:val="nil"/>
            </w:tcBorders>
          </w:tcPr>
          <w:p w14:paraId="6D174E4B" w14:textId="67DA4B35" w:rsidR="007907C6" w:rsidRDefault="00E51FA3" w:rsidP="00A83BFB">
            <w:pPr>
              <w:jc w:val="center"/>
            </w:pPr>
            <w:r w:rsidRPr="00E51FA3">
              <w:t>-15.45502</w:t>
            </w:r>
          </w:p>
        </w:tc>
        <w:tc>
          <w:tcPr>
            <w:tcW w:w="1701" w:type="dxa"/>
            <w:tcBorders>
              <w:top w:val="nil"/>
              <w:left w:val="nil"/>
              <w:bottom w:val="nil"/>
              <w:right w:val="nil"/>
            </w:tcBorders>
          </w:tcPr>
          <w:p w14:paraId="3223909A" w14:textId="50FF0210" w:rsidR="007907C6" w:rsidRDefault="003C0485" w:rsidP="00A83BFB">
            <w:pPr>
              <w:jc w:val="center"/>
            </w:pPr>
            <w:r>
              <w:t>***</w:t>
            </w:r>
          </w:p>
        </w:tc>
      </w:tr>
      <w:tr w:rsidR="007907C6" w14:paraId="3B305B41" w14:textId="77777777" w:rsidTr="3C809D91">
        <w:tc>
          <w:tcPr>
            <w:tcW w:w="2263" w:type="dxa"/>
            <w:tcBorders>
              <w:top w:val="nil"/>
              <w:left w:val="nil"/>
              <w:bottom w:val="none" w:sz="4" w:space="0" w:color="000000" w:themeColor="text1"/>
              <w:right w:val="nil"/>
            </w:tcBorders>
          </w:tcPr>
          <w:p w14:paraId="553589B4" w14:textId="4679A912" w:rsidR="002D6274" w:rsidRPr="002D6274" w:rsidRDefault="002D6274" w:rsidP="00A83BFB">
            <w:pPr>
              <w:jc w:val="center"/>
            </w:pPr>
            <w:r w:rsidRPr="002D6274">
              <w:t>Replacement</w:t>
            </w:r>
            <w:r w:rsidR="00A40D69">
              <w:t xml:space="preserve"> </w:t>
            </w:r>
            <w:r w:rsidRPr="002D6274">
              <w:t>Rat</w:t>
            </w:r>
            <w:r w:rsidR="00A40D69">
              <w:t>e, %</w:t>
            </w:r>
          </w:p>
          <w:p w14:paraId="5AFB6131" w14:textId="77777777" w:rsidR="007907C6" w:rsidRDefault="007907C6" w:rsidP="00A83BFB">
            <w:pPr>
              <w:jc w:val="center"/>
            </w:pPr>
          </w:p>
        </w:tc>
        <w:tc>
          <w:tcPr>
            <w:tcW w:w="1447" w:type="dxa"/>
            <w:tcBorders>
              <w:top w:val="nil"/>
              <w:left w:val="nil"/>
              <w:bottom w:val="none" w:sz="4" w:space="0" w:color="000000" w:themeColor="text1"/>
              <w:right w:val="nil"/>
            </w:tcBorders>
          </w:tcPr>
          <w:p w14:paraId="78CC7707" w14:textId="3C8425E4" w:rsidR="007907C6" w:rsidRDefault="00E550BA" w:rsidP="00A83BFB">
            <w:pPr>
              <w:jc w:val="center"/>
            </w:pPr>
            <w:r w:rsidRPr="00E550BA">
              <w:t>-2.9926</w:t>
            </w:r>
          </w:p>
        </w:tc>
        <w:tc>
          <w:tcPr>
            <w:tcW w:w="1701" w:type="dxa"/>
            <w:tcBorders>
              <w:top w:val="nil"/>
              <w:left w:val="nil"/>
              <w:bottom w:val="none" w:sz="4" w:space="0" w:color="000000" w:themeColor="text1"/>
              <w:right w:val="nil"/>
            </w:tcBorders>
          </w:tcPr>
          <w:p w14:paraId="020BDE11" w14:textId="6E172EAE" w:rsidR="007907C6" w:rsidRDefault="00E550BA" w:rsidP="00A83BFB">
            <w:pPr>
              <w:jc w:val="center"/>
            </w:pPr>
            <w:r>
              <w:t>*</w:t>
            </w:r>
          </w:p>
        </w:tc>
        <w:tc>
          <w:tcPr>
            <w:tcW w:w="1904" w:type="dxa"/>
            <w:tcBorders>
              <w:top w:val="nil"/>
              <w:left w:val="nil"/>
              <w:bottom w:val="none" w:sz="4" w:space="0" w:color="000000" w:themeColor="text1"/>
              <w:right w:val="nil"/>
            </w:tcBorders>
          </w:tcPr>
          <w:p w14:paraId="56FF4CC4" w14:textId="7BC9A6AB" w:rsidR="007907C6" w:rsidRDefault="007907C6" w:rsidP="00A83BFB">
            <w:pPr>
              <w:jc w:val="center"/>
            </w:pPr>
          </w:p>
        </w:tc>
        <w:tc>
          <w:tcPr>
            <w:tcW w:w="1701" w:type="dxa"/>
            <w:tcBorders>
              <w:top w:val="nil"/>
              <w:left w:val="nil"/>
              <w:bottom w:val="none" w:sz="4" w:space="0" w:color="000000" w:themeColor="text1"/>
              <w:right w:val="nil"/>
            </w:tcBorders>
          </w:tcPr>
          <w:p w14:paraId="1B30D38C" w14:textId="3F8D66BD" w:rsidR="007907C6" w:rsidRDefault="50E89CC8" w:rsidP="00A83BFB">
            <w:pPr>
              <w:jc w:val="center"/>
            </w:pPr>
            <w:r>
              <w:t>ns</w:t>
            </w:r>
          </w:p>
        </w:tc>
      </w:tr>
      <w:tr w:rsidR="007907C6" w14:paraId="55C8C33B" w14:textId="77777777" w:rsidTr="3C809D91">
        <w:tc>
          <w:tcPr>
            <w:tcW w:w="2263"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D7D33B3" w14:textId="008B8F9C" w:rsidR="00FB7EEC" w:rsidRPr="00FB7EEC" w:rsidRDefault="00FB7EEC" w:rsidP="00A83BFB">
            <w:pPr>
              <w:jc w:val="center"/>
            </w:pPr>
            <w:r w:rsidRPr="00FB7EEC">
              <w:t>Vet</w:t>
            </w:r>
            <w:r>
              <w:t xml:space="preserve"> </w:t>
            </w:r>
            <w:r w:rsidRPr="00FB7EEC">
              <w:t>and</w:t>
            </w:r>
            <w:r>
              <w:t xml:space="preserve"> </w:t>
            </w:r>
            <w:r w:rsidRPr="00FB7EEC">
              <w:t>Med</w:t>
            </w:r>
            <w:r w:rsidR="00A40D69">
              <w:t xml:space="preserve"> per cow</w:t>
            </w:r>
            <w:r w:rsidR="6ECDC8E0">
              <w:t>, (£)</w:t>
            </w:r>
          </w:p>
          <w:p w14:paraId="4929ABB2" w14:textId="77777777" w:rsidR="007907C6" w:rsidRDefault="007907C6" w:rsidP="00A83BFB">
            <w:pPr>
              <w:jc w:val="center"/>
            </w:pPr>
          </w:p>
        </w:tc>
        <w:tc>
          <w:tcPr>
            <w:tcW w:w="1447"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EACB8C2" w14:textId="77777777" w:rsidR="007907C6" w:rsidRDefault="007907C6" w:rsidP="00A83BFB">
            <w:pPr>
              <w:jc w:val="center"/>
            </w:pPr>
          </w:p>
        </w:tc>
        <w:tc>
          <w:tcPr>
            <w:tcW w:w="1701"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089CF17" w14:textId="3D651D76" w:rsidR="007907C6" w:rsidRDefault="04AD7688" w:rsidP="00A83BFB">
            <w:pPr>
              <w:jc w:val="center"/>
            </w:pPr>
            <w:r>
              <w:t>ns</w:t>
            </w:r>
          </w:p>
        </w:tc>
        <w:tc>
          <w:tcPr>
            <w:tcW w:w="1904"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338D64D" w14:textId="164BD786" w:rsidR="007907C6" w:rsidRDefault="00991E92" w:rsidP="00A83BFB">
            <w:pPr>
              <w:jc w:val="center"/>
            </w:pPr>
            <w:r w:rsidRPr="00991E92">
              <w:t>0.05405</w:t>
            </w:r>
          </w:p>
        </w:tc>
        <w:tc>
          <w:tcPr>
            <w:tcW w:w="1701"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6820A0F" w14:textId="4887931C" w:rsidR="007907C6" w:rsidRDefault="003C0485" w:rsidP="00A83BFB">
            <w:pPr>
              <w:jc w:val="center"/>
            </w:pPr>
            <w:r>
              <w:t>***</w:t>
            </w:r>
          </w:p>
        </w:tc>
      </w:tr>
      <w:tr w:rsidR="007907C6" w14:paraId="0C50E7EC" w14:textId="77777777" w:rsidTr="3C809D91">
        <w:tc>
          <w:tcPr>
            <w:tcW w:w="2263" w:type="dxa"/>
            <w:tcBorders>
              <w:top w:val="none" w:sz="4" w:space="0" w:color="000000" w:themeColor="text1"/>
              <w:left w:val="nil"/>
              <w:bottom w:val="nil"/>
              <w:right w:val="nil"/>
            </w:tcBorders>
          </w:tcPr>
          <w:p w14:paraId="7F8B98DA" w14:textId="238F4358" w:rsidR="00FB7EEC" w:rsidRPr="00FB7EEC" w:rsidRDefault="00FB7EEC" w:rsidP="00A83BFB">
            <w:pPr>
              <w:jc w:val="center"/>
            </w:pPr>
            <w:r w:rsidRPr="00FB7EEC">
              <w:t>Concentrates</w:t>
            </w:r>
            <w:r>
              <w:t xml:space="preserve"> </w:t>
            </w:r>
            <w:r w:rsidRPr="00FB7EEC">
              <w:t>per</w:t>
            </w:r>
            <w:r>
              <w:t xml:space="preserve"> </w:t>
            </w:r>
            <w:r w:rsidRPr="00FB7EEC">
              <w:t>cow</w:t>
            </w:r>
            <w:r w:rsidR="7805D9D1">
              <w:t>, (£)</w:t>
            </w:r>
          </w:p>
          <w:p w14:paraId="1011F6A9" w14:textId="77777777" w:rsidR="007907C6" w:rsidRDefault="007907C6" w:rsidP="00A83BFB">
            <w:pPr>
              <w:jc w:val="center"/>
            </w:pPr>
          </w:p>
        </w:tc>
        <w:tc>
          <w:tcPr>
            <w:tcW w:w="1447" w:type="dxa"/>
            <w:tcBorders>
              <w:top w:val="none" w:sz="4" w:space="0" w:color="000000" w:themeColor="text1"/>
              <w:left w:val="nil"/>
              <w:bottom w:val="nil"/>
              <w:right w:val="nil"/>
            </w:tcBorders>
          </w:tcPr>
          <w:p w14:paraId="1C30694B" w14:textId="77777777" w:rsidR="007907C6" w:rsidRDefault="007907C6" w:rsidP="00A83BFB">
            <w:pPr>
              <w:jc w:val="center"/>
            </w:pPr>
          </w:p>
        </w:tc>
        <w:tc>
          <w:tcPr>
            <w:tcW w:w="1701" w:type="dxa"/>
            <w:tcBorders>
              <w:top w:val="none" w:sz="4" w:space="0" w:color="000000" w:themeColor="text1"/>
              <w:left w:val="nil"/>
              <w:bottom w:val="nil"/>
              <w:right w:val="nil"/>
            </w:tcBorders>
          </w:tcPr>
          <w:p w14:paraId="727F919E" w14:textId="73EA5BF6" w:rsidR="007907C6" w:rsidRDefault="53E08465" w:rsidP="00A83BFB">
            <w:pPr>
              <w:jc w:val="center"/>
            </w:pPr>
            <w:r>
              <w:t>ns</w:t>
            </w:r>
          </w:p>
        </w:tc>
        <w:tc>
          <w:tcPr>
            <w:tcW w:w="1904" w:type="dxa"/>
            <w:tcBorders>
              <w:top w:val="none" w:sz="4" w:space="0" w:color="000000" w:themeColor="text1"/>
              <w:left w:val="nil"/>
              <w:bottom w:val="nil"/>
              <w:right w:val="nil"/>
            </w:tcBorders>
          </w:tcPr>
          <w:p w14:paraId="0844290F" w14:textId="3E8A4954" w:rsidR="007907C6" w:rsidRDefault="001B0F9D" w:rsidP="00A83BFB">
            <w:pPr>
              <w:jc w:val="center"/>
            </w:pPr>
            <w:r w:rsidRPr="001B0F9D">
              <w:t>1.03706</w:t>
            </w:r>
          </w:p>
        </w:tc>
        <w:tc>
          <w:tcPr>
            <w:tcW w:w="1701" w:type="dxa"/>
            <w:tcBorders>
              <w:top w:val="none" w:sz="4" w:space="0" w:color="000000" w:themeColor="text1"/>
              <w:left w:val="nil"/>
              <w:bottom w:val="nil"/>
              <w:right w:val="nil"/>
            </w:tcBorders>
          </w:tcPr>
          <w:p w14:paraId="39E7CA83" w14:textId="6343EC35" w:rsidR="007907C6" w:rsidRDefault="003C0485" w:rsidP="00A83BFB">
            <w:pPr>
              <w:jc w:val="center"/>
            </w:pPr>
            <w:r>
              <w:t>***</w:t>
            </w:r>
          </w:p>
        </w:tc>
      </w:tr>
      <w:tr w:rsidR="00FB7EEC" w14:paraId="200E0B38" w14:textId="77777777" w:rsidTr="3C809D91">
        <w:tc>
          <w:tcPr>
            <w:tcW w:w="2263" w:type="dxa"/>
            <w:tcBorders>
              <w:top w:val="nil"/>
              <w:left w:val="nil"/>
              <w:bottom w:val="nil"/>
              <w:right w:val="nil"/>
            </w:tcBorders>
          </w:tcPr>
          <w:p w14:paraId="4486AE7A" w14:textId="3B305828" w:rsidR="00FB7EEC" w:rsidRPr="00FB7EEC" w:rsidRDefault="00FB7EEC" w:rsidP="00A83BFB">
            <w:pPr>
              <w:jc w:val="center"/>
            </w:pPr>
            <w:r w:rsidRPr="00FB7EEC">
              <w:t>Forage</w:t>
            </w:r>
            <w:r>
              <w:t xml:space="preserve"> </w:t>
            </w:r>
            <w:r w:rsidRPr="00FB7EEC">
              <w:t>Area</w:t>
            </w:r>
            <w:r>
              <w:t xml:space="preserve"> p</w:t>
            </w:r>
            <w:r w:rsidRPr="00FB7EEC">
              <w:t>er</w:t>
            </w:r>
            <w:r>
              <w:t xml:space="preserve"> </w:t>
            </w:r>
            <w:r w:rsidRPr="00FB7EEC">
              <w:t>cow</w:t>
            </w:r>
          </w:p>
          <w:p w14:paraId="46A74241" w14:textId="31229A7C" w:rsidR="00FB7EEC" w:rsidRDefault="00FB7EEC" w:rsidP="00A83BFB">
            <w:pPr>
              <w:jc w:val="center"/>
            </w:pPr>
          </w:p>
        </w:tc>
        <w:tc>
          <w:tcPr>
            <w:tcW w:w="1447" w:type="dxa"/>
            <w:tcBorders>
              <w:top w:val="nil"/>
              <w:left w:val="nil"/>
              <w:bottom w:val="nil"/>
              <w:right w:val="nil"/>
            </w:tcBorders>
          </w:tcPr>
          <w:p w14:paraId="19A5A34A" w14:textId="77777777" w:rsidR="00FB7EEC" w:rsidRDefault="00FB7EEC" w:rsidP="00A83BFB">
            <w:pPr>
              <w:jc w:val="center"/>
            </w:pPr>
          </w:p>
        </w:tc>
        <w:tc>
          <w:tcPr>
            <w:tcW w:w="1701" w:type="dxa"/>
            <w:tcBorders>
              <w:top w:val="nil"/>
              <w:left w:val="nil"/>
              <w:bottom w:val="nil"/>
              <w:right w:val="nil"/>
            </w:tcBorders>
          </w:tcPr>
          <w:p w14:paraId="02760209" w14:textId="72DF1EAF" w:rsidR="00FB7EEC" w:rsidRDefault="2DB3ED3C" w:rsidP="00A83BFB">
            <w:pPr>
              <w:jc w:val="center"/>
            </w:pPr>
            <w:r>
              <w:t>ns</w:t>
            </w:r>
          </w:p>
        </w:tc>
        <w:tc>
          <w:tcPr>
            <w:tcW w:w="1904" w:type="dxa"/>
            <w:tcBorders>
              <w:top w:val="nil"/>
              <w:left w:val="nil"/>
              <w:bottom w:val="nil"/>
              <w:right w:val="nil"/>
            </w:tcBorders>
          </w:tcPr>
          <w:p w14:paraId="0438D6EF" w14:textId="178D50A1" w:rsidR="00FB7EEC" w:rsidRDefault="00B1116D" w:rsidP="00A83BFB">
            <w:pPr>
              <w:jc w:val="center"/>
            </w:pPr>
            <w:r w:rsidRPr="00B1116D">
              <w:t>67.15824</w:t>
            </w:r>
          </w:p>
        </w:tc>
        <w:tc>
          <w:tcPr>
            <w:tcW w:w="1701" w:type="dxa"/>
            <w:tcBorders>
              <w:top w:val="nil"/>
              <w:left w:val="nil"/>
              <w:bottom w:val="nil"/>
              <w:right w:val="nil"/>
            </w:tcBorders>
          </w:tcPr>
          <w:p w14:paraId="139A4321" w14:textId="11BBBEED" w:rsidR="00FB7EEC" w:rsidRDefault="003C0485" w:rsidP="00A83BFB">
            <w:pPr>
              <w:jc w:val="center"/>
            </w:pPr>
            <w:r>
              <w:t>*</w:t>
            </w:r>
          </w:p>
        </w:tc>
      </w:tr>
      <w:tr w:rsidR="00FB7EEC" w14:paraId="7B1F98DE" w14:textId="77777777" w:rsidTr="3C809D91">
        <w:tc>
          <w:tcPr>
            <w:tcW w:w="2263" w:type="dxa"/>
            <w:tcBorders>
              <w:top w:val="nil"/>
              <w:left w:val="nil"/>
              <w:bottom w:val="single" w:sz="4" w:space="0" w:color="auto"/>
              <w:right w:val="nil"/>
            </w:tcBorders>
          </w:tcPr>
          <w:p w14:paraId="017AD96C" w14:textId="1D1B4497" w:rsidR="00FB7EEC" w:rsidRPr="00FB7EEC" w:rsidRDefault="00FB7EEC" w:rsidP="00A83BFB">
            <w:pPr>
              <w:jc w:val="center"/>
            </w:pPr>
            <w:r>
              <w:t>T</w:t>
            </w:r>
            <w:r w:rsidRPr="00FB7EEC">
              <w:t>otal</w:t>
            </w:r>
            <w:r>
              <w:t xml:space="preserve"> calves </w:t>
            </w:r>
            <w:r w:rsidRPr="00FB7EEC">
              <w:t>per</w:t>
            </w:r>
            <w:r>
              <w:t xml:space="preserve"> </w:t>
            </w:r>
            <w:r w:rsidRPr="00FB7EEC">
              <w:t>cow</w:t>
            </w:r>
          </w:p>
          <w:p w14:paraId="32F8BD1F" w14:textId="77777777" w:rsidR="00FB7EEC" w:rsidRDefault="00FB7EEC" w:rsidP="00A83BFB">
            <w:pPr>
              <w:jc w:val="center"/>
            </w:pPr>
          </w:p>
        </w:tc>
        <w:tc>
          <w:tcPr>
            <w:tcW w:w="1447" w:type="dxa"/>
            <w:tcBorders>
              <w:top w:val="nil"/>
              <w:left w:val="nil"/>
              <w:bottom w:val="single" w:sz="4" w:space="0" w:color="auto"/>
              <w:right w:val="nil"/>
            </w:tcBorders>
          </w:tcPr>
          <w:p w14:paraId="0B7C0CAE" w14:textId="77777777" w:rsidR="00FB7EEC" w:rsidRDefault="00FB7EEC" w:rsidP="00A83BFB">
            <w:pPr>
              <w:jc w:val="center"/>
            </w:pPr>
          </w:p>
        </w:tc>
        <w:tc>
          <w:tcPr>
            <w:tcW w:w="1701" w:type="dxa"/>
            <w:tcBorders>
              <w:top w:val="nil"/>
              <w:left w:val="nil"/>
              <w:bottom w:val="single" w:sz="4" w:space="0" w:color="auto"/>
              <w:right w:val="nil"/>
            </w:tcBorders>
          </w:tcPr>
          <w:p w14:paraId="30FF2E74" w14:textId="4A758256" w:rsidR="00FB7EEC" w:rsidRDefault="1057CF36" w:rsidP="00A83BFB">
            <w:pPr>
              <w:jc w:val="center"/>
            </w:pPr>
            <w:r>
              <w:t>ns</w:t>
            </w:r>
          </w:p>
        </w:tc>
        <w:tc>
          <w:tcPr>
            <w:tcW w:w="1904" w:type="dxa"/>
            <w:tcBorders>
              <w:top w:val="nil"/>
              <w:left w:val="nil"/>
              <w:bottom w:val="single" w:sz="4" w:space="0" w:color="auto"/>
              <w:right w:val="nil"/>
            </w:tcBorders>
          </w:tcPr>
          <w:p w14:paraId="48A5D74E" w14:textId="235AF234" w:rsidR="00FB7EEC" w:rsidRDefault="00EE2733" w:rsidP="00A83BFB">
            <w:pPr>
              <w:jc w:val="center"/>
            </w:pPr>
            <w:r w:rsidRPr="00EE2733">
              <w:t>-68.85293</w:t>
            </w:r>
          </w:p>
        </w:tc>
        <w:tc>
          <w:tcPr>
            <w:tcW w:w="1701" w:type="dxa"/>
            <w:tcBorders>
              <w:top w:val="nil"/>
              <w:left w:val="nil"/>
              <w:bottom w:val="single" w:sz="4" w:space="0" w:color="auto"/>
              <w:right w:val="nil"/>
            </w:tcBorders>
          </w:tcPr>
          <w:p w14:paraId="1D41A9E6" w14:textId="7E05DC3A" w:rsidR="00FB7EEC" w:rsidRDefault="0097435D" w:rsidP="00A83BFB">
            <w:pPr>
              <w:jc w:val="center"/>
            </w:pPr>
            <w:r>
              <w:t>.</w:t>
            </w:r>
          </w:p>
        </w:tc>
      </w:tr>
    </w:tbl>
    <w:p w14:paraId="15E52441" w14:textId="71D6049B" w:rsidR="00A53868" w:rsidRPr="00881143" w:rsidRDefault="1E9700AB" w:rsidP="00A045D5">
      <w:r w:rsidRPr="11BF433B">
        <w:rPr>
          <w:b/>
          <w:bCs/>
        </w:rPr>
        <w:t>Table</w:t>
      </w:r>
      <w:r w:rsidR="6F9CF18F" w:rsidRPr="11BF433B">
        <w:rPr>
          <w:b/>
          <w:bCs/>
        </w:rPr>
        <w:t xml:space="preserve"> </w:t>
      </w:r>
      <w:r w:rsidRPr="11BF433B">
        <w:rPr>
          <w:b/>
          <w:bCs/>
        </w:rPr>
        <w:t>1</w:t>
      </w:r>
      <w:r>
        <w:t>. Results of the ste</w:t>
      </w:r>
      <w:r w:rsidR="6F9CF18F">
        <w:t xml:space="preserve">pwise regression. </w:t>
      </w:r>
      <w:r w:rsidR="2CF6CC87">
        <w:t>Signif</w:t>
      </w:r>
      <w:r w:rsidR="129FA7D3">
        <w:t>icance of coefficients</w:t>
      </w:r>
      <w:r w:rsidR="2CF6CC87">
        <w:t xml:space="preserve">:  0 ‘***’ 0.001 ‘**’ 0.01 ‘*’ 0.05 ‘.’ 0.1 </w:t>
      </w:r>
      <w:r w:rsidR="092642C0">
        <w:t>or</w:t>
      </w:r>
      <w:r w:rsidR="7050A384">
        <w:t xml:space="preserve"> ‘ns’ not significant </w:t>
      </w:r>
    </w:p>
    <w:p w14:paraId="52705A65" w14:textId="4CF5F20E" w:rsidR="00045B38" w:rsidRDefault="00045B38" w:rsidP="00CE2DD5">
      <w:pPr>
        <w:pStyle w:val="Heading1"/>
      </w:pPr>
      <w:r w:rsidRPr="00045B38">
        <w:t xml:space="preserve">Conclusions  </w:t>
      </w:r>
    </w:p>
    <w:p w14:paraId="08812259" w14:textId="77777777" w:rsidR="00B42B8D" w:rsidRDefault="00B42B8D" w:rsidP="00CE2DD5">
      <w:pPr>
        <w:pStyle w:val="Heading1"/>
        <w:rPr>
          <w:rFonts w:asciiTheme="minorHAnsi" w:eastAsiaTheme="minorHAnsi" w:hAnsiTheme="minorHAnsi" w:cstheme="minorBidi"/>
          <w:color w:val="auto"/>
          <w:sz w:val="22"/>
          <w:szCs w:val="22"/>
        </w:rPr>
      </w:pPr>
      <w:r w:rsidRPr="00B42B8D">
        <w:rPr>
          <w:rFonts w:asciiTheme="minorHAnsi" w:eastAsiaTheme="minorHAnsi" w:hAnsiTheme="minorHAnsi" w:cstheme="minorBidi"/>
          <w:color w:val="auto"/>
          <w:sz w:val="22"/>
          <w:szCs w:val="22"/>
        </w:rPr>
        <w:t>This data analysis has shown that on- farm livestock performance measured through KPI’s can be used to predict the gross margin of suckler cow enterprises. The results can be used to illustrate and emphasise the financial gain farmers could achieve by measuring and benchmarking the performance of their suckler herd. Further work is needed to investigate which KPI’s are going to be most advantageous in relation to production system type.</w:t>
      </w:r>
    </w:p>
    <w:p w14:paraId="4A9C9ED6" w14:textId="42DF3856" w:rsidR="00045B38" w:rsidRDefault="00045B38" w:rsidP="00CE2DD5">
      <w:pPr>
        <w:pStyle w:val="Heading1"/>
      </w:pPr>
      <w:r w:rsidRPr="00045B38">
        <w:t xml:space="preserve">Acknowledgements </w:t>
      </w:r>
    </w:p>
    <w:p w14:paraId="054B5653" w14:textId="57B96C49" w:rsidR="00A165A6" w:rsidRPr="00A165A6" w:rsidRDefault="00A165A6" w:rsidP="00A165A6">
      <w:r>
        <w:t xml:space="preserve">The author would like to </w:t>
      </w:r>
      <w:r w:rsidR="00184EA7">
        <w:t xml:space="preserve">acknowledge UK data service for permission to use Farm Business Survey data. </w:t>
      </w:r>
    </w:p>
    <w:p w14:paraId="0832DEEF" w14:textId="37A83240" w:rsidR="00045B38" w:rsidRDefault="00045B38" w:rsidP="00CE2DD5">
      <w:pPr>
        <w:pStyle w:val="Heading1"/>
      </w:pPr>
      <w:r>
        <w:t>References</w:t>
      </w:r>
    </w:p>
    <w:p w14:paraId="114AC055" w14:textId="3008705D" w:rsidR="00045B38" w:rsidRDefault="20FAC795" w:rsidP="03BD19A3">
      <w:r w:rsidRPr="03BD19A3">
        <w:rPr>
          <w:rFonts w:ascii="Calibri" w:eastAsia="Calibri" w:hAnsi="Calibri" w:cs="Calibri"/>
        </w:rPr>
        <w:t>Huang, Iona Y., Hill, Nigel., Behrendt, Karl.,</w:t>
      </w:r>
      <w:r w:rsidR="2A095A7C" w:rsidRPr="03BD19A3">
        <w:rPr>
          <w:rFonts w:ascii="Calibri" w:eastAsia="Calibri" w:hAnsi="Calibri" w:cs="Calibri"/>
        </w:rPr>
        <w:t xml:space="preserve"> </w:t>
      </w:r>
      <w:r w:rsidRPr="03BD19A3">
        <w:rPr>
          <w:rFonts w:ascii="Calibri" w:eastAsia="Calibri" w:hAnsi="Calibri" w:cs="Calibri"/>
        </w:rPr>
        <w:t>Hurford,</w:t>
      </w:r>
      <w:r w:rsidR="050CF322" w:rsidRPr="03BD19A3">
        <w:rPr>
          <w:rFonts w:ascii="Calibri" w:eastAsia="Calibri" w:hAnsi="Calibri" w:cs="Calibri"/>
        </w:rPr>
        <w:t xml:space="preserve"> Sarah.,</w:t>
      </w:r>
      <w:r w:rsidR="5EA4ADDE" w:rsidRPr="03BD19A3">
        <w:rPr>
          <w:rFonts w:ascii="Calibri" w:eastAsia="Calibri" w:hAnsi="Calibri" w:cs="Calibri"/>
        </w:rPr>
        <w:t xml:space="preserve"> </w:t>
      </w:r>
      <w:r w:rsidRPr="03BD19A3">
        <w:rPr>
          <w:rFonts w:ascii="Calibri" w:eastAsia="Calibri" w:hAnsi="Calibri" w:cs="Calibri"/>
        </w:rPr>
        <w:t>Dunkley</w:t>
      </w:r>
      <w:r w:rsidR="4693AB31" w:rsidRPr="03BD19A3">
        <w:rPr>
          <w:rFonts w:ascii="Calibri" w:eastAsia="Calibri" w:hAnsi="Calibri" w:cs="Calibri"/>
        </w:rPr>
        <w:t xml:space="preserve">, Steve., </w:t>
      </w:r>
      <w:r w:rsidRPr="03BD19A3">
        <w:rPr>
          <w:rFonts w:ascii="Calibri" w:eastAsia="Calibri" w:hAnsi="Calibri" w:cs="Calibri"/>
        </w:rPr>
        <w:t>Baker</w:t>
      </w:r>
      <w:r w:rsidR="3EF21F5F" w:rsidRPr="03BD19A3">
        <w:rPr>
          <w:rFonts w:ascii="Calibri" w:eastAsia="Calibri" w:hAnsi="Calibri" w:cs="Calibri"/>
        </w:rPr>
        <w:t>, Sarah., 2022.</w:t>
      </w:r>
      <w:r w:rsidRPr="03BD19A3">
        <w:rPr>
          <w:rFonts w:ascii="Calibri" w:eastAsia="Calibri" w:hAnsi="Calibri" w:cs="Calibri"/>
        </w:rPr>
        <w:t xml:space="preserve">  AHDB Farm Resilience Review and Action Plan for farmers</w:t>
      </w:r>
      <w:r w:rsidR="6D569CAF" w:rsidRPr="03BD19A3">
        <w:rPr>
          <w:rFonts w:ascii="Calibri" w:eastAsia="Calibri" w:hAnsi="Calibri" w:cs="Calibri"/>
        </w:rPr>
        <w:t xml:space="preserve"> </w:t>
      </w:r>
      <w:r w:rsidRPr="03BD19A3">
        <w:rPr>
          <w:rFonts w:ascii="Calibri" w:eastAsia="Calibri" w:hAnsi="Calibri" w:cs="Calibri"/>
        </w:rPr>
        <w:t>in England</w:t>
      </w:r>
      <w:r w:rsidR="0E1B6D04" w:rsidRPr="03BD19A3">
        <w:rPr>
          <w:rFonts w:ascii="Calibri" w:eastAsia="Calibri" w:hAnsi="Calibri" w:cs="Calibri"/>
        </w:rPr>
        <w:t xml:space="preserve">, </w:t>
      </w:r>
      <w:r w:rsidRPr="03BD19A3">
        <w:rPr>
          <w:rFonts w:ascii="Calibri" w:eastAsia="Calibri" w:hAnsi="Calibri" w:cs="Calibri"/>
        </w:rPr>
        <w:t>Final Report</w:t>
      </w:r>
      <w:r w:rsidR="324D72EA" w:rsidRPr="03BD19A3">
        <w:rPr>
          <w:rFonts w:ascii="Calibri" w:eastAsia="Calibri" w:hAnsi="Calibri" w:cs="Calibri"/>
        </w:rPr>
        <w:t xml:space="preserve"> (Accessed 31/10/2023)</w:t>
      </w:r>
      <w:r w:rsidR="0A7CE392" w:rsidRPr="03BD19A3">
        <w:rPr>
          <w:rFonts w:ascii="Calibri" w:eastAsia="Calibri" w:hAnsi="Calibri" w:cs="Calibri"/>
        </w:rPr>
        <w:t>.</w:t>
      </w:r>
    </w:p>
    <w:p w14:paraId="677DE9EF" w14:textId="05EC6289" w:rsidR="00045B38" w:rsidRDefault="0A7CE392" w:rsidP="03BD19A3">
      <w:r>
        <w:t>Jones, A., Takahashi, T., Fleming, H., Griffith, B., Harris, P. and Lee, M., 2021. Quantifying the value of on-farm measurements to inform the selection of key performance indicators for livestock production systems. </w:t>
      </w:r>
      <w:r w:rsidRPr="03BD19A3">
        <w:rPr>
          <w:i/>
          <w:iCs/>
        </w:rPr>
        <w:t>Scientific reports</w:t>
      </w:r>
      <w:r>
        <w:t>, </w:t>
      </w:r>
      <w:r w:rsidRPr="03BD19A3">
        <w:rPr>
          <w:i/>
          <w:iCs/>
        </w:rPr>
        <w:t>11</w:t>
      </w:r>
      <w:r>
        <w:t>(1), p.16874.</w:t>
      </w:r>
    </w:p>
    <w:p w14:paraId="115BC877" w14:textId="7EFBCF1E" w:rsidR="00045B38" w:rsidRDefault="00045B38" w:rsidP="03BD19A3">
      <w:pPr>
        <w:rPr>
          <w:rFonts w:ascii="Calibri" w:eastAsia="Calibri" w:hAnsi="Calibri" w:cs="Calibri"/>
        </w:rPr>
      </w:pPr>
    </w:p>
    <w:p w14:paraId="6E569209" w14:textId="07E6D4A2" w:rsidR="00BC54F6" w:rsidRPr="00BC54F6" w:rsidRDefault="00BC54F6" w:rsidP="00BC54F6"/>
    <w:sectPr w:rsidR="00BC54F6" w:rsidRPr="00BC54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C54D" w14:textId="77777777" w:rsidR="005E6889" w:rsidRDefault="005E6889" w:rsidP="005E6889">
      <w:pPr>
        <w:spacing w:after="0" w:line="240" w:lineRule="auto"/>
      </w:pPr>
      <w:r>
        <w:separator/>
      </w:r>
    </w:p>
  </w:endnote>
  <w:endnote w:type="continuationSeparator" w:id="0">
    <w:p w14:paraId="5D4B4E3E" w14:textId="77777777" w:rsidR="005E6889" w:rsidRDefault="005E6889" w:rsidP="005E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FBB9" w14:textId="77777777" w:rsidR="005E6889" w:rsidRDefault="005E6889" w:rsidP="005E6889">
      <w:pPr>
        <w:spacing w:after="0" w:line="240" w:lineRule="auto"/>
      </w:pPr>
      <w:r>
        <w:separator/>
      </w:r>
    </w:p>
  </w:footnote>
  <w:footnote w:type="continuationSeparator" w:id="0">
    <w:p w14:paraId="3C1461B1" w14:textId="77777777" w:rsidR="005E6889" w:rsidRDefault="005E6889" w:rsidP="005E688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51969"/>
    <w:multiLevelType w:val="hybridMultilevel"/>
    <w:tmpl w:val="BA54C334"/>
    <w:lvl w:ilvl="0" w:tplc="645C8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028A2"/>
    <w:multiLevelType w:val="hybridMultilevel"/>
    <w:tmpl w:val="11AAFA74"/>
    <w:lvl w:ilvl="0" w:tplc="C99E5D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792689">
    <w:abstractNumId w:val="0"/>
  </w:num>
  <w:num w:numId="2" w16cid:durableId="62003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E6"/>
    <w:rsid w:val="00032095"/>
    <w:rsid w:val="00040655"/>
    <w:rsid w:val="00043921"/>
    <w:rsid w:val="00045B38"/>
    <w:rsid w:val="00051300"/>
    <w:rsid w:val="00061211"/>
    <w:rsid w:val="00072971"/>
    <w:rsid w:val="000A113D"/>
    <w:rsid w:val="000A1C5F"/>
    <w:rsid w:val="000A1CB5"/>
    <w:rsid w:val="000A688B"/>
    <w:rsid w:val="000E2051"/>
    <w:rsid w:val="000E281F"/>
    <w:rsid w:val="001030EF"/>
    <w:rsid w:val="00107EA8"/>
    <w:rsid w:val="00127C32"/>
    <w:rsid w:val="001300CA"/>
    <w:rsid w:val="00136BB0"/>
    <w:rsid w:val="001453B6"/>
    <w:rsid w:val="0015527D"/>
    <w:rsid w:val="0017756F"/>
    <w:rsid w:val="00184EA7"/>
    <w:rsid w:val="00190197"/>
    <w:rsid w:val="001B0F9D"/>
    <w:rsid w:val="001C6EF7"/>
    <w:rsid w:val="001D4E85"/>
    <w:rsid w:val="001E1C20"/>
    <w:rsid w:val="001E1EB7"/>
    <w:rsid w:val="001E78B3"/>
    <w:rsid w:val="002009A0"/>
    <w:rsid w:val="0022100E"/>
    <w:rsid w:val="00285A5E"/>
    <w:rsid w:val="002A5424"/>
    <w:rsid w:val="002A680B"/>
    <w:rsid w:val="002D5765"/>
    <w:rsid w:val="002D6274"/>
    <w:rsid w:val="00305746"/>
    <w:rsid w:val="00306940"/>
    <w:rsid w:val="00317BD5"/>
    <w:rsid w:val="00343954"/>
    <w:rsid w:val="00357B3E"/>
    <w:rsid w:val="00386CDC"/>
    <w:rsid w:val="003B4DB3"/>
    <w:rsid w:val="003C0485"/>
    <w:rsid w:val="003F2CBA"/>
    <w:rsid w:val="00406158"/>
    <w:rsid w:val="00415835"/>
    <w:rsid w:val="00456C82"/>
    <w:rsid w:val="00473A62"/>
    <w:rsid w:val="00491952"/>
    <w:rsid w:val="004A2466"/>
    <w:rsid w:val="004B4932"/>
    <w:rsid w:val="004B7C9D"/>
    <w:rsid w:val="0050287B"/>
    <w:rsid w:val="005216AC"/>
    <w:rsid w:val="00530855"/>
    <w:rsid w:val="005344D0"/>
    <w:rsid w:val="0055796F"/>
    <w:rsid w:val="005672E8"/>
    <w:rsid w:val="00571354"/>
    <w:rsid w:val="00581C67"/>
    <w:rsid w:val="0059567E"/>
    <w:rsid w:val="005A3764"/>
    <w:rsid w:val="005A745B"/>
    <w:rsid w:val="005B5AD7"/>
    <w:rsid w:val="005D3CC9"/>
    <w:rsid w:val="005E6889"/>
    <w:rsid w:val="00637E6A"/>
    <w:rsid w:val="0064233D"/>
    <w:rsid w:val="00644687"/>
    <w:rsid w:val="00647555"/>
    <w:rsid w:val="00657C29"/>
    <w:rsid w:val="00684610"/>
    <w:rsid w:val="006E1BB7"/>
    <w:rsid w:val="006E201C"/>
    <w:rsid w:val="006E3322"/>
    <w:rsid w:val="00701F62"/>
    <w:rsid w:val="00707F64"/>
    <w:rsid w:val="00741703"/>
    <w:rsid w:val="00752551"/>
    <w:rsid w:val="007730D2"/>
    <w:rsid w:val="007907C6"/>
    <w:rsid w:val="007D0972"/>
    <w:rsid w:val="007E0627"/>
    <w:rsid w:val="007E61B1"/>
    <w:rsid w:val="00806147"/>
    <w:rsid w:val="00821A9F"/>
    <w:rsid w:val="0082397A"/>
    <w:rsid w:val="00841D18"/>
    <w:rsid w:val="00861CD0"/>
    <w:rsid w:val="00881143"/>
    <w:rsid w:val="00887D3B"/>
    <w:rsid w:val="00893946"/>
    <w:rsid w:val="00894327"/>
    <w:rsid w:val="008A6969"/>
    <w:rsid w:val="008B4F90"/>
    <w:rsid w:val="008C1EE1"/>
    <w:rsid w:val="008D4CE2"/>
    <w:rsid w:val="008E568A"/>
    <w:rsid w:val="009047E5"/>
    <w:rsid w:val="00905C06"/>
    <w:rsid w:val="00915119"/>
    <w:rsid w:val="00924BB9"/>
    <w:rsid w:val="00927A8D"/>
    <w:rsid w:val="00944C20"/>
    <w:rsid w:val="00953E21"/>
    <w:rsid w:val="009559C9"/>
    <w:rsid w:val="00972B7E"/>
    <w:rsid w:val="0097435D"/>
    <w:rsid w:val="00991E92"/>
    <w:rsid w:val="009B1E2D"/>
    <w:rsid w:val="009C1F90"/>
    <w:rsid w:val="009D29DD"/>
    <w:rsid w:val="009E0D48"/>
    <w:rsid w:val="009E5553"/>
    <w:rsid w:val="00A045D5"/>
    <w:rsid w:val="00A165A6"/>
    <w:rsid w:val="00A34632"/>
    <w:rsid w:val="00A40D69"/>
    <w:rsid w:val="00A53868"/>
    <w:rsid w:val="00A54327"/>
    <w:rsid w:val="00A67706"/>
    <w:rsid w:val="00A80C95"/>
    <w:rsid w:val="00A83BFB"/>
    <w:rsid w:val="00A907B0"/>
    <w:rsid w:val="00A95928"/>
    <w:rsid w:val="00AA5FC5"/>
    <w:rsid w:val="00AC3CE8"/>
    <w:rsid w:val="00AD49B9"/>
    <w:rsid w:val="00AF0B12"/>
    <w:rsid w:val="00B1116D"/>
    <w:rsid w:val="00B12B02"/>
    <w:rsid w:val="00B37551"/>
    <w:rsid w:val="00B42B8D"/>
    <w:rsid w:val="00B42D70"/>
    <w:rsid w:val="00B460CD"/>
    <w:rsid w:val="00B5736C"/>
    <w:rsid w:val="00BB38AB"/>
    <w:rsid w:val="00BB5BCB"/>
    <w:rsid w:val="00BC06B5"/>
    <w:rsid w:val="00BC54B2"/>
    <w:rsid w:val="00BC54F6"/>
    <w:rsid w:val="00BC6D92"/>
    <w:rsid w:val="00BD032A"/>
    <w:rsid w:val="00BD05FF"/>
    <w:rsid w:val="00C018E1"/>
    <w:rsid w:val="00C039F0"/>
    <w:rsid w:val="00C41B7B"/>
    <w:rsid w:val="00C420A0"/>
    <w:rsid w:val="00C4523A"/>
    <w:rsid w:val="00CD6496"/>
    <w:rsid w:val="00CE2DD5"/>
    <w:rsid w:val="00CF08E6"/>
    <w:rsid w:val="00D53837"/>
    <w:rsid w:val="00D550AD"/>
    <w:rsid w:val="00D83243"/>
    <w:rsid w:val="00D85ED4"/>
    <w:rsid w:val="00DB3CDB"/>
    <w:rsid w:val="00DC6FA6"/>
    <w:rsid w:val="00DD76DE"/>
    <w:rsid w:val="00DF0CAA"/>
    <w:rsid w:val="00DF744C"/>
    <w:rsid w:val="00E07D09"/>
    <w:rsid w:val="00E25B1B"/>
    <w:rsid w:val="00E30939"/>
    <w:rsid w:val="00E51FA3"/>
    <w:rsid w:val="00E550BA"/>
    <w:rsid w:val="00E607C0"/>
    <w:rsid w:val="00E712A9"/>
    <w:rsid w:val="00E73D4E"/>
    <w:rsid w:val="00E814EA"/>
    <w:rsid w:val="00E8302F"/>
    <w:rsid w:val="00EE2733"/>
    <w:rsid w:val="00EE6D75"/>
    <w:rsid w:val="00EF5611"/>
    <w:rsid w:val="00F10C59"/>
    <w:rsid w:val="00F15523"/>
    <w:rsid w:val="00F24134"/>
    <w:rsid w:val="00F46A32"/>
    <w:rsid w:val="00F50D20"/>
    <w:rsid w:val="00F57765"/>
    <w:rsid w:val="00F73059"/>
    <w:rsid w:val="00FA14BD"/>
    <w:rsid w:val="00FB40F3"/>
    <w:rsid w:val="00FB78C4"/>
    <w:rsid w:val="00FB7EEC"/>
    <w:rsid w:val="00FC15B7"/>
    <w:rsid w:val="00FF3FB2"/>
    <w:rsid w:val="00FF7F6B"/>
    <w:rsid w:val="011D4892"/>
    <w:rsid w:val="016A4AEE"/>
    <w:rsid w:val="03AA9223"/>
    <w:rsid w:val="03BD19A3"/>
    <w:rsid w:val="04AD7688"/>
    <w:rsid w:val="050CF322"/>
    <w:rsid w:val="050F9E33"/>
    <w:rsid w:val="054FA543"/>
    <w:rsid w:val="072A9C69"/>
    <w:rsid w:val="073B79EA"/>
    <w:rsid w:val="0769C7C2"/>
    <w:rsid w:val="0864FEA7"/>
    <w:rsid w:val="092642C0"/>
    <w:rsid w:val="0926EB96"/>
    <w:rsid w:val="09AAB821"/>
    <w:rsid w:val="0A4DBC28"/>
    <w:rsid w:val="0A72CA19"/>
    <w:rsid w:val="0A7CE392"/>
    <w:rsid w:val="0CF77A78"/>
    <w:rsid w:val="0D16E6D7"/>
    <w:rsid w:val="0D6F47EC"/>
    <w:rsid w:val="0DA85B8A"/>
    <w:rsid w:val="0E1B6D04"/>
    <w:rsid w:val="0E87E16D"/>
    <w:rsid w:val="1057CF36"/>
    <w:rsid w:val="111857CF"/>
    <w:rsid w:val="11BF433B"/>
    <w:rsid w:val="129FA7D3"/>
    <w:rsid w:val="12B9B09F"/>
    <w:rsid w:val="1484C77E"/>
    <w:rsid w:val="15C94998"/>
    <w:rsid w:val="16BEDC4F"/>
    <w:rsid w:val="17EC9CFD"/>
    <w:rsid w:val="18F0D07E"/>
    <w:rsid w:val="1AE8C6F2"/>
    <w:rsid w:val="1B23DBAD"/>
    <w:rsid w:val="1BB81AFE"/>
    <w:rsid w:val="1D52FCB0"/>
    <w:rsid w:val="1D6FA293"/>
    <w:rsid w:val="1E01775F"/>
    <w:rsid w:val="1E4491F8"/>
    <w:rsid w:val="1E9700AB"/>
    <w:rsid w:val="1ED4DAC0"/>
    <w:rsid w:val="1F0F6635"/>
    <w:rsid w:val="204D2C8A"/>
    <w:rsid w:val="20C24619"/>
    <w:rsid w:val="20EC8E7B"/>
    <w:rsid w:val="20FAC795"/>
    <w:rsid w:val="2131304A"/>
    <w:rsid w:val="220B025F"/>
    <w:rsid w:val="221FF40B"/>
    <w:rsid w:val="23E3DBA1"/>
    <w:rsid w:val="247964ED"/>
    <w:rsid w:val="26DE7382"/>
    <w:rsid w:val="2729C58C"/>
    <w:rsid w:val="274BD121"/>
    <w:rsid w:val="283ECBED"/>
    <w:rsid w:val="2894DE7A"/>
    <w:rsid w:val="28D8EDFD"/>
    <w:rsid w:val="28FA6D60"/>
    <w:rsid w:val="298C58B8"/>
    <w:rsid w:val="29A2C5BD"/>
    <w:rsid w:val="2A095A7C"/>
    <w:rsid w:val="2B26315A"/>
    <w:rsid w:val="2CF6CC87"/>
    <w:rsid w:val="2DB3ED3C"/>
    <w:rsid w:val="2E21302F"/>
    <w:rsid w:val="2ECBBE81"/>
    <w:rsid w:val="2F337484"/>
    <w:rsid w:val="2FD97DA7"/>
    <w:rsid w:val="30028DBA"/>
    <w:rsid w:val="30CF44E5"/>
    <w:rsid w:val="3248C6D6"/>
    <w:rsid w:val="324D72EA"/>
    <w:rsid w:val="333DA3E6"/>
    <w:rsid w:val="33673E06"/>
    <w:rsid w:val="33D62CF2"/>
    <w:rsid w:val="3406E5A7"/>
    <w:rsid w:val="34B63419"/>
    <w:rsid w:val="353254E5"/>
    <w:rsid w:val="358E169A"/>
    <w:rsid w:val="35A2B608"/>
    <w:rsid w:val="361A75AB"/>
    <w:rsid w:val="371C37F9"/>
    <w:rsid w:val="38B8085A"/>
    <w:rsid w:val="38DA56CA"/>
    <w:rsid w:val="393CD663"/>
    <w:rsid w:val="3952B520"/>
    <w:rsid w:val="3962252C"/>
    <w:rsid w:val="396DC4CA"/>
    <w:rsid w:val="3AD924D0"/>
    <w:rsid w:val="3C809D91"/>
    <w:rsid w:val="3CA77332"/>
    <w:rsid w:val="3CDF9874"/>
    <w:rsid w:val="3D02B02A"/>
    <w:rsid w:val="3D179EB8"/>
    <w:rsid w:val="3E390BBE"/>
    <w:rsid w:val="3EC22720"/>
    <w:rsid w:val="3EF21F5F"/>
    <w:rsid w:val="3F9B52A4"/>
    <w:rsid w:val="40A34D74"/>
    <w:rsid w:val="40A9D698"/>
    <w:rsid w:val="40B9DA5C"/>
    <w:rsid w:val="40C57D80"/>
    <w:rsid w:val="40C962FE"/>
    <w:rsid w:val="41D511A6"/>
    <w:rsid w:val="42CC7019"/>
    <w:rsid w:val="4352AD93"/>
    <w:rsid w:val="439A0195"/>
    <w:rsid w:val="4526F254"/>
    <w:rsid w:val="460FB8AE"/>
    <w:rsid w:val="4693AB31"/>
    <w:rsid w:val="46DA1B27"/>
    <w:rsid w:val="472B0753"/>
    <w:rsid w:val="47872E33"/>
    <w:rsid w:val="48AD25EB"/>
    <w:rsid w:val="49C01975"/>
    <w:rsid w:val="4C3008DC"/>
    <w:rsid w:val="4C52BF00"/>
    <w:rsid w:val="4C66E7CD"/>
    <w:rsid w:val="4C764F12"/>
    <w:rsid w:val="4CB71A5E"/>
    <w:rsid w:val="4CC376DC"/>
    <w:rsid w:val="4D1B6EA0"/>
    <w:rsid w:val="4D77B193"/>
    <w:rsid w:val="4EAE6F6D"/>
    <w:rsid w:val="4F4BD3BD"/>
    <w:rsid w:val="50234AA4"/>
    <w:rsid w:val="50AC0F2C"/>
    <w:rsid w:val="50E12B8F"/>
    <w:rsid w:val="50E89CC8"/>
    <w:rsid w:val="51942578"/>
    <w:rsid w:val="53E08465"/>
    <w:rsid w:val="5414CB6D"/>
    <w:rsid w:val="5432F82F"/>
    <w:rsid w:val="5570C576"/>
    <w:rsid w:val="567E793C"/>
    <w:rsid w:val="56F8586B"/>
    <w:rsid w:val="570C95D7"/>
    <w:rsid w:val="57B3CB52"/>
    <w:rsid w:val="58B40E98"/>
    <w:rsid w:val="595C6061"/>
    <w:rsid w:val="598B8515"/>
    <w:rsid w:val="59E9267A"/>
    <w:rsid w:val="5A4FDEF9"/>
    <w:rsid w:val="5AA68484"/>
    <w:rsid w:val="5B17B83C"/>
    <w:rsid w:val="5B55394E"/>
    <w:rsid w:val="5B84F6DB"/>
    <w:rsid w:val="5BEBAF5A"/>
    <w:rsid w:val="5D1E74EF"/>
    <w:rsid w:val="5D954A5A"/>
    <w:rsid w:val="5E6ADFAE"/>
    <w:rsid w:val="5EA4ADDE"/>
    <w:rsid w:val="605867FE"/>
    <w:rsid w:val="61E14EDF"/>
    <w:rsid w:val="61E18024"/>
    <w:rsid w:val="62119681"/>
    <w:rsid w:val="6276EB4F"/>
    <w:rsid w:val="64071078"/>
    <w:rsid w:val="64171A42"/>
    <w:rsid w:val="641C99FD"/>
    <w:rsid w:val="66BD4615"/>
    <w:rsid w:val="66F74F7B"/>
    <w:rsid w:val="67B24082"/>
    <w:rsid w:val="67E6D0BA"/>
    <w:rsid w:val="6840DC87"/>
    <w:rsid w:val="686379E3"/>
    <w:rsid w:val="68F6E7E3"/>
    <w:rsid w:val="6967AD64"/>
    <w:rsid w:val="6A0858F4"/>
    <w:rsid w:val="6A6DA6DC"/>
    <w:rsid w:val="6B5D0D39"/>
    <w:rsid w:val="6B861DB1"/>
    <w:rsid w:val="6C09C0AA"/>
    <w:rsid w:val="6C9F4E26"/>
    <w:rsid w:val="6D569CAF"/>
    <w:rsid w:val="6ECDC8E0"/>
    <w:rsid w:val="6F9CF18F"/>
    <w:rsid w:val="7050A384"/>
    <w:rsid w:val="71C8BFF4"/>
    <w:rsid w:val="72819482"/>
    <w:rsid w:val="72E12B2A"/>
    <w:rsid w:val="7322C7C6"/>
    <w:rsid w:val="736523B0"/>
    <w:rsid w:val="73F70B1D"/>
    <w:rsid w:val="7414D28F"/>
    <w:rsid w:val="75B56D9C"/>
    <w:rsid w:val="75C0F3FA"/>
    <w:rsid w:val="7613716E"/>
    <w:rsid w:val="77BA2A17"/>
    <w:rsid w:val="7805D9D1"/>
    <w:rsid w:val="786CE68F"/>
    <w:rsid w:val="792A7BF3"/>
    <w:rsid w:val="796D72DA"/>
    <w:rsid w:val="7BD59617"/>
    <w:rsid w:val="7CBD5F76"/>
    <w:rsid w:val="7DB9A8AC"/>
    <w:rsid w:val="7ED4AF02"/>
    <w:rsid w:val="7F4863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FCED"/>
  <w15:chartTrackingRefBased/>
  <w15:docId w15:val="{5A262F5F-CB69-48BC-9439-E145B9F5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D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CE2"/>
    <w:pPr>
      <w:ind w:left="720"/>
      <w:contextualSpacing/>
    </w:pPr>
  </w:style>
  <w:style w:type="character" w:customStyle="1" w:styleId="Heading1Char">
    <w:name w:val="Heading 1 Char"/>
    <w:basedOn w:val="DefaultParagraphFont"/>
    <w:link w:val="Heading1"/>
    <w:uiPriority w:val="9"/>
    <w:rsid w:val="00CE2DD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E1C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C2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E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4DB3"/>
    <w:rPr>
      <w:sz w:val="16"/>
      <w:szCs w:val="16"/>
    </w:rPr>
  </w:style>
  <w:style w:type="paragraph" w:styleId="CommentText">
    <w:name w:val="annotation text"/>
    <w:basedOn w:val="Normal"/>
    <w:link w:val="CommentTextChar"/>
    <w:uiPriority w:val="99"/>
    <w:unhideWhenUsed/>
    <w:rsid w:val="003B4DB3"/>
    <w:pPr>
      <w:spacing w:line="240" w:lineRule="auto"/>
    </w:pPr>
    <w:rPr>
      <w:sz w:val="20"/>
      <w:szCs w:val="20"/>
    </w:rPr>
  </w:style>
  <w:style w:type="character" w:customStyle="1" w:styleId="CommentTextChar">
    <w:name w:val="Comment Text Char"/>
    <w:basedOn w:val="DefaultParagraphFont"/>
    <w:link w:val="CommentText"/>
    <w:uiPriority w:val="99"/>
    <w:rsid w:val="003B4DB3"/>
    <w:rPr>
      <w:sz w:val="20"/>
      <w:szCs w:val="20"/>
    </w:rPr>
  </w:style>
  <w:style w:type="paragraph" w:styleId="CommentSubject">
    <w:name w:val="annotation subject"/>
    <w:basedOn w:val="CommentText"/>
    <w:next w:val="CommentText"/>
    <w:link w:val="CommentSubjectChar"/>
    <w:uiPriority w:val="99"/>
    <w:semiHidden/>
    <w:unhideWhenUsed/>
    <w:rsid w:val="003B4DB3"/>
    <w:rPr>
      <w:b/>
      <w:bCs/>
    </w:rPr>
  </w:style>
  <w:style w:type="character" w:customStyle="1" w:styleId="CommentSubjectChar">
    <w:name w:val="Comment Subject Char"/>
    <w:basedOn w:val="CommentTextChar"/>
    <w:link w:val="CommentSubject"/>
    <w:uiPriority w:val="99"/>
    <w:semiHidden/>
    <w:rsid w:val="003B4DB3"/>
    <w:rPr>
      <w:b/>
      <w:bCs/>
      <w:sz w:val="20"/>
      <w:szCs w:val="20"/>
    </w:rPr>
  </w:style>
  <w:style w:type="paragraph" w:styleId="Revision">
    <w:name w:val="Revision"/>
    <w:hidden/>
    <w:uiPriority w:val="99"/>
    <w:semiHidden/>
    <w:rsid w:val="0015527D"/>
    <w:pPr>
      <w:spacing w:after="0" w:line="240" w:lineRule="auto"/>
    </w:pPr>
  </w:style>
  <w:style w:type="paragraph" w:styleId="Header">
    <w:name w:val="header"/>
    <w:basedOn w:val="Normal"/>
    <w:link w:val="HeaderChar"/>
    <w:uiPriority w:val="99"/>
    <w:unhideWhenUsed/>
    <w:rsid w:val="005E6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889"/>
  </w:style>
  <w:style w:type="paragraph" w:styleId="Footer">
    <w:name w:val="footer"/>
    <w:basedOn w:val="Normal"/>
    <w:link w:val="FooterChar"/>
    <w:uiPriority w:val="99"/>
    <w:unhideWhenUsed/>
    <w:rsid w:val="005E6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665</Words>
  <Characters>3794</Characters>
  <Application>Microsoft Office Word</Application>
  <DocSecurity>0</DocSecurity>
  <Lines>31</Lines>
  <Paragraphs>8</Paragraphs>
  <ScaleCrop>false</ScaleCrop>
  <Company>Prifysgol Aberystwyth University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Lloyd [nid31] (Staff)</dc:creator>
  <cp:keywords/>
  <dc:description/>
  <cp:lastModifiedBy>Nia Lloyd [nid31] (Staff)</cp:lastModifiedBy>
  <cp:revision>13</cp:revision>
  <dcterms:created xsi:type="dcterms:W3CDTF">2023-10-31T16:58:00Z</dcterms:created>
  <dcterms:modified xsi:type="dcterms:W3CDTF">2023-11-10T13:42:00Z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2023-10-30T15:34:05Z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bf2916bd-559c-4914-a3fc-ce63aff4e217</vt:lpwstr>
  </property>
  <property fmtid="{D5CDD505-2E9C-101B-9397-08002B2CF9AE}" pid="8" name="MSIP_Label_f2dfecbd-fc97-4e8a-a9cd-19ed496c406e_ContentBits">
    <vt:lpwstr>0</vt:lpwstr>
  </property>
</Properties>
</file>