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7C79B" w14:textId="2D62BF00" w:rsidR="007B30E3" w:rsidRDefault="007B30E3">
      <w:pPr>
        <w:rPr>
          <w:b/>
          <w:bCs/>
          <w:lang w:val="en-US"/>
        </w:rPr>
      </w:pPr>
      <w:bookmarkStart w:id="0" w:name="_GoBack"/>
      <w:bookmarkEnd w:id="0"/>
      <w:r>
        <w:rPr>
          <w:b/>
          <w:bCs/>
          <w:lang w:val="en-US"/>
        </w:rPr>
        <w:t>Application</w:t>
      </w:r>
    </w:p>
    <w:p w14:paraId="362A7A43" w14:textId="77777777" w:rsidR="008D7C83" w:rsidRDefault="008D7C83" w:rsidP="008D7C83">
      <w:pPr>
        <w:pStyle w:val="Default"/>
        <w:rPr>
          <w:rFonts w:ascii="Arial" w:hAnsi="Arial" w:cs="Arial"/>
          <w:sz w:val="22"/>
          <w:szCs w:val="22"/>
        </w:rPr>
      </w:pPr>
      <w:r>
        <w:rPr>
          <w:rFonts w:ascii="Arial" w:hAnsi="Arial" w:cs="Arial"/>
          <w:sz w:val="22"/>
          <w:szCs w:val="22"/>
        </w:rPr>
        <w:t>Evaluating the impact of different dry cow treatments will contribute to design guidelines and policy to reduce antibiotic use in Irish dairy farms and to reduce the risk of antibiotic residues in milk.</w:t>
      </w:r>
    </w:p>
    <w:p w14:paraId="07C9ECB3" w14:textId="77777777" w:rsidR="007B30E3" w:rsidRDefault="007B30E3">
      <w:pPr>
        <w:rPr>
          <w:b/>
          <w:bCs/>
          <w:lang w:val="en-US"/>
        </w:rPr>
      </w:pPr>
    </w:p>
    <w:p w14:paraId="5E9F33D1" w14:textId="5CDACFAB" w:rsidR="007B30E3" w:rsidRDefault="007B30E3">
      <w:pPr>
        <w:rPr>
          <w:b/>
          <w:bCs/>
          <w:lang w:val="en-US"/>
        </w:rPr>
      </w:pPr>
      <w:r>
        <w:rPr>
          <w:b/>
          <w:bCs/>
          <w:lang w:val="en-US"/>
        </w:rPr>
        <w:t>Introduction</w:t>
      </w:r>
    </w:p>
    <w:p w14:paraId="2AA0929D" w14:textId="3962ADB6" w:rsidR="008D7C83" w:rsidRDefault="008D7C83" w:rsidP="00E878AF">
      <w:pPr>
        <w:pStyle w:val="Default"/>
        <w:jc w:val="both"/>
        <w:rPr>
          <w:rFonts w:ascii="Arial" w:hAnsi="Arial" w:cs="Arial"/>
          <w:sz w:val="22"/>
          <w:szCs w:val="22"/>
        </w:rPr>
      </w:pPr>
      <w:r>
        <w:rPr>
          <w:rFonts w:ascii="Arial" w:hAnsi="Arial" w:cs="Arial"/>
          <w:sz w:val="22"/>
          <w:szCs w:val="22"/>
        </w:rPr>
        <w:t>There is a need in Ireland for farmers to transition to non-antibiotic dry cow therapy (</w:t>
      </w:r>
      <w:r w:rsidR="00E878AF" w:rsidRPr="00E878AF">
        <w:rPr>
          <w:rFonts w:ascii="Arial" w:hAnsi="Arial" w:cs="Arial"/>
          <w:sz w:val="22"/>
          <w:szCs w:val="22"/>
        </w:rPr>
        <w:t>European Parliament and the Council of</w:t>
      </w:r>
      <w:r w:rsidR="00E878AF">
        <w:rPr>
          <w:rFonts w:ascii="Arial" w:hAnsi="Arial" w:cs="Arial"/>
          <w:sz w:val="22"/>
          <w:szCs w:val="22"/>
        </w:rPr>
        <w:t xml:space="preserve"> </w:t>
      </w:r>
      <w:r w:rsidR="00E878AF" w:rsidRPr="00E878AF">
        <w:rPr>
          <w:rFonts w:ascii="Arial" w:hAnsi="Arial" w:cs="Arial"/>
          <w:sz w:val="22"/>
          <w:szCs w:val="22"/>
        </w:rPr>
        <w:t>the European Union, 2019</w:t>
      </w:r>
      <w:r w:rsidR="00E878AF">
        <w:rPr>
          <w:rFonts w:ascii="Arial" w:hAnsi="Arial" w:cs="Arial"/>
          <w:sz w:val="22"/>
          <w:szCs w:val="22"/>
        </w:rPr>
        <w:t xml:space="preserve">; </w:t>
      </w:r>
      <w:r>
        <w:rPr>
          <w:rFonts w:ascii="Arial" w:hAnsi="Arial" w:cs="Arial"/>
          <w:sz w:val="22"/>
          <w:szCs w:val="22"/>
        </w:rPr>
        <w:t>Clabby et al., 2022). The common alternative is the use of internal teat sealants (ITS) to prevent infections during the dry period</w:t>
      </w:r>
      <w:r w:rsidR="009435E1">
        <w:rPr>
          <w:rFonts w:ascii="Arial" w:hAnsi="Arial" w:cs="Arial"/>
          <w:sz w:val="22"/>
          <w:szCs w:val="22"/>
        </w:rPr>
        <w:t xml:space="preserve"> (Bradley and Green, 2004)</w:t>
      </w:r>
      <w:r>
        <w:rPr>
          <w:rFonts w:ascii="Arial" w:hAnsi="Arial" w:cs="Arial"/>
          <w:sz w:val="22"/>
          <w:szCs w:val="22"/>
        </w:rPr>
        <w:t xml:space="preserve">. Additionally, using short acting antibiotics could reduce the risk of antibiotic residues in the bulk tank due to cows calving earlier than expected for example. </w:t>
      </w:r>
    </w:p>
    <w:p w14:paraId="6D25512C" w14:textId="77777777" w:rsidR="008D7C83" w:rsidRDefault="008D7C83" w:rsidP="008D7C83">
      <w:pPr>
        <w:pStyle w:val="Default"/>
        <w:jc w:val="both"/>
        <w:rPr>
          <w:rFonts w:ascii="Arial" w:hAnsi="Arial" w:cs="Arial"/>
          <w:sz w:val="22"/>
          <w:szCs w:val="22"/>
        </w:rPr>
      </w:pPr>
      <w:r>
        <w:rPr>
          <w:rFonts w:ascii="Arial" w:hAnsi="Arial" w:cs="Arial"/>
          <w:sz w:val="22"/>
          <w:szCs w:val="22"/>
        </w:rPr>
        <w:t>The objectives of this study were to: 1- assess the impact of using ITS alone, antibiotic alone (AB), or antibiotic plus ITS (AB+ITS) at dry-off in low somatic cell count cows (SCC, &lt;200,000 cells/mL) on somatic cell count in the following lactation; and 2- assess the impact of using a short versus a long acting antibiotic at dry-off in cows with high SCC (&gt;200,000 cells/mL).</w:t>
      </w:r>
    </w:p>
    <w:p w14:paraId="167B5498" w14:textId="77777777" w:rsidR="007B30E3" w:rsidRDefault="007B30E3">
      <w:pPr>
        <w:rPr>
          <w:b/>
          <w:bCs/>
          <w:lang w:val="en-US"/>
        </w:rPr>
      </w:pPr>
    </w:p>
    <w:p w14:paraId="1F63B1C6" w14:textId="70D2D108" w:rsidR="007B30E3" w:rsidRDefault="007B30E3">
      <w:pPr>
        <w:rPr>
          <w:b/>
          <w:bCs/>
          <w:lang w:val="en-US"/>
        </w:rPr>
      </w:pPr>
      <w:r>
        <w:rPr>
          <w:b/>
          <w:bCs/>
          <w:lang w:val="en-US"/>
        </w:rPr>
        <w:t>Materials and Methods</w:t>
      </w:r>
    </w:p>
    <w:p w14:paraId="6062A410" w14:textId="4B6AD03C" w:rsidR="008D7C83" w:rsidRDefault="00E878AF" w:rsidP="00E878AF">
      <w:pPr>
        <w:pStyle w:val="Default"/>
        <w:jc w:val="both"/>
        <w:rPr>
          <w:rFonts w:ascii="Arial" w:hAnsi="Arial" w:cs="Arial"/>
          <w:sz w:val="22"/>
          <w:szCs w:val="22"/>
        </w:rPr>
      </w:pPr>
      <w:r>
        <w:rPr>
          <w:rFonts w:ascii="Arial" w:hAnsi="Arial" w:cs="Arial"/>
          <w:sz w:val="22"/>
          <w:szCs w:val="22"/>
        </w:rPr>
        <w:t xml:space="preserve">This study was </w:t>
      </w:r>
      <w:r w:rsidRPr="00E878AF">
        <w:rPr>
          <w:rFonts w:ascii="Arial" w:hAnsi="Arial" w:cs="Arial"/>
          <w:sz w:val="22"/>
          <w:szCs w:val="22"/>
        </w:rPr>
        <w:t xml:space="preserve">approved by </w:t>
      </w:r>
      <w:proofErr w:type="spellStart"/>
      <w:r w:rsidRPr="00E878AF">
        <w:rPr>
          <w:rFonts w:ascii="Arial" w:hAnsi="Arial" w:cs="Arial"/>
          <w:sz w:val="22"/>
          <w:szCs w:val="22"/>
        </w:rPr>
        <w:t>Teagasc’s</w:t>
      </w:r>
      <w:proofErr w:type="spellEnd"/>
      <w:r w:rsidRPr="00E878AF">
        <w:rPr>
          <w:rFonts w:ascii="Arial" w:hAnsi="Arial" w:cs="Arial"/>
          <w:sz w:val="22"/>
          <w:szCs w:val="22"/>
        </w:rPr>
        <w:t xml:space="preserve"> Animal Ethics Commi</w:t>
      </w:r>
      <w:r>
        <w:rPr>
          <w:rFonts w:ascii="Arial" w:hAnsi="Arial" w:cs="Arial"/>
          <w:sz w:val="22"/>
          <w:szCs w:val="22"/>
        </w:rPr>
        <w:t xml:space="preserve">ttee (License No. 1542017), and </w:t>
      </w:r>
      <w:proofErr w:type="gramStart"/>
      <w:r w:rsidRPr="00E878AF">
        <w:rPr>
          <w:rFonts w:ascii="Arial" w:hAnsi="Arial" w:cs="Arial"/>
          <w:sz w:val="22"/>
          <w:szCs w:val="22"/>
        </w:rPr>
        <w:t>procedures</w:t>
      </w:r>
      <w:proofErr w:type="gramEnd"/>
      <w:r w:rsidRPr="00E878AF">
        <w:rPr>
          <w:rFonts w:ascii="Arial" w:hAnsi="Arial" w:cs="Arial"/>
          <w:sz w:val="22"/>
          <w:szCs w:val="22"/>
        </w:rPr>
        <w:t xml:space="preserve"> were carried out in accordance with the Health Products Regulatory</w:t>
      </w:r>
      <w:r>
        <w:rPr>
          <w:rFonts w:ascii="Arial" w:hAnsi="Arial" w:cs="Arial"/>
          <w:sz w:val="22"/>
          <w:szCs w:val="22"/>
        </w:rPr>
        <w:t xml:space="preserve"> </w:t>
      </w:r>
      <w:r w:rsidRPr="00E878AF">
        <w:rPr>
          <w:rFonts w:ascii="Arial" w:hAnsi="Arial" w:cs="Arial"/>
          <w:sz w:val="22"/>
          <w:szCs w:val="22"/>
        </w:rPr>
        <w:t>Authority (HPRA) of Ireland.</w:t>
      </w:r>
      <w:r>
        <w:rPr>
          <w:rFonts w:ascii="Arial" w:hAnsi="Arial" w:cs="Arial"/>
          <w:sz w:val="22"/>
          <w:szCs w:val="22"/>
        </w:rPr>
        <w:t xml:space="preserve"> </w:t>
      </w:r>
      <w:r w:rsidR="008D7C83">
        <w:rPr>
          <w:rFonts w:ascii="Arial" w:hAnsi="Arial" w:cs="Arial"/>
          <w:sz w:val="22"/>
          <w:szCs w:val="22"/>
        </w:rPr>
        <w:t xml:space="preserve">The study was conducted </w:t>
      </w:r>
      <w:r>
        <w:rPr>
          <w:rFonts w:ascii="Arial" w:hAnsi="Arial" w:cs="Arial"/>
          <w:sz w:val="22"/>
          <w:szCs w:val="22"/>
        </w:rPr>
        <w:t>from</w:t>
      </w:r>
      <w:r w:rsidR="008D7C83">
        <w:rPr>
          <w:rFonts w:ascii="Arial" w:hAnsi="Arial" w:cs="Arial"/>
          <w:sz w:val="22"/>
          <w:szCs w:val="22"/>
        </w:rPr>
        <w:t xml:space="preserve"> November 2017 (dry-off season) to the end of lactation of 2018 in three research herds. Herds were spring calving pasture-based systems. For the study related to objective 1 (</w:t>
      </w:r>
      <w:r w:rsidR="008D7C83" w:rsidRPr="008D7C83">
        <w:rPr>
          <w:rFonts w:ascii="Arial" w:hAnsi="Arial" w:cs="Arial"/>
          <w:b/>
          <w:sz w:val="22"/>
          <w:szCs w:val="22"/>
        </w:rPr>
        <w:t>Study 1</w:t>
      </w:r>
      <w:r w:rsidR="008D7C83">
        <w:rPr>
          <w:rFonts w:ascii="Arial" w:hAnsi="Arial" w:cs="Arial"/>
          <w:sz w:val="22"/>
          <w:szCs w:val="22"/>
        </w:rPr>
        <w:t>), cows with every test day SCC below 200,000 cells/mL were blocked according to lactation, average SCC and expected week of calving in the spring 2018. Cows within blocks were sequentially assigned to receive ITS, AB or AB+</w:t>
      </w:r>
      <w:proofErr w:type="gramStart"/>
      <w:r w:rsidR="008D7C83">
        <w:rPr>
          <w:rFonts w:ascii="Arial" w:hAnsi="Arial" w:cs="Arial"/>
          <w:sz w:val="22"/>
          <w:szCs w:val="22"/>
        </w:rPr>
        <w:t>ITS</w:t>
      </w:r>
      <w:proofErr w:type="gramEnd"/>
      <w:r w:rsidR="008D7C83">
        <w:rPr>
          <w:rFonts w:ascii="Arial" w:hAnsi="Arial" w:cs="Arial"/>
          <w:sz w:val="22"/>
          <w:szCs w:val="22"/>
        </w:rPr>
        <w:t xml:space="preserve"> </w:t>
      </w:r>
      <w:proofErr w:type="spellStart"/>
      <w:r w:rsidR="008D7C83">
        <w:rPr>
          <w:rFonts w:ascii="Arial" w:hAnsi="Arial" w:cs="Arial"/>
          <w:sz w:val="22"/>
          <w:szCs w:val="22"/>
        </w:rPr>
        <w:t>at</w:t>
      </w:r>
      <w:proofErr w:type="spellEnd"/>
      <w:r w:rsidR="008D7C83">
        <w:rPr>
          <w:rFonts w:ascii="Arial" w:hAnsi="Arial" w:cs="Arial"/>
          <w:sz w:val="22"/>
          <w:szCs w:val="22"/>
        </w:rPr>
        <w:t xml:space="preserve"> dry-off. For cows in the study related to objective 2 (</w:t>
      </w:r>
      <w:r w:rsidR="008D7C83" w:rsidRPr="008D7C83">
        <w:rPr>
          <w:rFonts w:ascii="Arial" w:hAnsi="Arial" w:cs="Arial"/>
          <w:b/>
          <w:sz w:val="22"/>
          <w:szCs w:val="22"/>
        </w:rPr>
        <w:t>Study 2</w:t>
      </w:r>
      <w:r w:rsidR="008D7C83">
        <w:rPr>
          <w:rFonts w:ascii="Arial" w:hAnsi="Arial" w:cs="Arial"/>
          <w:sz w:val="22"/>
          <w:szCs w:val="22"/>
        </w:rPr>
        <w:t xml:space="preserve">) cows which ≥1 test day SCC above 200,000 cells/mL were blocked using the same criteria as above and then were sequentially assigned to receive a short acting </w:t>
      </w:r>
      <w:proofErr w:type="spellStart"/>
      <w:r w:rsidR="008D7C83">
        <w:rPr>
          <w:rFonts w:ascii="Arial" w:hAnsi="Arial" w:cs="Arial"/>
          <w:sz w:val="22"/>
          <w:szCs w:val="22"/>
        </w:rPr>
        <w:t>Cloxacillin</w:t>
      </w:r>
      <w:proofErr w:type="spellEnd"/>
      <w:r w:rsidR="008D7C83">
        <w:rPr>
          <w:rFonts w:ascii="Arial" w:hAnsi="Arial" w:cs="Arial"/>
          <w:sz w:val="22"/>
          <w:szCs w:val="22"/>
        </w:rPr>
        <w:t xml:space="preserve"> based antibiotic + ITS (</w:t>
      </w:r>
      <w:proofErr w:type="spellStart"/>
      <w:r w:rsidR="008D7C83">
        <w:rPr>
          <w:rFonts w:ascii="Arial" w:hAnsi="Arial" w:cs="Arial"/>
          <w:sz w:val="22"/>
          <w:szCs w:val="22"/>
        </w:rPr>
        <w:t>Clox+ITS</w:t>
      </w:r>
      <w:proofErr w:type="spellEnd"/>
      <w:r w:rsidR="008D7C83">
        <w:rPr>
          <w:rFonts w:ascii="Arial" w:hAnsi="Arial" w:cs="Arial"/>
          <w:sz w:val="22"/>
          <w:szCs w:val="22"/>
        </w:rPr>
        <w:t xml:space="preserve">) or long acting </w:t>
      </w:r>
      <w:proofErr w:type="spellStart"/>
      <w:r w:rsidR="008D7C83">
        <w:rPr>
          <w:rFonts w:ascii="Arial" w:hAnsi="Arial" w:cs="Arial"/>
          <w:sz w:val="22"/>
          <w:szCs w:val="22"/>
        </w:rPr>
        <w:t>Cephalonium</w:t>
      </w:r>
      <w:proofErr w:type="spellEnd"/>
      <w:r w:rsidR="008D7C83">
        <w:rPr>
          <w:rFonts w:ascii="Arial" w:hAnsi="Arial" w:cs="Arial"/>
          <w:sz w:val="22"/>
          <w:szCs w:val="22"/>
        </w:rPr>
        <w:t xml:space="preserve"> based antibiotic (</w:t>
      </w:r>
      <w:proofErr w:type="spellStart"/>
      <w:r w:rsidR="008D7C83">
        <w:rPr>
          <w:rFonts w:ascii="Arial" w:hAnsi="Arial" w:cs="Arial"/>
          <w:sz w:val="22"/>
          <w:szCs w:val="22"/>
        </w:rPr>
        <w:t>Cep+ITS</w:t>
      </w:r>
      <w:proofErr w:type="spellEnd"/>
      <w:r w:rsidR="008D7C83">
        <w:rPr>
          <w:rFonts w:ascii="Arial" w:hAnsi="Arial" w:cs="Arial"/>
          <w:sz w:val="22"/>
          <w:szCs w:val="22"/>
        </w:rPr>
        <w:t xml:space="preserve">) at dry-off. </w:t>
      </w:r>
    </w:p>
    <w:p w14:paraId="433CD6CC" w14:textId="77777777" w:rsidR="008D7C83" w:rsidRDefault="008D7C83" w:rsidP="008D7C83">
      <w:pPr>
        <w:pStyle w:val="Default"/>
        <w:jc w:val="both"/>
        <w:rPr>
          <w:rFonts w:ascii="Arial" w:hAnsi="Arial" w:cs="Arial"/>
          <w:sz w:val="22"/>
          <w:szCs w:val="22"/>
        </w:rPr>
      </w:pPr>
      <w:r>
        <w:rPr>
          <w:rFonts w:ascii="Arial" w:hAnsi="Arial" w:cs="Arial"/>
          <w:sz w:val="22"/>
          <w:szCs w:val="22"/>
        </w:rPr>
        <w:t>Herds undertook weekly cow SCC recordings during 2018. Cow SCC was log 10-transformed (</w:t>
      </w:r>
      <w:proofErr w:type="spellStart"/>
      <w:r>
        <w:rPr>
          <w:rFonts w:ascii="Arial" w:hAnsi="Arial" w:cs="Arial"/>
          <w:sz w:val="22"/>
          <w:szCs w:val="22"/>
        </w:rPr>
        <w:t>LogSCC</w:t>
      </w:r>
      <w:proofErr w:type="spellEnd"/>
      <w:r>
        <w:rPr>
          <w:rFonts w:ascii="Arial" w:hAnsi="Arial" w:cs="Arial"/>
          <w:sz w:val="22"/>
          <w:szCs w:val="22"/>
        </w:rPr>
        <w:t xml:space="preserve">) for analysis. The effect of dry-off treatment on </w:t>
      </w:r>
      <w:proofErr w:type="spellStart"/>
      <w:r>
        <w:rPr>
          <w:rFonts w:ascii="Arial" w:hAnsi="Arial" w:cs="Arial"/>
          <w:sz w:val="22"/>
          <w:szCs w:val="22"/>
        </w:rPr>
        <w:t>LogSCC</w:t>
      </w:r>
      <w:proofErr w:type="spellEnd"/>
      <w:r>
        <w:rPr>
          <w:rFonts w:ascii="Arial" w:hAnsi="Arial" w:cs="Arial"/>
          <w:sz w:val="22"/>
          <w:szCs w:val="22"/>
        </w:rPr>
        <w:t xml:space="preserve"> was analysed using mixed models with cow within farm as a random effect and parity (2, 3, 4 and &gt;5), DIM and milk yield as covariates. The data was also analysed using raw SCC values to provide untransformed estimates, however p-values correspond to the analysis done on </w:t>
      </w:r>
      <w:proofErr w:type="spellStart"/>
      <w:r>
        <w:rPr>
          <w:rFonts w:ascii="Arial" w:hAnsi="Arial" w:cs="Arial"/>
          <w:sz w:val="22"/>
          <w:szCs w:val="22"/>
        </w:rPr>
        <w:t>LogSCC</w:t>
      </w:r>
      <w:proofErr w:type="spellEnd"/>
      <w:r>
        <w:rPr>
          <w:rFonts w:ascii="Arial" w:hAnsi="Arial" w:cs="Arial"/>
          <w:sz w:val="22"/>
          <w:szCs w:val="22"/>
        </w:rPr>
        <w:t>.</w:t>
      </w:r>
    </w:p>
    <w:p w14:paraId="31DE43A2" w14:textId="77777777" w:rsidR="007B30E3" w:rsidRDefault="007B30E3">
      <w:pPr>
        <w:rPr>
          <w:b/>
          <w:bCs/>
          <w:lang w:val="en-US"/>
        </w:rPr>
      </w:pPr>
    </w:p>
    <w:p w14:paraId="35CAF992" w14:textId="100939E9" w:rsidR="007B30E3" w:rsidRDefault="007B30E3">
      <w:pPr>
        <w:rPr>
          <w:b/>
          <w:bCs/>
          <w:lang w:val="en-US"/>
        </w:rPr>
      </w:pPr>
      <w:r>
        <w:rPr>
          <w:b/>
          <w:bCs/>
          <w:lang w:val="en-US"/>
        </w:rPr>
        <w:t>Results</w:t>
      </w:r>
    </w:p>
    <w:p w14:paraId="0EE511E9" w14:textId="77777777" w:rsidR="008D7C83" w:rsidRDefault="008D7C83" w:rsidP="008D7C83">
      <w:pPr>
        <w:pStyle w:val="Default"/>
        <w:jc w:val="both"/>
        <w:rPr>
          <w:rFonts w:ascii="Arial" w:hAnsi="Arial" w:cs="Arial"/>
          <w:b/>
          <w:sz w:val="22"/>
          <w:szCs w:val="22"/>
        </w:rPr>
      </w:pPr>
      <w:r>
        <w:rPr>
          <w:rFonts w:ascii="Arial" w:hAnsi="Arial" w:cs="Arial"/>
          <w:b/>
          <w:sz w:val="22"/>
          <w:szCs w:val="22"/>
        </w:rPr>
        <w:t>Study 1</w:t>
      </w:r>
    </w:p>
    <w:p w14:paraId="04ECCAD3" w14:textId="77777777" w:rsidR="008D7C83" w:rsidRDefault="008D7C83" w:rsidP="008D7C83">
      <w:pPr>
        <w:pStyle w:val="Default"/>
        <w:jc w:val="both"/>
        <w:rPr>
          <w:rFonts w:ascii="Arial" w:hAnsi="Arial" w:cs="Arial"/>
          <w:sz w:val="22"/>
          <w:szCs w:val="22"/>
        </w:rPr>
      </w:pPr>
      <w:r>
        <w:rPr>
          <w:rFonts w:ascii="Arial" w:hAnsi="Arial" w:cs="Arial"/>
          <w:sz w:val="22"/>
          <w:szCs w:val="22"/>
        </w:rPr>
        <w:t>Across all herds 69, 76 and 73 cows were treated with AB, ITS and AB+</w:t>
      </w:r>
      <w:proofErr w:type="gramStart"/>
      <w:r>
        <w:rPr>
          <w:rFonts w:ascii="Arial" w:hAnsi="Arial" w:cs="Arial"/>
          <w:sz w:val="22"/>
          <w:szCs w:val="22"/>
        </w:rPr>
        <w:t>ITS</w:t>
      </w:r>
      <w:proofErr w:type="gramEnd"/>
      <w:r>
        <w:rPr>
          <w:rFonts w:ascii="Arial" w:hAnsi="Arial" w:cs="Arial"/>
          <w:sz w:val="22"/>
          <w:szCs w:val="22"/>
        </w:rPr>
        <w:t xml:space="preserve"> </w:t>
      </w:r>
      <w:proofErr w:type="spellStart"/>
      <w:r>
        <w:rPr>
          <w:rFonts w:ascii="Arial" w:hAnsi="Arial" w:cs="Arial"/>
          <w:sz w:val="22"/>
          <w:szCs w:val="22"/>
        </w:rPr>
        <w:t>at</w:t>
      </w:r>
      <w:proofErr w:type="spellEnd"/>
      <w:r>
        <w:rPr>
          <w:rFonts w:ascii="Arial" w:hAnsi="Arial" w:cs="Arial"/>
          <w:sz w:val="22"/>
          <w:szCs w:val="22"/>
        </w:rPr>
        <w:t xml:space="preserve"> dry-off, respectively. In total 30 (43.4%), 22 (28.9%) and 32 (43.9%) cows had 0 high SCC (&gt;200,000 cells/mL) in the following lactation in the AB, ITS and AB+ITS groups, respectively. Eight (11.6%), 13 (17.1%) and 19 (26.0%) cows had 1 high SCC in the following lactation in the AB, ITS and AB+ITS groups, respectively. The AB, ITS and AB+ITS groups had 31 (45.0%), 41 (53.9%) and 22 (30.1%) cows, respectively with ≥2 high SCC in the following lactation. </w:t>
      </w:r>
    </w:p>
    <w:p w14:paraId="0B2DB674" w14:textId="77777777" w:rsidR="008D7C83" w:rsidRDefault="008D7C83" w:rsidP="008D7C83">
      <w:pPr>
        <w:pStyle w:val="Default"/>
        <w:jc w:val="both"/>
        <w:rPr>
          <w:rFonts w:ascii="Arial" w:hAnsi="Arial" w:cs="Arial"/>
          <w:sz w:val="22"/>
          <w:szCs w:val="22"/>
        </w:rPr>
      </w:pPr>
      <w:r>
        <w:rPr>
          <w:rFonts w:ascii="Arial" w:hAnsi="Arial" w:cs="Arial"/>
          <w:sz w:val="22"/>
          <w:szCs w:val="22"/>
        </w:rPr>
        <w:t xml:space="preserve">Dry-off treatment had a significant impact on </w:t>
      </w:r>
      <w:proofErr w:type="spellStart"/>
      <w:r>
        <w:rPr>
          <w:rFonts w:ascii="Arial" w:hAnsi="Arial" w:cs="Arial"/>
          <w:sz w:val="22"/>
          <w:szCs w:val="22"/>
        </w:rPr>
        <w:t>LogSCC</w:t>
      </w:r>
      <w:proofErr w:type="spellEnd"/>
      <w:r>
        <w:rPr>
          <w:rFonts w:ascii="Arial" w:hAnsi="Arial" w:cs="Arial"/>
          <w:sz w:val="22"/>
          <w:szCs w:val="22"/>
        </w:rPr>
        <w:t xml:space="preserve">. Cows treated with </w:t>
      </w:r>
      <w:proofErr w:type="gramStart"/>
      <w:r>
        <w:rPr>
          <w:rFonts w:ascii="Arial" w:hAnsi="Arial" w:cs="Arial"/>
          <w:sz w:val="22"/>
          <w:szCs w:val="22"/>
        </w:rPr>
        <w:t>ITS had</w:t>
      </w:r>
      <w:proofErr w:type="gramEnd"/>
      <w:r>
        <w:rPr>
          <w:rFonts w:ascii="Arial" w:hAnsi="Arial" w:cs="Arial"/>
          <w:sz w:val="22"/>
          <w:szCs w:val="22"/>
        </w:rPr>
        <w:t xml:space="preserve"> 0.21 and 0.23 higher </w:t>
      </w:r>
      <w:proofErr w:type="spellStart"/>
      <w:r>
        <w:rPr>
          <w:rFonts w:ascii="Arial" w:hAnsi="Arial" w:cs="Arial"/>
          <w:sz w:val="22"/>
          <w:szCs w:val="22"/>
        </w:rPr>
        <w:t>LogSCC</w:t>
      </w:r>
      <w:proofErr w:type="spellEnd"/>
      <w:r>
        <w:rPr>
          <w:rFonts w:ascii="Arial" w:hAnsi="Arial" w:cs="Arial"/>
          <w:sz w:val="22"/>
          <w:szCs w:val="22"/>
        </w:rPr>
        <w:t xml:space="preserve"> compared to AB+ITS and AB cows, respectively (</w:t>
      </w:r>
      <w:r>
        <w:rPr>
          <w:rFonts w:ascii="Arial" w:hAnsi="Arial" w:cs="Arial"/>
          <w:i/>
          <w:sz w:val="22"/>
          <w:szCs w:val="22"/>
        </w:rPr>
        <w:t>P</w:t>
      </w:r>
      <w:r>
        <w:rPr>
          <w:rFonts w:ascii="Arial" w:hAnsi="Arial" w:cs="Arial"/>
          <w:sz w:val="22"/>
          <w:szCs w:val="22"/>
        </w:rPr>
        <w:t xml:space="preserve"> &lt; 0.001). The AB+ITS and AB treatments were not significantly different (P = 0.7). </w:t>
      </w:r>
    </w:p>
    <w:p w14:paraId="73BD43A6" w14:textId="77777777" w:rsidR="008D7C83" w:rsidRDefault="008D7C83" w:rsidP="008D7C83">
      <w:pPr>
        <w:pStyle w:val="Default"/>
        <w:jc w:val="both"/>
        <w:rPr>
          <w:rFonts w:ascii="Arial" w:hAnsi="Arial" w:cs="Arial"/>
          <w:sz w:val="22"/>
          <w:szCs w:val="22"/>
        </w:rPr>
      </w:pPr>
    </w:p>
    <w:p w14:paraId="3ED92A65" w14:textId="77777777" w:rsidR="008D7C83" w:rsidRDefault="008D7C83" w:rsidP="008D7C83">
      <w:pPr>
        <w:pStyle w:val="Default"/>
        <w:jc w:val="both"/>
        <w:rPr>
          <w:rFonts w:ascii="Arial" w:hAnsi="Arial" w:cs="Arial"/>
          <w:sz w:val="22"/>
          <w:szCs w:val="22"/>
        </w:rPr>
      </w:pPr>
      <w:r>
        <w:rPr>
          <w:rFonts w:ascii="Arial" w:hAnsi="Arial" w:cs="Arial"/>
          <w:b/>
          <w:sz w:val="22"/>
          <w:szCs w:val="22"/>
        </w:rPr>
        <w:t>Figure 1</w:t>
      </w:r>
      <w:r>
        <w:rPr>
          <w:rFonts w:ascii="Arial" w:hAnsi="Arial" w:cs="Arial"/>
          <w:sz w:val="22"/>
          <w:szCs w:val="22"/>
        </w:rPr>
        <w:t xml:space="preserve">. Raw SCC estimates for dry-off treatments applied to low SCC cows (&lt;200,000 cells/mL). </w:t>
      </w:r>
    </w:p>
    <w:p w14:paraId="2C3C3E88" w14:textId="7879D61B" w:rsidR="008D7C83" w:rsidRDefault="008D7C83" w:rsidP="008D7C83">
      <w:pPr>
        <w:pStyle w:val="Default"/>
        <w:jc w:val="both"/>
        <w:rPr>
          <w:rFonts w:ascii="Arial" w:hAnsi="Arial" w:cs="Arial"/>
        </w:rPr>
      </w:pPr>
      <w:r>
        <w:rPr>
          <w:rFonts w:ascii="Arial" w:hAnsi="Arial" w:cs="Arial"/>
          <w:noProof/>
          <w:lang w:eastAsia="en-IE"/>
        </w:rPr>
        <w:lastRenderedPageBreak/>
        <w:drawing>
          <wp:inline distT="0" distB="0" distL="0" distR="0" wp14:anchorId="50FAB185" wp14:editId="7EDCD239">
            <wp:extent cx="457200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1E37B915" w14:textId="77777777" w:rsidR="008D7C83" w:rsidRDefault="008D7C83" w:rsidP="008D7C83">
      <w:pPr>
        <w:pStyle w:val="Default"/>
        <w:jc w:val="both"/>
        <w:rPr>
          <w:rFonts w:ascii="Arial" w:hAnsi="Arial" w:cs="Arial"/>
          <w:sz w:val="22"/>
        </w:rPr>
      </w:pPr>
      <w:r>
        <w:rPr>
          <w:rFonts w:ascii="Arial" w:hAnsi="Arial" w:cs="Arial"/>
          <w:sz w:val="22"/>
        </w:rPr>
        <w:t>* indicates a significant difference (p &lt; 0.05). Dry-off treatment: AB, antibiotic alone; AB+ITS, antibiotic plus internal teat sealant; ITS, internal teat sealant alone.</w:t>
      </w:r>
    </w:p>
    <w:p w14:paraId="5AC40DA7" w14:textId="77777777" w:rsidR="008D7C83" w:rsidRDefault="008D7C83" w:rsidP="008D7C83">
      <w:pPr>
        <w:pStyle w:val="Default"/>
        <w:jc w:val="both"/>
        <w:rPr>
          <w:rFonts w:ascii="Arial" w:hAnsi="Arial" w:cs="Arial"/>
        </w:rPr>
      </w:pPr>
    </w:p>
    <w:p w14:paraId="2E4CB442" w14:textId="77777777" w:rsidR="008D7C83" w:rsidRDefault="008D7C83" w:rsidP="008D7C83">
      <w:pPr>
        <w:pStyle w:val="Default"/>
        <w:jc w:val="both"/>
        <w:rPr>
          <w:rFonts w:ascii="Arial" w:eastAsia="Times New Roman" w:hAnsi="Arial" w:cs="Arial"/>
          <w:b/>
          <w:color w:val="auto"/>
          <w:sz w:val="22"/>
          <w:szCs w:val="22"/>
          <w:lang w:val="en-GB"/>
        </w:rPr>
      </w:pPr>
      <w:r>
        <w:rPr>
          <w:rFonts w:ascii="Arial" w:hAnsi="Arial" w:cs="Arial"/>
          <w:b/>
          <w:sz w:val="22"/>
          <w:szCs w:val="22"/>
        </w:rPr>
        <w:t>Study 2</w:t>
      </w:r>
    </w:p>
    <w:p w14:paraId="4FAC13BA" w14:textId="77777777" w:rsidR="008D7C83" w:rsidRDefault="008D7C83" w:rsidP="008D7C83">
      <w:pPr>
        <w:pStyle w:val="Default"/>
        <w:jc w:val="both"/>
        <w:rPr>
          <w:rFonts w:ascii="Arial" w:hAnsi="Arial" w:cs="Arial"/>
          <w:sz w:val="22"/>
          <w:szCs w:val="22"/>
        </w:rPr>
      </w:pPr>
      <w:r>
        <w:rPr>
          <w:rFonts w:ascii="Arial" w:hAnsi="Arial" w:cs="Arial"/>
          <w:sz w:val="22"/>
          <w:szCs w:val="22"/>
        </w:rPr>
        <w:t xml:space="preserve">144 and 146 cows were enrolled in the </w:t>
      </w:r>
      <w:proofErr w:type="spellStart"/>
      <w:r>
        <w:rPr>
          <w:rFonts w:ascii="Arial" w:hAnsi="Arial" w:cs="Arial"/>
          <w:sz w:val="22"/>
          <w:szCs w:val="22"/>
        </w:rPr>
        <w:t>Clox+ITS</w:t>
      </w:r>
      <w:proofErr w:type="spellEnd"/>
      <w:r>
        <w:rPr>
          <w:rFonts w:ascii="Arial" w:hAnsi="Arial" w:cs="Arial"/>
          <w:sz w:val="22"/>
          <w:szCs w:val="22"/>
        </w:rPr>
        <w:t xml:space="preserve"> and </w:t>
      </w:r>
      <w:proofErr w:type="spellStart"/>
      <w:r>
        <w:rPr>
          <w:rFonts w:ascii="Arial" w:hAnsi="Arial" w:cs="Arial"/>
          <w:sz w:val="22"/>
          <w:szCs w:val="22"/>
        </w:rPr>
        <w:t>Cep+ITS</w:t>
      </w:r>
      <w:proofErr w:type="spellEnd"/>
      <w:r>
        <w:rPr>
          <w:rFonts w:ascii="Arial" w:hAnsi="Arial" w:cs="Arial"/>
          <w:sz w:val="22"/>
          <w:szCs w:val="22"/>
        </w:rPr>
        <w:t xml:space="preserve"> treatment groups, respectively. In total, 46 (31.9%) and 44 (30.1%) cows had 0 high SCC in the following lactation for the </w:t>
      </w:r>
      <w:proofErr w:type="spellStart"/>
      <w:r>
        <w:rPr>
          <w:rFonts w:ascii="Arial" w:hAnsi="Arial" w:cs="Arial"/>
          <w:sz w:val="22"/>
          <w:szCs w:val="22"/>
        </w:rPr>
        <w:t>Clox+ITS</w:t>
      </w:r>
      <w:proofErr w:type="spellEnd"/>
      <w:r>
        <w:rPr>
          <w:rFonts w:ascii="Arial" w:hAnsi="Arial" w:cs="Arial"/>
          <w:sz w:val="22"/>
          <w:szCs w:val="22"/>
        </w:rPr>
        <w:t xml:space="preserve"> and </w:t>
      </w:r>
      <w:proofErr w:type="spellStart"/>
      <w:r>
        <w:rPr>
          <w:rFonts w:ascii="Arial" w:hAnsi="Arial" w:cs="Arial"/>
          <w:sz w:val="22"/>
          <w:szCs w:val="22"/>
        </w:rPr>
        <w:t>Cep+ITS</w:t>
      </w:r>
      <w:proofErr w:type="spellEnd"/>
      <w:r>
        <w:rPr>
          <w:rFonts w:ascii="Arial" w:hAnsi="Arial" w:cs="Arial"/>
          <w:sz w:val="22"/>
          <w:szCs w:val="22"/>
        </w:rPr>
        <w:t xml:space="preserve"> treatments, respectively. Seventeen (11.8%) and 22 (15.1%) cows had only 1 high SCC in the lactation for the </w:t>
      </w:r>
      <w:proofErr w:type="spellStart"/>
      <w:r>
        <w:rPr>
          <w:rFonts w:ascii="Arial" w:hAnsi="Arial" w:cs="Arial"/>
          <w:sz w:val="22"/>
          <w:szCs w:val="22"/>
        </w:rPr>
        <w:t>Clox+ITS</w:t>
      </w:r>
      <w:proofErr w:type="spellEnd"/>
      <w:r>
        <w:rPr>
          <w:rFonts w:ascii="Arial" w:hAnsi="Arial" w:cs="Arial"/>
          <w:sz w:val="22"/>
          <w:szCs w:val="22"/>
        </w:rPr>
        <w:t xml:space="preserve"> and </w:t>
      </w:r>
      <w:proofErr w:type="spellStart"/>
      <w:r>
        <w:rPr>
          <w:rFonts w:ascii="Arial" w:hAnsi="Arial" w:cs="Arial"/>
          <w:sz w:val="22"/>
          <w:szCs w:val="22"/>
        </w:rPr>
        <w:t>Cep+ITS</w:t>
      </w:r>
      <w:proofErr w:type="spellEnd"/>
      <w:r>
        <w:rPr>
          <w:rFonts w:ascii="Arial" w:hAnsi="Arial" w:cs="Arial"/>
          <w:sz w:val="22"/>
          <w:szCs w:val="22"/>
        </w:rPr>
        <w:t xml:space="preserve"> treatments, respectively. For the </w:t>
      </w:r>
      <w:proofErr w:type="spellStart"/>
      <w:r>
        <w:rPr>
          <w:rFonts w:ascii="Arial" w:hAnsi="Arial" w:cs="Arial"/>
          <w:sz w:val="22"/>
          <w:szCs w:val="22"/>
        </w:rPr>
        <w:t>Clox+ITS</w:t>
      </w:r>
      <w:proofErr w:type="spellEnd"/>
      <w:r>
        <w:rPr>
          <w:rFonts w:ascii="Arial" w:hAnsi="Arial" w:cs="Arial"/>
          <w:sz w:val="22"/>
          <w:szCs w:val="22"/>
        </w:rPr>
        <w:t xml:space="preserve"> and </w:t>
      </w:r>
      <w:proofErr w:type="spellStart"/>
      <w:r>
        <w:rPr>
          <w:rFonts w:ascii="Arial" w:hAnsi="Arial" w:cs="Arial"/>
          <w:sz w:val="22"/>
          <w:szCs w:val="22"/>
        </w:rPr>
        <w:t>Cep+ITS</w:t>
      </w:r>
      <w:proofErr w:type="spellEnd"/>
      <w:r>
        <w:rPr>
          <w:rFonts w:ascii="Arial" w:hAnsi="Arial" w:cs="Arial"/>
          <w:sz w:val="22"/>
          <w:szCs w:val="22"/>
        </w:rPr>
        <w:t xml:space="preserve"> treatments, 56 (38.8%) and 58 (39.7%) cows, respectively had ≥2 high SCC in the lactation. </w:t>
      </w:r>
    </w:p>
    <w:p w14:paraId="177DB8EA" w14:textId="77777777" w:rsidR="008D7C83" w:rsidRDefault="008D7C83" w:rsidP="008D7C83">
      <w:pPr>
        <w:pStyle w:val="Default"/>
        <w:jc w:val="both"/>
        <w:rPr>
          <w:rFonts w:ascii="Arial" w:hAnsi="Arial" w:cs="Arial"/>
          <w:sz w:val="22"/>
          <w:szCs w:val="22"/>
        </w:rPr>
      </w:pPr>
      <w:r>
        <w:rPr>
          <w:rFonts w:ascii="Arial" w:hAnsi="Arial" w:cs="Arial"/>
          <w:sz w:val="22"/>
          <w:szCs w:val="22"/>
        </w:rPr>
        <w:t xml:space="preserve">There were no significant differences in </w:t>
      </w:r>
      <w:proofErr w:type="spellStart"/>
      <w:r>
        <w:rPr>
          <w:rFonts w:ascii="Arial" w:hAnsi="Arial" w:cs="Arial"/>
          <w:sz w:val="22"/>
          <w:szCs w:val="22"/>
        </w:rPr>
        <w:t>LogSCC</w:t>
      </w:r>
      <w:proofErr w:type="spellEnd"/>
      <w:r>
        <w:rPr>
          <w:rFonts w:ascii="Arial" w:hAnsi="Arial" w:cs="Arial"/>
          <w:sz w:val="22"/>
          <w:szCs w:val="22"/>
        </w:rPr>
        <w:t xml:space="preserve"> between these two dry-off treatments. </w:t>
      </w:r>
    </w:p>
    <w:p w14:paraId="4D2BA387" w14:textId="77777777" w:rsidR="008D7C83" w:rsidRDefault="008D7C83" w:rsidP="008D7C83">
      <w:pPr>
        <w:pStyle w:val="Default"/>
        <w:jc w:val="both"/>
        <w:rPr>
          <w:rFonts w:ascii="Arial" w:hAnsi="Arial" w:cs="Arial"/>
          <w:sz w:val="22"/>
          <w:szCs w:val="22"/>
        </w:rPr>
      </w:pPr>
    </w:p>
    <w:p w14:paraId="1E2D4691" w14:textId="77777777" w:rsidR="008D7C83" w:rsidRDefault="008D7C83" w:rsidP="008D7C83">
      <w:pPr>
        <w:pStyle w:val="Default"/>
        <w:jc w:val="both"/>
        <w:rPr>
          <w:rFonts w:ascii="Arial" w:hAnsi="Arial" w:cs="Arial"/>
          <w:sz w:val="22"/>
          <w:szCs w:val="22"/>
        </w:rPr>
      </w:pPr>
      <w:r>
        <w:rPr>
          <w:rFonts w:ascii="Arial" w:hAnsi="Arial" w:cs="Arial"/>
          <w:b/>
          <w:sz w:val="22"/>
          <w:szCs w:val="22"/>
        </w:rPr>
        <w:t>Figure 2</w:t>
      </w:r>
      <w:r>
        <w:rPr>
          <w:rFonts w:ascii="Arial" w:hAnsi="Arial" w:cs="Arial"/>
          <w:sz w:val="22"/>
          <w:szCs w:val="22"/>
        </w:rPr>
        <w:t>. Raw SCC estimates for dry-off treatments applied to high SCC cows (&gt;200,000 cells/mL).</w:t>
      </w:r>
    </w:p>
    <w:p w14:paraId="49F8D7F5" w14:textId="1FB92F8F" w:rsidR="008D7C83" w:rsidRDefault="008D7C83" w:rsidP="008D7C83">
      <w:pPr>
        <w:pStyle w:val="Default"/>
        <w:jc w:val="both"/>
        <w:rPr>
          <w:rFonts w:ascii="Arial" w:hAnsi="Arial" w:cs="Arial"/>
        </w:rPr>
      </w:pPr>
      <w:r>
        <w:rPr>
          <w:rFonts w:ascii="Arial" w:hAnsi="Arial" w:cs="Arial"/>
          <w:noProof/>
          <w:lang w:eastAsia="en-IE"/>
        </w:rPr>
        <w:drawing>
          <wp:inline distT="0" distB="0" distL="0" distR="0" wp14:anchorId="3C79274A" wp14:editId="4D8FC659">
            <wp:extent cx="45720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r>
        <w:rPr>
          <w:rFonts w:ascii="Arial" w:hAnsi="Arial" w:cs="Arial"/>
        </w:rPr>
        <w:t xml:space="preserve"> </w:t>
      </w:r>
    </w:p>
    <w:p w14:paraId="6A819D14" w14:textId="77777777" w:rsidR="008D7C83" w:rsidRDefault="008D7C83" w:rsidP="008D7C83">
      <w:pPr>
        <w:pStyle w:val="Default"/>
        <w:jc w:val="both"/>
        <w:rPr>
          <w:rFonts w:ascii="Arial" w:hAnsi="Arial" w:cs="Arial"/>
          <w:sz w:val="22"/>
        </w:rPr>
      </w:pPr>
      <w:r>
        <w:rPr>
          <w:rFonts w:ascii="Arial" w:hAnsi="Arial" w:cs="Arial"/>
          <w:sz w:val="22"/>
        </w:rPr>
        <w:t>Dry-off treatment: CEP+</w:t>
      </w:r>
      <w:proofErr w:type="gramStart"/>
      <w:r>
        <w:rPr>
          <w:rFonts w:ascii="Arial" w:hAnsi="Arial" w:cs="Arial"/>
          <w:sz w:val="22"/>
        </w:rPr>
        <w:t>ITS</w:t>
      </w:r>
      <w:proofErr w:type="gramEnd"/>
      <w:r>
        <w:rPr>
          <w:rFonts w:ascii="Arial" w:hAnsi="Arial" w:cs="Arial"/>
          <w:sz w:val="22"/>
        </w:rPr>
        <w:t xml:space="preserve">, </w:t>
      </w:r>
      <w:proofErr w:type="spellStart"/>
      <w:r>
        <w:rPr>
          <w:rFonts w:ascii="Arial" w:hAnsi="Arial" w:cs="Arial"/>
          <w:sz w:val="22"/>
        </w:rPr>
        <w:t>Cephalonium</w:t>
      </w:r>
      <w:proofErr w:type="spellEnd"/>
      <w:r>
        <w:rPr>
          <w:rFonts w:ascii="Arial" w:hAnsi="Arial" w:cs="Arial"/>
          <w:sz w:val="22"/>
        </w:rPr>
        <w:t xml:space="preserve"> based antibiotic plus internal teat sealant; CLOX+ITS, </w:t>
      </w:r>
      <w:proofErr w:type="spellStart"/>
      <w:r>
        <w:rPr>
          <w:rFonts w:ascii="Arial" w:hAnsi="Arial" w:cs="Arial"/>
          <w:sz w:val="22"/>
        </w:rPr>
        <w:t>Cloxacillin</w:t>
      </w:r>
      <w:proofErr w:type="spellEnd"/>
      <w:r>
        <w:rPr>
          <w:rFonts w:ascii="Arial" w:hAnsi="Arial" w:cs="Arial"/>
          <w:sz w:val="22"/>
        </w:rPr>
        <w:t xml:space="preserve"> based antibiotic plus internal teat sealant.</w:t>
      </w:r>
    </w:p>
    <w:p w14:paraId="4CFF6567" w14:textId="77777777" w:rsidR="008D7C83" w:rsidRDefault="008D7C83">
      <w:pPr>
        <w:rPr>
          <w:b/>
          <w:bCs/>
          <w:lang w:val="en-US"/>
        </w:rPr>
      </w:pPr>
    </w:p>
    <w:p w14:paraId="3D5C9672" w14:textId="14449DC3" w:rsidR="007B30E3" w:rsidRDefault="007B30E3">
      <w:pPr>
        <w:rPr>
          <w:b/>
          <w:bCs/>
          <w:lang w:val="en-US"/>
        </w:rPr>
      </w:pPr>
    </w:p>
    <w:p w14:paraId="68E461EC" w14:textId="317E8356" w:rsidR="007B30E3" w:rsidRDefault="007B30E3">
      <w:pPr>
        <w:rPr>
          <w:b/>
          <w:bCs/>
          <w:lang w:val="en-US"/>
        </w:rPr>
      </w:pPr>
      <w:r>
        <w:rPr>
          <w:b/>
          <w:bCs/>
          <w:lang w:val="en-US"/>
        </w:rPr>
        <w:t>Conclusions</w:t>
      </w:r>
    </w:p>
    <w:p w14:paraId="39628FF3" w14:textId="0F108E8E" w:rsidR="008D7C83" w:rsidRDefault="008D7C83" w:rsidP="008D7C83">
      <w:pPr>
        <w:pStyle w:val="Default"/>
        <w:jc w:val="both"/>
        <w:rPr>
          <w:rFonts w:ascii="Arial" w:hAnsi="Arial" w:cs="Arial"/>
          <w:sz w:val="22"/>
          <w:szCs w:val="22"/>
        </w:rPr>
      </w:pPr>
      <w:r>
        <w:rPr>
          <w:rFonts w:ascii="Arial" w:hAnsi="Arial" w:cs="Arial"/>
          <w:sz w:val="22"/>
          <w:szCs w:val="22"/>
        </w:rPr>
        <w:lastRenderedPageBreak/>
        <w:t xml:space="preserve">Using ITS alone increased SCC in the following lactation compared to antibiotic alone or combined with internal teat sealant. </w:t>
      </w:r>
      <w:r w:rsidR="00E878AF">
        <w:rPr>
          <w:rFonts w:ascii="Arial" w:hAnsi="Arial" w:cs="Arial"/>
          <w:sz w:val="22"/>
          <w:szCs w:val="22"/>
        </w:rPr>
        <w:t xml:space="preserve">This is consistent with other Irish studies but different to international studies. </w:t>
      </w:r>
      <w:r>
        <w:rPr>
          <w:rFonts w:ascii="Arial" w:hAnsi="Arial" w:cs="Arial"/>
          <w:sz w:val="22"/>
          <w:szCs w:val="22"/>
        </w:rPr>
        <w:t>This could be due to lack of cure of infections not detected by using a 200,000 cells/mL SCC cut-point or new infections over the dry period.</w:t>
      </w:r>
      <w:r w:rsidR="00E878AF">
        <w:rPr>
          <w:rFonts w:ascii="Arial" w:hAnsi="Arial" w:cs="Arial"/>
          <w:sz w:val="22"/>
          <w:szCs w:val="22"/>
        </w:rPr>
        <w:t xml:space="preserve"> In previous Irish studies, there is evidence of a high level of new infections when treating cows with ITS alone, which would suggest that more focus needs to be placed on the dry-off procedure and the dry cow management.</w:t>
      </w:r>
      <w:r>
        <w:rPr>
          <w:rFonts w:ascii="Arial" w:hAnsi="Arial" w:cs="Arial"/>
          <w:sz w:val="22"/>
          <w:szCs w:val="22"/>
        </w:rPr>
        <w:t xml:space="preserve"> We found no differences on SCC by treating cows with a short acting or long acting antibiotic at dry-off in high SCC cows,</w:t>
      </w:r>
      <w:r w:rsidR="00E878AF">
        <w:rPr>
          <w:rFonts w:ascii="Arial" w:hAnsi="Arial" w:cs="Arial"/>
          <w:sz w:val="22"/>
          <w:szCs w:val="22"/>
        </w:rPr>
        <w:t xml:space="preserve"> even if they had different active principles. This suggests that</w:t>
      </w:r>
      <w:r>
        <w:rPr>
          <w:rFonts w:ascii="Arial" w:hAnsi="Arial" w:cs="Arial"/>
          <w:sz w:val="22"/>
          <w:szCs w:val="22"/>
        </w:rPr>
        <w:t xml:space="preserve"> adequate capacity to cure existing infections at the end of lactation</w:t>
      </w:r>
      <w:r w:rsidR="00E878AF">
        <w:rPr>
          <w:rFonts w:ascii="Arial" w:hAnsi="Arial" w:cs="Arial"/>
          <w:sz w:val="22"/>
          <w:szCs w:val="22"/>
        </w:rPr>
        <w:t xml:space="preserve"> was achieved by</w:t>
      </w:r>
      <w:r>
        <w:rPr>
          <w:rFonts w:ascii="Arial" w:hAnsi="Arial" w:cs="Arial"/>
          <w:sz w:val="22"/>
          <w:szCs w:val="22"/>
        </w:rPr>
        <w:t xml:space="preserve"> both products</w:t>
      </w:r>
      <w:r w:rsidR="00E878AF">
        <w:rPr>
          <w:rFonts w:ascii="Arial" w:hAnsi="Arial" w:cs="Arial"/>
          <w:sz w:val="22"/>
          <w:szCs w:val="22"/>
        </w:rPr>
        <w:t xml:space="preserve"> and that no additional new infections occurred during the dry period as a result of using a short acting antibiotic</w:t>
      </w:r>
      <w:r>
        <w:rPr>
          <w:rFonts w:ascii="Arial" w:hAnsi="Arial" w:cs="Arial"/>
          <w:sz w:val="22"/>
          <w:szCs w:val="22"/>
        </w:rPr>
        <w:t xml:space="preserve">. </w:t>
      </w:r>
    </w:p>
    <w:p w14:paraId="41A3C7EB" w14:textId="77777777" w:rsidR="007B30E3" w:rsidRDefault="007B30E3">
      <w:pPr>
        <w:rPr>
          <w:b/>
          <w:bCs/>
          <w:lang w:val="en-US"/>
        </w:rPr>
      </w:pPr>
    </w:p>
    <w:p w14:paraId="0ADB320F" w14:textId="153934B9" w:rsidR="007B30E3" w:rsidRDefault="007B30E3">
      <w:pPr>
        <w:rPr>
          <w:b/>
          <w:bCs/>
          <w:lang w:val="en-US"/>
        </w:rPr>
      </w:pPr>
      <w:r>
        <w:rPr>
          <w:b/>
          <w:bCs/>
          <w:lang w:val="en-US"/>
        </w:rPr>
        <w:t>References</w:t>
      </w:r>
    </w:p>
    <w:p w14:paraId="4D5904C3" w14:textId="77777777" w:rsidR="008D7C83" w:rsidRDefault="008D7C83" w:rsidP="008D7C83">
      <w:pPr>
        <w:pStyle w:val="Default"/>
        <w:jc w:val="both"/>
        <w:rPr>
          <w:rFonts w:ascii="Arial" w:hAnsi="Arial" w:cs="Arial"/>
          <w:b/>
          <w:color w:val="000000" w:themeColor="text1"/>
          <w:sz w:val="22"/>
          <w:szCs w:val="22"/>
        </w:rPr>
      </w:pPr>
      <w:r>
        <w:rPr>
          <w:rFonts w:ascii="Arial" w:hAnsi="Arial" w:cs="Arial"/>
          <w:color w:val="000000" w:themeColor="text1"/>
          <w:sz w:val="22"/>
          <w:szCs w:val="22"/>
          <w:shd w:val="clear" w:color="auto" w:fill="FFFFFF"/>
        </w:rPr>
        <w:t xml:space="preserve">Clabby, C., </w:t>
      </w:r>
      <w:proofErr w:type="spellStart"/>
      <w:r>
        <w:rPr>
          <w:rFonts w:ascii="Arial" w:hAnsi="Arial" w:cs="Arial"/>
          <w:color w:val="000000" w:themeColor="text1"/>
          <w:sz w:val="22"/>
          <w:szCs w:val="22"/>
          <w:shd w:val="clear" w:color="auto" w:fill="FFFFFF"/>
        </w:rPr>
        <w:t>McParland</w:t>
      </w:r>
      <w:proofErr w:type="spellEnd"/>
      <w:r>
        <w:rPr>
          <w:rFonts w:ascii="Arial" w:hAnsi="Arial" w:cs="Arial"/>
          <w:color w:val="000000" w:themeColor="text1"/>
          <w:sz w:val="22"/>
          <w:szCs w:val="22"/>
          <w:shd w:val="clear" w:color="auto" w:fill="FFFFFF"/>
        </w:rPr>
        <w:t xml:space="preserve">, S., Dillon, P., </w:t>
      </w:r>
      <w:proofErr w:type="spellStart"/>
      <w:r>
        <w:rPr>
          <w:rFonts w:ascii="Arial" w:hAnsi="Arial" w:cs="Arial"/>
          <w:color w:val="000000" w:themeColor="text1"/>
          <w:sz w:val="22"/>
          <w:szCs w:val="22"/>
          <w:shd w:val="clear" w:color="auto" w:fill="FFFFFF"/>
        </w:rPr>
        <w:t>Arkins</w:t>
      </w:r>
      <w:proofErr w:type="spellEnd"/>
      <w:r>
        <w:rPr>
          <w:rFonts w:ascii="Arial" w:hAnsi="Arial" w:cs="Arial"/>
          <w:color w:val="000000" w:themeColor="text1"/>
          <w:sz w:val="22"/>
          <w:szCs w:val="22"/>
          <w:shd w:val="clear" w:color="auto" w:fill="FFFFFF"/>
        </w:rPr>
        <w:t xml:space="preserve">, S., Flynn, J., Murphy, J., and Silva </w:t>
      </w:r>
      <w:proofErr w:type="spellStart"/>
      <w:r>
        <w:rPr>
          <w:rFonts w:ascii="Arial" w:hAnsi="Arial" w:cs="Arial"/>
          <w:color w:val="000000" w:themeColor="text1"/>
          <w:sz w:val="22"/>
          <w:szCs w:val="22"/>
          <w:shd w:val="clear" w:color="auto" w:fill="FFFFFF"/>
        </w:rPr>
        <w:t>Boloña</w:t>
      </w:r>
      <w:proofErr w:type="spellEnd"/>
      <w:r>
        <w:rPr>
          <w:rFonts w:ascii="Arial" w:hAnsi="Arial" w:cs="Arial"/>
          <w:color w:val="000000" w:themeColor="text1"/>
          <w:sz w:val="22"/>
          <w:szCs w:val="22"/>
          <w:shd w:val="clear" w:color="auto" w:fill="FFFFFF"/>
        </w:rPr>
        <w:t>, P. 2022. Internal teat sealants alone or in combination with antibiotics at dry-off–the effect on udder health in dairy cows in five commercial herds. </w:t>
      </w:r>
      <w:r>
        <w:rPr>
          <w:rFonts w:ascii="Arial" w:hAnsi="Arial" w:cs="Arial"/>
          <w:i/>
          <w:iCs/>
          <w:color w:val="000000" w:themeColor="text1"/>
          <w:sz w:val="22"/>
          <w:szCs w:val="22"/>
          <w:shd w:val="clear" w:color="auto" w:fill="FFFFFF"/>
        </w:rPr>
        <w:t>Animal</w:t>
      </w:r>
      <w:r>
        <w:rPr>
          <w:rFonts w:ascii="Arial" w:hAnsi="Arial" w:cs="Arial"/>
          <w:color w:val="000000" w:themeColor="text1"/>
          <w:sz w:val="22"/>
          <w:szCs w:val="22"/>
          <w:shd w:val="clear" w:color="auto" w:fill="FFFFFF"/>
        </w:rPr>
        <w:t>, </w:t>
      </w:r>
      <w:r>
        <w:rPr>
          <w:rFonts w:ascii="Arial" w:hAnsi="Arial" w:cs="Arial"/>
          <w:i/>
          <w:iCs/>
          <w:color w:val="000000" w:themeColor="text1"/>
          <w:sz w:val="22"/>
          <w:szCs w:val="22"/>
          <w:shd w:val="clear" w:color="auto" w:fill="FFFFFF"/>
        </w:rPr>
        <w:t>16</w:t>
      </w:r>
      <w:r>
        <w:rPr>
          <w:rFonts w:ascii="Arial" w:hAnsi="Arial" w:cs="Arial"/>
          <w:color w:val="000000" w:themeColor="text1"/>
          <w:sz w:val="22"/>
          <w:szCs w:val="22"/>
          <w:shd w:val="clear" w:color="auto" w:fill="FFFFFF"/>
        </w:rPr>
        <w:t>(2), 100449.</w:t>
      </w:r>
    </w:p>
    <w:p w14:paraId="6B187F1C" w14:textId="19AEEF4B" w:rsidR="008D7C83" w:rsidRDefault="008D7C83" w:rsidP="008D7C83">
      <w:pPr>
        <w:pStyle w:val="Default"/>
        <w:jc w:val="both"/>
        <w:rPr>
          <w:rFonts w:ascii="Arial" w:hAnsi="Arial" w:cs="Arial"/>
        </w:rPr>
      </w:pPr>
    </w:p>
    <w:p w14:paraId="671ED15B" w14:textId="67C7960E" w:rsidR="00E878AF" w:rsidRDefault="00E878AF" w:rsidP="00E878AF">
      <w:pPr>
        <w:pStyle w:val="Default"/>
        <w:jc w:val="both"/>
        <w:rPr>
          <w:rFonts w:ascii="Arial" w:hAnsi="Arial" w:cs="Arial"/>
          <w:sz w:val="22"/>
        </w:rPr>
      </w:pPr>
      <w:r w:rsidRPr="00E878AF">
        <w:rPr>
          <w:rFonts w:ascii="Arial" w:hAnsi="Arial" w:cs="Arial"/>
          <w:sz w:val="22"/>
        </w:rPr>
        <w:t>European Parliament and the Council of the European Union. 2019. Regulation 2019/6 of the European Parliament and of the Council of 11 December 2018 on veterinary medicinal products and repealing Directive 2001/82/EC. Off. J. Eur. Union L 4:43–167.</w:t>
      </w:r>
    </w:p>
    <w:p w14:paraId="6ED47BF0" w14:textId="54FECD77" w:rsidR="00E878AF" w:rsidRDefault="00E878AF" w:rsidP="00E878AF">
      <w:pPr>
        <w:pStyle w:val="Default"/>
        <w:jc w:val="both"/>
        <w:rPr>
          <w:rFonts w:ascii="Arial" w:hAnsi="Arial" w:cs="Arial"/>
          <w:sz w:val="22"/>
        </w:rPr>
      </w:pPr>
    </w:p>
    <w:p w14:paraId="4E1D2286" w14:textId="126C148B" w:rsidR="00E878AF" w:rsidRPr="00E878AF" w:rsidRDefault="00E878AF" w:rsidP="00E878AF">
      <w:pPr>
        <w:pStyle w:val="Default"/>
        <w:jc w:val="both"/>
        <w:rPr>
          <w:rFonts w:ascii="Arial" w:hAnsi="Arial" w:cs="Arial"/>
          <w:sz w:val="22"/>
        </w:rPr>
      </w:pPr>
      <w:r w:rsidRPr="00E878AF">
        <w:rPr>
          <w:rFonts w:ascii="Arial" w:hAnsi="Arial" w:cs="Arial"/>
          <w:sz w:val="22"/>
        </w:rPr>
        <w:t xml:space="preserve">Bradley, A. J., and M. J. Green. 2004. The importance of the </w:t>
      </w:r>
      <w:proofErr w:type="spellStart"/>
      <w:r w:rsidRPr="00E878AF">
        <w:rPr>
          <w:rFonts w:ascii="Arial" w:hAnsi="Arial" w:cs="Arial"/>
          <w:sz w:val="22"/>
        </w:rPr>
        <w:t>nonlactating</w:t>
      </w:r>
      <w:proofErr w:type="spellEnd"/>
      <w:r>
        <w:rPr>
          <w:rFonts w:ascii="Arial" w:hAnsi="Arial" w:cs="Arial"/>
          <w:sz w:val="22"/>
        </w:rPr>
        <w:t xml:space="preserve"> </w:t>
      </w:r>
      <w:r w:rsidRPr="00E878AF">
        <w:rPr>
          <w:rFonts w:ascii="Arial" w:hAnsi="Arial" w:cs="Arial"/>
          <w:sz w:val="22"/>
        </w:rPr>
        <w:t xml:space="preserve">period in the epidemiology of </w:t>
      </w:r>
      <w:proofErr w:type="spellStart"/>
      <w:r w:rsidRPr="00E878AF">
        <w:rPr>
          <w:rFonts w:ascii="Arial" w:hAnsi="Arial" w:cs="Arial"/>
          <w:sz w:val="22"/>
        </w:rPr>
        <w:t>intramammary</w:t>
      </w:r>
      <w:proofErr w:type="spellEnd"/>
      <w:r w:rsidRPr="00E878AF">
        <w:rPr>
          <w:rFonts w:ascii="Arial" w:hAnsi="Arial" w:cs="Arial"/>
          <w:sz w:val="22"/>
        </w:rPr>
        <w:t xml:space="preserve"> infection and strategies</w:t>
      </w:r>
      <w:r>
        <w:rPr>
          <w:rFonts w:ascii="Arial" w:hAnsi="Arial" w:cs="Arial"/>
          <w:sz w:val="22"/>
        </w:rPr>
        <w:t xml:space="preserve"> </w:t>
      </w:r>
      <w:r w:rsidRPr="00E878AF">
        <w:rPr>
          <w:rFonts w:ascii="Arial" w:hAnsi="Arial" w:cs="Arial"/>
          <w:sz w:val="22"/>
        </w:rPr>
        <w:t xml:space="preserve">for prevention. Vet. </w:t>
      </w:r>
      <w:proofErr w:type="spellStart"/>
      <w:r w:rsidRPr="00E878AF">
        <w:rPr>
          <w:rFonts w:ascii="Arial" w:hAnsi="Arial" w:cs="Arial"/>
          <w:sz w:val="22"/>
        </w:rPr>
        <w:t>Clin</w:t>
      </w:r>
      <w:proofErr w:type="spellEnd"/>
      <w:r w:rsidRPr="00E878AF">
        <w:rPr>
          <w:rFonts w:ascii="Arial" w:hAnsi="Arial" w:cs="Arial"/>
          <w:sz w:val="22"/>
        </w:rPr>
        <w:t xml:space="preserve">. North Am. Food Anim. </w:t>
      </w:r>
      <w:proofErr w:type="spellStart"/>
      <w:r w:rsidRPr="00E878AF">
        <w:rPr>
          <w:rFonts w:ascii="Arial" w:hAnsi="Arial" w:cs="Arial"/>
          <w:sz w:val="22"/>
        </w:rPr>
        <w:t>Pract</w:t>
      </w:r>
      <w:proofErr w:type="spellEnd"/>
      <w:r w:rsidRPr="00E878AF">
        <w:rPr>
          <w:rFonts w:ascii="Arial" w:hAnsi="Arial" w:cs="Arial"/>
          <w:sz w:val="22"/>
        </w:rPr>
        <w:t>. 20:547–568.</w:t>
      </w:r>
      <w:r>
        <w:rPr>
          <w:rFonts w:ascii="Arial" w:hAnsi="Arial" w:cs="Arial"/>
          <w:sz w:val="22"/>
        </w:rPr>
        <w:t xml:space="preserve"> </w:t>
      </w:r>
      <w:hyperlink r:id="rId10" w:history="1">
        <w:r w:rsidRPr="00CD55B4">
          <w:rPr>
            <w:rStyle w:val="Hyperlink"/>
            <w:rFonts w:ascii="Arial" w:hAnsi="Arial" w:cs="Arial"/>
            <w:sz w:val="22"/>
          </w:rPr>
          <w:t>https://doi.org/10.1016/j.cvfa.2004.06.010</w:t>
        </w:r>
      </w:hyperlink>
      <w:r w:rsidRPr="00E878AF">
        <w:rPr>
          <w:rFonts w:ascii="Arial" w:hAnsi="Arial" w:cs="Arial"/>
          <w:sz w:val="22"/>
        </w:rPr>
        <w:t>.</w:t>
      </w:r>
      <w:r>
        <w:rPr>
          <w:rFonts w:ascii="Arial" w:hAnsi="Arial" w:cs="Arial"/>
          <w:sz w:val="22"/>
        </w:rPr>
        <w:t xml:space="preserve"> </w:t>
      </w:r>
    </w:p>
    <w:p w14:paraId="4EA84FB5" w14:textId="77777777" w:rsidR="008D7C83" w:rsidRPr="00E878AF" w:rsidRDefault="008D7C83">
      <w:pPr>
        <w:rPr>
          <w:b/>
          <w:bCs/>
          <w:sz w:val="20"/>
          <w:lang w:val="en-US"/>
        </w:rPr>
      </w:pPr>
    </w:p>
    <w:sectPr w:rsidR="008D7C83" w:rsidRPr="00E878AF"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E3"/>
    <w:rsid w:val="00383DCD"/>
    <w:rsid w:val="00397193"/>
    <w:rsid w:val="005033B7"/>
    <w:rsid w:val="00625B14"/>
    <w:rsid w:val="007B30E3"/>
    <w:rsid w:val="008D7C83"/>
    <w:rsid w:val="00933E8C"/>
    <w:rsid w:val="009435E1"/>
    <w:rsid w:val="00B52E4E"/>
    <w:rsid w:val="00C53AE2"/>
    <w:rsid w:val="00C95030"/>
    <w:rsid w:val="00DD21B5"/>
    <w:rsid w:val="00E27EE6"/>
    <w:rsid w:val="00E87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character" w:customStyle="1" w:styleId="DefaultChar">
    <w:name w:val="Default Char"/>
    <w:basedOn w:val="DefaultParagraphFont"/>
    <w:link w:val="Default"/>
    <w:locked/>
    <w:rsid w:val="008D7C83"/>
    <w:rPr>
      <w:rFonts w:ascii="Bookman Old Style" w:hAnsi="Bookman Old Style" w:cs="Bookman Old Style"/>
      <w:color w:val="000000"/>
      <w:sz w:val="24"/>
      <w:szCs w:val="24"/>
      <w:lang w:val="en-IE"/>
    </w:rPr>
  </w:style>
  <w:style w:type="paragraph" w:customStyle="1" w:styleId="Default">
    <w:name w:val="Default"/>
    <w:link w:val="DefaultChar"/>
    <w:rsid w:val="008D7C83"/>
    <w:pPr>
      <w:autoSpaceDE w:val="0"/>
      <w:autoSpaceDN w:val="0"/>
      <w:adjustRightInd w:val="0"/>
      <w:spacing w:after="0" w:line="240" w:lineRule="auto"/>
    </w:pPr>
    <w:rPr>
      <w:rFonts w:ascii="Bookman Old Style" w:hAnsi="Bookman Old Style" w:cs="Bookman Old Style"/>
      <w:color w:val="000000"/>
      <w:sz w:val="24"/>
      <w:szCs w:val="24"/>
      <w:lang w:val="en-IE"/>
    </w:rPr>
  </w:style>
  <w:style w:type="character" w:styleId="Hyperlink">
    <w:name w:val="Hyperlink"/>
    <w:basedOn w:val="DefaultParagraphFont"/>
    <w:uiPriority w:val="99"/>
    <w:unhideWhenUsed/>
    <w:rsid w:val="00E878A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437437">
      <w:bodyDiv w:val="1"/>
      <w:marLeft w:val="0"/>
      <w:marRight w:val="0"/>
      <w:marTop w:val="0"/>
      <w:marBottom w:val="0"/>
      <w:divBdr>
        <w:top w:val="none" w:sz="0" w:space="0" w:color="auto"/>
        <w:left w:val="none" w:sz="0" w:space="0" w:color="auto"/>
        <w:bottom w:val="none" w:sz="0" w:space="0" w:color="auto"/>
        <w:right w:val="none" w:sz="0" w:space="0" w:color="auto"/>
      </w:divBdr>
    </w:div>
    <w:div w:id="1485003664">
      <w:bodyDiv w:val="1"/>
      <w:marLeft w:val="0"/>
      <w:marRight w:val="0"/>
      <w:marTop w:val="0"/>
      <w:marBottom w:val="0"/>
      <w:divBdr>
        <w:top w:val="none" w:sz="0" w:space="0" w:color="auto"/>
        <w:left w:val="none" w:sz="0" w:space="0" w:color="auto"/>
        <w:bottom w:val="none" w:sz="0" w:space="0" w:color="auto"/>
        <w:right w:val="none" w:sz="0" w:space="0" w:color="auto"/>
      </w:divBdr>
    </w:div>
    <w:div w:id="1590239911">
      <w:bodyDiv w:val="1"/>
      <w:marLeft w:val="0"/>
      <w:marRight w:val="0"/>
      <w:marTop w:val="0"/>
      <w:marBottom w:val="0"/>
      <w:divBdr>
        <w:top w:val="none" w:sz="0" w:space="0" w:color="auto"/>
        <w:left w:val="none" w:sz="0" w:space="0" w:color="auto"/>
        <w:bottom w:val="none" w:sz="0" w:space="0" w:color="auto"/>
        <w:right w:val="none" w:sz="0" w:space="0" w:color="auto"/>
      </w:divBdr>
    </w:div>
    <w:div w:id="1688749291">
      <w:bodyDiv w:val="1"/>
      <w:marLeft w:val="0"/>
      <w:marRight w:val="0"/>
      <w:marTop w:val="0"/>
      <w:marBottom w:val="0"/>
      <w:divBdr>
        <w:top w:val="none" w:sz="0" w:space="0" w:color="auto"/>
        <w:left w:val="none" w:sz="0" w:space="0" w:color="auto"/>
        <w:bottom w:val="none" w:sz="0" w:space="0" w:color="auto"/>
        <w:right w:val="none" w:sz="0" w:space="0" w:color="auto"/>
      </w:divBdr>
    </w:div>
    <w:div w:id="1742409578">
      <w:bodyDiv w:val="1"/>
      <w:marLeft w:val="0"/>
      <w:marRight w:val="0"/>
      <w:marTop w:val="0"/>
      <w:marBottom w:val="0"/>
      <w:divBdr>
        <w:top w:val="none" w:sz="0" w:space="0" w:color="auto"/>
        <w:left w:val="none" w:sz="0" w:space="0" w:color="auto"/>
        <w:bottom w:val="none" w:sz="0" w:space="0" w:color="auto"/>
        <w:right w:val="none" w:sz="0" w:space="0" w:color="auto"/>
      </w:divBdr>
    </w:div>
    <w:div w:id="177814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oi.org/10.1016/j.cvfa.2004.06.010"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75F59A96E3C1458557BC12676D595F" ma:contentTypeVersion="11" ma:contentTypeDescription="Create a new document." ma:contentTypeScope="" ma:versionID="cd70685b46b47e6b9969dd742316530f">
  <xsd:schema xmlns:xsd="http://www.w3.org/2001/XMLSchema" xmlns:xs="http://www.w3.org/2001/XMLSchema" xmlns:p="http://schemas.microsoft.com/office/2006/metadata/properties" xmlns:ns3="4da57eb5-ed2a-4d5e-87ac-d5b6b24ed98a" targetNamespace="http://schemas.microsoft.com/office/2006/metadata/properties" ma:root="true" ma:fieldsID="9d22245b777a45d24fd02fd962776439" ns3:_="">
    <xsd:import namespace="4da57eb5-ed2a-4d5e-87ac-d5b6b24ed98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57eb5-ed2a-4d5e-87ac-d5b6b24ed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da57eb5-ed2a-4d5e-87ac-d5b6b24ed98a" xsi:nil="true"/>
  </documentManagement>
</p:properties>
</file>

<file path=customXml/itemProps1.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2.xml><?xml version="1.0" encoding="utf-8"?>
<ds:datastoreItem xmlns:ds="http://schemas.openxmlformats.org/officeDocument/2006/customXml" ds:itemID="{9FA5316F-2405-416A-832F-13796A011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57eb5-ed2a-4d5e-87ac-d5b6b24ed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E998D-96EF-4A0A-B53A-07C2AB504375}">
  <ds:schemaRefs>
    <ds:schemaRef ds:uri="http://purl.org/dc/terms/"/>
    <ds:schemaRef ds:uri="http://www.w3.org/XML/1998/namespace"/>
    <ds:schemaRef ds:uri="http://purl.org/dc/dcmitype/"/>
    <ds:schemaRef ds:uri="http://schemas.microsoft.com/office/2006/documentManagement/types"/>
    <ds:schemaRef ds:uri="http://purl.org/dc/elements/1.1/"/>
    <ds:schemaRef ds:uri="4da57eb5-ed2a-4d5e-87ac-d5b6b24ed98a"/>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Pablo Silva Bolona</cp:lastModifiedBy>
  <cp:revision>3</cp:revision>
  <dcterms:created xsi:type="dcterms:W3CDTF">2025-01-08T10:47:00Z</dcterms:created>
  <dcterms:modified xsi:type="dcterms:W3CDTF">2025-01-08T10:50:00Z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0x0101004975F59A96E3C1458557BC12676D595F</vt:lpwstr>
  </property>
</Properties>
</file>