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E3B64" w14:textId="17A51B7C" w:rsidR="0033682A" w:rsidRPr="00BA5732" w:rsidRDefault="003D2C27" w:rsidP="003A0E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Effect of </w:t>
      </w:r>
      <w:r w:rsidR="00656293">
        <w:rPr>
          <w:rFonts w:ascii="Arial" w:hAnsi="Arial" w:cs="Arial"/>
          <w:b/>
        </w:rPr>
        <w:t xml:space="preserve">farrowing </w:t>
      </w:r>
      <w:r w:rsidR="00502E5C">
        <w:rPr>
          <w:rFonts w:ascii="Arial" w:hAnsi="Arial" w:cs="Arial"/>
          <w:b/>
        </w:rPr>
        <w:t>pen hygiene</w:t>
      </w:r>
      <w:r w:rsidR="00E55CC2">
        <w:rPr>
          <w:rFonts w:ascii="Arial" w:hAnsi="Arial" w:cs="Arial"/>
          <w:b/>
        </w:rPr>
        <w:t xml:space="preserve"> (</w:t>
      </w:r>
      <w:r w:rsidR="00E55CC2" w:rsidRPr="003D2C27">
        <w:rPr>
          <w:rFonts w:ascii="Arial" w:hAnsi="Arial" w:cs="Arial"/>
          <w:b/>
        </w:rPr>
        <w:t xml:space="preserve">standard </w:t>
      </w:r>
      <w:r w:rsidR="00E55CC2">
        <w:rPr>
          <w:rFonts w:ascii="Arial" w:hAnsi="Arial" w:cs="Arial"/>
          <w:b/>
        </w:rPr>
        <w:t>vs.</w:t>
      </w:r>
      <w:r w:rsidR="00E55CC2" w:rsidRPr="003D2C27">
        <w:rPr>
          <w:rFonts w:ascii="Arial" w:hAnsi="Arial" w:cs="Arial"/>
          <w:b/>
        </w:rPr>
        <w:t xml:space="preserve"> optimal</w:t>
      </w:r>
      <w:r w:rsidR="00E55CC2">
        <w:rPr>
          <w:rFonts w:ascii="Arial" w:hAnsi="Arial" w:cs="Arial"/>
          <w:b/>
        </w:rPr>
        <w:t>)</w:t>
      </w:r>
      <w:r w:rsidR="0088384C">
        <w:rPr>
          <w:rFonts w:ascii="Arial" w:hAnsi="Arial" w:cs="Arial"/>
          <w:b/>
        </w:rPr>
        <w:t xml:space="preserve"> and</w:t>
      </w:r>
      <w:r w:rsidR="0033682A" w:rsidRPr="00BA5732">
        <w:rPr>
          <w:rFonts w:ascii="Arial" w:hAnsi="Arial" w:cs="Arial"/>
          <w:b/>
        </w:rPr>
        <w:t xml:space="preserve"> </w:t>
      </w:r>
      <w:r w:rsidR="00E55CC2">
        <w:rPr>
          <w:rFonts w:ascii="Arial" w:hAnsi="Arial" w:cs="Arial"/>
          <w:b/>
        </w:rPr>
        <w:t>creep feeding regime (dry pelleted starter diet vs.</w:t>
      </w:r>
      <w:r w:rsidR="00901634">
        <w:rPr>
          <w:rFonts w:ascii="Arial" w:hAnsi="Arial" w:cs="Arial"/>
          <w:b/>
        </w:rPr>
        <w:t xml:space="preserve"> </w:t>
      </w:r>
      <w:r w:rsidR="00502E5C" w:rsidRPr="0073530C">
        <w:rPr>
          <w:rFonts w:ascii="Arial" w:hAnsi="Arial" w:cs="Arial"/>
          <w:b/>
        </w:rPr>
        <w:t xml:space="preserve">liquid </w:t>
      </w:r>
      <w:r w:rsidR="00E55CC2">
        <w:rPr>
          <w:rFonts w:ascii="Arial" w:hAnsi="Arial" w:cs="Arial"/>
          <w:b/>
        </w:rPr>
        <w:t xml:space="preserve">mixture of </w:t>
      </w:r>
      <w:r w:rsidR="005659C3">
        <w:rPr>
          <w:rFonts w:ascii="Arial" w:hAnsi="Arial" w:cs="Arial"/>
          <w:b/>
        </w:rPr>
        <w:t xml:space="preserve">milk replacer and </w:t>
      </w:r>
      <w:r w:rsidR="00E55CC2">
        <w:rPr>
          <w:rFonts w:ascii="Arial" w:hAnsi="Arial" w:cs="Arial"/>
          <w:b/>
        </w:rPr>
        <w:t>starter diet)</w:t>
      </w:r>
      <w:r w:rsidR="00502E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on </w:t>
      </w:r>
      <w:r w:rsidR="00656293">
        <w:rPr>
          <w:rFonts w:ascii="Arial" w:hAnsi="Arial" w:cs="Arial"/>
          <w:b/>
        </w:rPr>
        <w:t>pig</w:t>
      </w:r>
      <w:r w:rsidR="003C41EF" w:rsidRPr="00BA5732">
        <w:rPr>
          <w:rFonts w:ascii="Arial" w:hAnsi="Arial" w:cs="Arial"/>
          <w:b/>
        </w:rPr>
        <w:t xml:space="preserve"> </w:t>
      </w:r>
      <w:r w:rsidR="00E55CC2">
        <w:rPr>
          <w:rFonts w:ascii="Arial" w:hAnsi="Arial" w:cs="Arial"/>
          <w:b/>
        </w:rPr>
        <w:t xml:space="preserve">feed intake and </w:t>
      </w:r>
      <w:r w:rsidR="003C41EF" w:rsidRPr="00BA5732">
        <w:rPr>
          <w:rFonts w:ascii="Arial" w:hAnsi="Arial" w:cs="Arial"/>
          <w:b/>
        </w:rPr>
        <w:t>growth</w:t>
      </w:r>
      <w:bookmarkStart w:id="0" w:name="_GoBack"/>
      <w:bookmarkEnd w:id="0"/>
    </w:p>
    <w:p w14:paraId="5E1E7681" w14:textId="3DD8F5C9" w:rsidR="00192F69" w:rsidRPr="00AE5816" w:rsidRDefault="00192F69" w:rsidP="003A0E5D">
      <w:pPr>
        <w:rPr>
          <w:rFonts w:ascii="Arial" w:hAnsi="Arial" w:cs="Arial"/>
        </w:rPr>
      </w:pPr>
      <w:r w:rsidRPr="00AE5816">
        <w:rPr>
          <w:rFonts w:ascii="Arial" w:hAnsi="Arial" w:cs="Arial"/>
        </w:rPr>
        <w:t>Application:</w:t>
      </w:r>
      <w:r w:rsidR="00A16738" w:rsidRPr="00AE5816">
        <w:rPr>
          <w:rFonts w:ascii="Arial" w:hAnsi="Arial" w:cs="Arial"/>
        </w:rPr>
        <w:t xml:space="preserve"> </w:t>
      </w:r>
      <w:r w:rsidR="00E55CC2">
        <w:rPr>
          <w:rFonts w:ascii="Arial" w:hAnsi="Arial" w:cs="Arial"/>
        </w:rPr>
        <w:t>C</w:t>
      </w:r>
      <w:r w:rsidR="00B445A4">
        <w:rPr>
          <w:rFonts w:ascii="Arial" w:hAnsi="Arial" w:cs="Arial"/>
        </w:rPr>
        <w:t xml:space="preserve">reep </w:t>
      </w:r>
      <w:r w:rsidR="00C11FAE">
        <w:rPr>
          <w:rFonts w:ascii="Arial" w:hAnsi="Arial" w:cs="Arial"/>
        </w:rPr>
        <w:t xml:space="preserve">feed </w:t>
      </w:r>
      <w:r w:rsidR="00E55CC2">
        <w:rPr>
          <w:rFonts w:ascii="Arial" w:hAnsi="Arial" w:cs="Arial"/>
        </w:rPr>
        <w:t xml:space="preserve">dry matter </w:t>
      </w:r>
      <w:r w:rsidR="00B445A4">
        <w:rPr>
          <w:rFonts w:ascii="Arial" w:hAnsi="Arial" w:cs="Arial"/>
        </w:rPr>
        <w:t xml:space="preserve">intake </w:t>
      </w:r>
      <w:r w:rsidR="00C11FAE">
        <w:rPr>
          <w:rFonts w:ascii="Arial" w:hAnsi="Arial" w:cs="Arial"/>
        </w:rPr>
        <w:t xml:space="preserve">of piglets </w:t>
      </w:r>
      <w:r w:rsidR="00DE396B">
        <w:rPr>
          <w:rFonts w:ascii="Arial" w:hAnsi="Arial" w:cs="Arial"/>
        </w:rPr>
        <w:t>was</w:t>
      </w:r>
      <w:r w:rsidR="0037268A">
        <w:rPr>
          <w:rFonts w:ascii="Arial" w:hAnsi="Arial" w:cs="Arial"/>
        </w:rPr>
        <w:t xml:space="preserve"> increased when a </w:t>
      </w:r>
      <w:r w:rsidR="00E55CC2" w:rsidRPr="0037268A">
        <w:rPr>
          <w:rFonts w:ascii="Arial" w:hAnsi="Arial" w:cs="Arial"/>
        </w:rPr>
        <w:t>liquid mixture of starter diet and milk replacer</w:t>
      </w:r>
      <w:r w:rsidR="0037268A">
        <w:rPr>
          <w:rFonts w:ascii="Arial" w:hAnsi="Arial" w:cs="Arial"/>
        </w:rPr>
        <w:t xml:space="preserve"> was offered</w:t>
      </w:r>
      <w:r w:rsidR="00E55CC2">
        <w:rPr>
          <w:rFonts w:ascii="Arial" w:hAnsi="Arial" w:cs="Arial"/>
        </w:rPr>
        <w:t xml:space="preserve"> </w:t>
      </w:r>
      <w:r w:rsidR="005B2991">
        <w:rPr>
          <w:rFonts w:ascii="Arial" w:hAnsi="Arial" w:cs="Arial"/>
        </w:rPr>
        <w:t>but only whe</w:t>
      </w:r>
      <w:r w:rsidR="00DE396B">
        <w:rPr>
          <w:rFonts w:ascii="Arial" w:hAnsi="Arial" w:cs="Arial"/>
        </w:rPr>
        <w:t>n</w:t>
      </w:r>
      <w:r w:rsidR="005B2991">
        <w:rPr>
          <w:rFonts w:ascii="Arial" w:hAnsi="Arial" w:cs="Arial"/>
        </w:rPr>
        <w:t xml:space="preserve"> optimal hygiene conditions exist</w:t>
      </w:r>
      <w:r w:rsidR="00DE396B">
        <w:rPr>
          <w:rFonts w:ascii="Arial" w:hAnsi="Arial" w:cs="Arial"/>
        </w:rPr>
        <w:t>ed</w:t>
      </w:r>
      <w:r w:rsidR="005B2991">
        <w:rPr>
          <w:rFonts w:ascii="Arial" w:hAnsi="Arial" w:cs="Arial"/>
        </w:rPr>
        <w:t xml:space="preserve"> in </w:t>
      </w:r>
      <w:r w:rsidR="0037268A">
        <w:rPr>
          <w:rFonts w:ascii="Arial" w:hAnsi="Arial" w:cs="Arial"/>
        </w:rPr>
        <w:t xml:space="preserve">the </w:t>
      </w:r>
      <w:r w:rsidR="005B2991">
        <w:rPr>
          <w:rFonts w:ascii="Arial" w:hAnsi="Arial" w:cs="Arial"/>
        </w:rPr>
        <w:t xml:space="preserve">farrowing accommodation. </w:t>
      </w:r>
      <w:r w:rsidR="0037268A">
        <w:rPr>
          <w:rFonts w:ascii="Arial" w:hAnsi="Arial" w:cs="Arial"/>
        </w:rPr>
        <w:t xml:space="preserve">This </w:t>
      </w:r>
      <w:r w:rsidR="0037268A" w:rsidRPr="003B7E99">
        <w:rPr>
          <w:rFonts w:ascii="Arial" w:hAnsi="Arial" w:cs="Arial"/>
        </w:rPr>
        <w:t>dietary</w:t>
      </w:r>
      <w:r w:rsidR="005B2991" w:rsidRPr="003B7E99">
        <w:rPr>
          <w:rFonts w:ascii="Arial" w:hAnsi="Arial" w:cs="Arial"/>
        </w:rPr>
        <w:t xml:space="preserve"> </w:t>
      </w:r>
      <w:r w:rsidR="00D91E0A" w:rsidRPr="003B7E99">
        <w:rPr>
          <w:rFonts w:ascii="Arial" w:hAnsi="Arial" w:cs="Arial"/>
        </w:rPr>
        <w:t>strategy</w:t>
      </w:r>
      <w:r w:rsidR="00190F97" w:rsidRPr="003B7E99">
        <w:rPr>
          <w:rFonts w:ascii="Arial" w:hAnsi="Arial" w:cs="Arial"/>
        </w:rPr>
        <w:t xml:space="preserve"> </w:t>
      </w:r>
      <w:r w:rsidR="005B2991" w:rsidRPr="003B7E99">
        <w:rPr>
          <w:rFonts w:ascii="Arial" w:hAnsi="Arial" w:cs="Arial"/>
        </w:rPr>
        <w:t xml:space="preserve">increased </w:t>
      </w:r>
      <w:r w:rsidR="00DE396B">
        <w:rPr>
          <w:rFonts w:ascii="Arial" w:hAnsi="Arial" w:cs="Arial"/>
        </w:rPr>
        <w:t xml:space="preserve">pre-weaning </w:t>
      </w:r>
      <w:r w:rsidR="005B2991">
        <w:rPr>
          <w:rFonts w:ascii="Arial" w:hAnsi="Arial" w:cs="Arial"/>
        </w:rPr>
        <w:t xml:space="preserve">growth and weaning weight and </w:t>
      </w:r>
      <w:r w:rsidR="00DE396B">
        <w:rPr>
          <w:rFonts w:ascii="Arial" w:hAnsi="Arial" w:cs="Arial"/>
        </w:rPr>
        <w:t xml:space="preserve">improved </w:t>
      </w:r>
      <w:r w:rsidR="005B2991">
        <w:rPr>
          <w:rFonts w:ascii="Arial" w:hAnsi="Arial" w:cs="Arial"/>
        </w:rPr>
        <w:t xml:space="preserve">pen hygiene </w:t>
      </w:r>
      <w:r w:rsidR="005C4FDA">
        <w:rPr>
          <w:rFonts w:ascii="Arial" w:hAnsi="Arial" w:cs="Arial"/>
        </w:rPr>
        <w:t xml:space="preserve">increased creep feed </w:t>
      </w:r>
      <w:r w:rsidR="0037268A">
        <w:rPr>
          <w:rFonts w:ascii="Arial" w:hAnsi="Arial" w:cs="Arial"/>
        </w:rPr>
        <w:t xml:space="preserve">dry matter </w:t>
      </w:r>
      <w:r w:rsidR="005C4FDA">
        <w:rPr>
          <w:rFonts w:ascii="Arial" w:hAnsi="Arial" w:cs="Arial"/>
        </w:rPr>
        <w:t>intake</w:t>
      </w:r>
      <w:r w:rsidR="00C11FAE">
        <w:rPr>
          <w:rFonts w:ascii="Arial" w:hAnsi="Arial" w:cs="Arial"/>
        </w:rPr>
        <w:t>.</w:t>
      </w:r>
    </w:p>
    <w:p w14:paraId="51B50DE7" w14:textId="7985812D" w:rsidR="00192F69" w:rsidRPr="00AE5816" w:rsidRDefault="00192F69" w:rsidP="003A0E5D">
      <w:pPr>
        <w:rPr>
          <w:rFonts w:ascii="Arial" w:hAnsi="Arial" w:cs="Arial"/>
        </w:rPr>
      </w:pPr>
      <w:r w:rsidRPr="00AE5816">
        <w:rPr>
          <w:rFonts w:ascii="Arial" w:hAnsi="Arial" w:cs="Arial"/>
        </w:rPr>
        <w:t>Introduction:</w:t>
      </w:r>
      <w:r w:rsidR="002063AE" w:rsidRPr="00AE5816">
        <w:rPr>
          <w:rFonts w:ascii="Arial" w:hAnsi="Arial" w:cs="Arial"/>
        </w:rPr>
        <w:t xml:space="preserve"> </w:t>
      </w:r>
      <w:r w:rsidR="00656293">
        <w:rPr>
          <w:rFonts w:ascii="Arial" w:hAnsi="Arial" w:cs="Arial"/>
        </w:rPr>
        <w:t>Piglet w</w:t>
      </w:r>
      <w:r w:rsidR="002063AE" w:rsidRPr="00AE5816">
        <w:rPr>
          <w:rFonts w:ascii="Arial" w:hAnsi="Arial" w:cs="Arial"/>
        </w:rPr>
        <w:t>eaning weight (</w:t>
      </w:r>
      <w:proofErr w:type="spellStart"/>
      <w:r w:rsidR="002063AE" w:rsidRPr="00AE5816">
        <w:rPr>
          <w:rFonts w:ascii="Arial" w:hAnsi="Arial" w:cs="Arial"/>
        </w:rPr>
        <w:t>ww</w:t>
      </w:r>
      <w:proofErr w:type="spellEnd"/>
      <w:r w:rsidR="002063AE" w:rsidRPr="00AE5816">
        <w:rPr>
          <w:rFonts w:ascii="Arial" w:hAnsi="Arial" w:cs="Arial"/>
        </w:rPr>
        <w:t xml:space="preserve">) </w:t>
      </w:r>
      <w:r w:rsidR="00F01C54" w:rsidRPr="00AE5816">
        <w:rPr>
          <w:rFonts w:ascii="Arial" w:hAnsi="Arial" w:cs="Arial"/>
        </w:rPr>
        <w:t xml:space="preserve">can be </w:t>
      </w:r>
      <w:r w:rsidR="00656293">
        <w:rPr>
          <w:rFonts w:ascii="Arial" w:hAnsi="Arial" w:cs="Arial"/>
        </w:rPr>
        <w:t>increased</w:t>
      </w:r>
      <w:r w:rsidR="00656293" w:rsidRPr="00AE5816">
        <w:rPr>
          <w:rFonts w:ascii="Arial" w:hAnsi="Arial" w:cs="Arial"/>
        </w:rPr>
        <w:t xml:space="preserve"> </w:t>
      </w:r>
      <w:r w:rsidR="00F01C54" w:rsidRPr="00AE5816">
        <w:rPr>
          <w:rFonts w:ascii="Arial" w:hAnsi="Arial" w:cs="Arial"/>
        </w:rPr>
        <w:t xml:space="preserve">by </w:t>
      </w:r>
      <w:r w:rsidR="00656293">
        <w:rPr>
          <w:rFonts w:ascii="Arial" w:hAnsi="Arial" w:cs="Arial"/>
        </w:rPr>
        <w:t xml:space="preserve">increasing </w:t>
      </w:r>
      <w:r w:rsidR="00F01C54" w:rsidRPr="00AE5816">
        <w:rPr>
          <w:rFonts w:ascii="Arial" w:hAnsi="Arial" w:cs="Arial"/>
        </w:rPr>
        <w:t>pre-weaning creep feed intake</w:t>
      </w:r>
      <w:r w:rsidR="00656293">
        <w:rPr>
          <w:rFonts w:ascii="Arial" w:hAnsi="Arial" w:cs="Arial"/>
        </w:rPr>
        <w:t xml:space="preserve">. </w:t>
      </w:r>
      <w:r w:rsidR="002063AE" w:rsidRPr="00AE5816">
        <w:rPr>
          <w:rFonts w:ascii="Arial" w:hAnsi="Arial" w:cs="Arial"/>
        </w:rPr>
        <w:t xml:space="preserve">The objective was to evaluate the effect of </w:t>
      </w:r>
      <w:r w:rsidR="0037268A">
        <w:rPr>
          <w:rFonts w:ascii="Arial" w:hAnsi="Arial" w:cs="Arial"/>
        </w:rPr>
        <w:t xml:space="preserve">providing </w:t>
      </w:r>
      <w:r w:rsidR="0037268A" w:rsidRPr="0037268A">
        <w:rPr>
          <w:rFonts w:ascii="Arial" w:hAnsi="Arial" w:cs="Arial"/>
        </w:rPr>
        <w:t>dry pelleted starter diet</w:t>
      </w:r>
      <w:r w:rsidR="00031765">
        <w:rPr>
          <w:rFonts w:ascii="Arial" w:hAnsi="Arial" w:cs="Arial"/>
        </w:rPr>
        <w:t xml:space="preserve"> (DPS)</w:t>
      </w:r>
      <w:r w:rsidR="0037268A" w:rsidRPr="0037268A">
        <w:rPr>
          <w:rFonts w:ascii="Arial" w:hAnsi="Arial" w:cs="Arial"/>
        </w:rPr>
        <w:t xml:space="preserve"> </w:t>
      </w:r>
      <w:r w:rsidR="00031765">
        <w:rPr>
          <w:rFonts w:ascii="Arial" w:hAnsi="Arial" w:cs="Arial"/>
        </w:rPr>
        <w:t>or</w:t>
      </w:r>
      <w:r w:rsidR="0037268A" w:rsidRPr="0037268A">
        <w:rPr>
          <w:rFonts w:ascii="Arial" w:hAnsi="Arial" w:cs="Arial"/>
        </w:rPr>
        <w:t xml:space="preserve"> </w:t>
      </w:r>
      <w:r w:rsidR="00031765">
        <w:rPr>
          <w:rFonts w:ascii="Arial" w:hAnsi="Arial" w:cs="Arial"/>
        </w:rPr>
        <w:t xml:space="preserve">a </w:t>
      </w:r>
      <w:r w:rsidR="0037268A" w:rsidRPr="0037268A">
        <w:rPr>
          <w:rFonts w:ascii="Arial" w:hAnsi="Arial" w:cs="Arial"/>
        </w:rPr>
        <w:t xml:space="preserve">liquid mixture of </w:t>
      </w:r>
      <w:r w:rsidR="00031765" w:rsidRPr="0037268A">
        <w:rPr>
          <w:rFonts w:ascii="Arial" w:hAnsi="Arial" w:cs="Arial"/>
        </w:rPr>
        <w:t xml:space="preserve">milk replacer </w:t>
      </w:r>
      <w:r w:rsidR="00031765">
        <w:rPr>
          <w:rFonts w:ascii="Arial" w:hAnsi="Arial" w:cs="Arial"/>
        </w:rPr>
        <w:t xml:space="preserve">and </w:t>
      </w:r>
      <w:r w:rsidR="0037268A" w:rsidRPr="0037268A">
        <w:rPr>
          <w:rFonts w:ascii="Arial" w:hAnsi="Arial" w:cs="Arial"/>
        </w:rPr>
        <w:t xml:space="preserve">starter diet </w:t>
      </w:r>
      <w:r w:rsidR="00031765">
        <w:rPr>
          <w:rFonts w:ascii="Arial" w:hAnsi="Arial" w:cs="Arial"/>
        </w:rPr>
        <w:t>(LMR+S)</w:t>
      </w:r>
      <w:r w:rsidR="0037268A" w:rsidRPr="0037268A">
        <w:rPr>
          <w:rFonts w:ascii="Arial" w:hAnsi="Arial" w:cs="Arial"/>
        </w:rPr>
        <w:t xml:space="preserve"> </w:t>
      </w:r>
      <w:r w:rsidR="002063AE" w:rsidRPr="00AE5816">
        <w:rPr>
          <w:rFonts w:ascii="Arial" w:hAnsi="Arial" w:cs="Arial"/>
        </w:rPr>
        <w:t xml:space="preserve">to suckling pigs housed in </w:t>
      </w:r>
      <w:r w:rsidR="00945239">
        <w:rPr>
          <w:rFonts w:ascii="Arial" w:hAnsi="Arial" w:cs="Arial"/>
        </w:rPr>
        <w:t xml:space="preserve">farrowing accommodation </w:t>
      </w:r>
      <w:r w:rsidR="007117C6">
        <w:rPr>
          <w:rFonts w:ascii="Arial" w:hAnsi="Arial" w:cs="Arial"/>
        </w:rPr>
        <w:t>of</w:t>
      </w:r>
      <w:r w:rsidR="00945239" w:rsidRPr="00AE5816">
        <w:rPr>
          <w:rFonts w:ascii="Arial" w:hAnsi="Arial" w:cs="Arial"/>
        </w:rPr>
        <w:t xml:space="preserve"> </w:t>
      </w:r>
      <w:r w:rsidR="00031765">
        <w:rPr>
          <w:rFonts w:ascii="Arial" w:hAnsi="Arial" w:cs="Arial"/>
        </w:rPr>
        <w:t>standard or optimal hygiene</w:t>
      </w:r>
      <w:r w:rsidR="002063AE" w:rsidRPr="00AE5816">
        <w:rPr>
          <w:rFonts w:ascii="Arial" w:hAnsi="Arial" w:cs="Arial"/>
        </w:rPr>
        <w:t xml:space="preserve"> on </w:t>
      </w:r>
      <w:r w:rsidR="0037268A">
        <w:rPr>
          <w:rFonts w:ascii="Arial" w:hAnsi="Arial" w:cs="Arial"/>
        </w:rPr>
        <w:t xml:space="preserve">pre- and post-weaning feed intake and </w:t>
      </w:r>
      <w:r w:rsidR="0045269A" w:rsidRPr="00AE5816">
        <w:rPr>
          <w:rFonts w:ascii="Arial" w:hAnsi="Arial" w:cs="Arial"/>
        </w:rPr>
        <w:t>growth</w:t>
      </w:r>
      <w:r w:rsidR="002063AE" w:rsidRPr="00AE5816">
        <w:rPr>
          <w:rFonts w:ascii="Arial" w:hAnsi="Arial" w:cs="Arial"/>
        </w:rPr>
        <w:t>.</w:t>
      </w:r>
    </w:p>
    <w:p w14:paraId="29E324FF" w14:textId="79B14F84" w:rsidR="00192F69" w:rsidRPr="00AE5816" w:rsidRDefault="00192F69" w:rsidP="003A0E5D">
      <w:pPr>
        <w:rPr>
          <w:rFonts w:ascii="Arial" w:hAnsi="Arial" w:cs="Arial"/>
        </w:rPr>
      </w:pPr>
      <w:r w:rsidRPr="00AE5816">
        <w:rPr>
          <w:rFonts w:ascii="Arial" w:hAnsi="Arial" w:cs="Arial"/>
        </w:rPr>
        <w:t>Material and methods:</w:t>
      </w:r>
      <w:r w:rsidR="002063AE" w:rsidRPr="00AE5816">
        <w:rPr>
          <w:rFonts w:ascii="Arial" w:hAnsi="Arial" w:cs="Arial"/>
        </w:rPr>
        <w:t xml:space="preserve"> The experiment was a 2x2 factorial arrangement </w:t>
      </w:r>
      <w:r w:rsidR="0073530C" w:rsidRPr="0073530C">
        <w:rPr>
          <w:rFonts w:ascii="Arial" w:hAnsi="Arial" w:cs="Arial"/>
        </w:rPr>
        <w:t xml:space="preserve">with factors being pen hygiene (standard or optimal) and creep feeding </w:t>
      </w:r>
      <w:r w:rsidR="00031765">
        <w:rPr>
          <w:rFonts w:ascii="Arial" w:hAnsi="Arial" w:cs="Arial"/>
        </w:rPr>
        <w:t xml:space="preserve">regime </w:t>
      </w:r>
      <w:r w:rsidR="0073530C" w:rsidRPr="0073530C">
        <w:rPr>
          <w:rFonts w:ascii="Arial" w:hAnsi="Arial" w:cs="Arial"/>
        </w:rPr>
        <w:t>(</w:t>
      </w:r>
      <w:r w:rsidR="00031765">
        <w:rPr>
          <w:rFonts w:ascii="Arial" w:hAnsi="Arial" w:cs="Arial"/>
        </w:rPr>
        <w:t>DPS</w:t>
      </w:r>
      <w:r w:rsidR="0073530C" w:rsidRPr="0073530C">
        <w:rPr>
          <w:rFonts w:ascii="Arial" w:hAnsi="Arial" w:cs="Arial"/>
        </w:rPr>
        <w:t xml:space="preserve"> or </w:t>
      </w:r>
      <w:r w:rsidR="00031765">
        <w:rPr>
          <w:rFonts w:ascii="Arial" w:hAnsi="Arial" w:cs="Arial"/>
        </w:rPr>
        <w:t>LMR+S</w:t>
      </w:r>
      <w:r w:rsidR="0073530C" w:rsidRPr="0073530C">
        <w:rPr>
          <w:rFonts w:ascii="Arial" w:hAnsi="Arial" w:cs="Arial"/>
        </w:rPr>
        <w:t>)</w:t>
      </w:r>
      <w:r w:rsidR="002063AE" w:rsidRPr="00AE5816">
        <w:rPr>
          <w:rFonts w:ascii="Arial" w:hAnsi="Arial" w:cs="Arial"/>
        </w:rPr>
        <w:t>.</w:t>
      </w:r>
      <w:r w:rsidR="006E6AE0" w:rsidRPr="006E6AE0">
        <w:t xml:space="preserve"> </w:t>
      </w:r>
      <w:r w:rsidR="006E6AE0" w:rsidRPr="006E6AE0">
        <w:rPr>
          <w:rFonts w:ascii="Arial" w:hAnsi="Arial" w:cs="Arial"/>
        </w:rPr>
        <w:t xml:space="preserve">The standard hygiene environment was obtained by thorough washing with water and &lt;18 hours drying. The optimal hygiene environment was obtained by detergent application, followed by a thorough water wash, chlorocresol-based disinfectant application and 6 days drying. Both cleaning protocols were implemented prior to entry of the sows to the farrowing rooms. Prior to entry of sows, 16 pens </w:t>
      </w:r>
      <w:r w:rsidR="006E6AE0">
        <w:rPr>
          <w:rFonts w:ascii="Arial" w:hAnsi="Arial" w:cs="Arial"/>
        </w:rPr>
        <w:t>from</w:t>
      </w:r>
      <w:r w:rsidR="006E6AE0" w:rsidRPr="006E6AE0">
        <w:rPr>
          <w:rFonts w:ascii="Arial" w:hAnsi="Arial" w:cs="Arial"/>
        </w:rPr>
        <w:t xml:space="preserve"> each </w:t>
      </w:r>
      <w:r w:rsidR="006E6AE0">
        <w:rPr>
          <w:rFonts w:ascii="Arial" w:hAnsi="Arial" w:cs="Arial"/>
        </w:rPr>
        <w:t xml:space="preserve">hygiene environment </w:t>
      </w:r>
      <w:r w:rsidR="006E6AE0" w:rsidRPr="006E6AE0">
        <w:rPr>
          <w:rFonts w:ascii="Arial" w:hAnsi="Arial" w:cs="Arial"/>
        </w:rPr>
        <w:t xml:space="preserve">were swabbed for </w:t>
      </w:r>
      <w:r w:rsidR="006E6AE0">
        <w:rPr>
          <w:rFonts w:ascii="Arial" w:hAnsi="Arial" w:cs="Arial"/>
        </w:rPr>
        <w:t xml:space="preserve">determination of </w:t>
      </w:r>
      <w:r w:rsidR="006E6AE0" w:rsidRPr="006E6AE0">
        <w:rPr>
          <w:rFonts w:ascii="Arial" w:hAnsi="Arial" w:cs="Arial"/>
          <w:i/>
        </w:rPr>
        <w:t>Enterobacteriaceae</w:t>
      </w:r>
      <w:r w:rsidR="006E6AE0" w:rsidRPr="006E6AE0">
        <w:rPr>
          <w:rFonts w:ascii="Arial" w:hAnsi="Arial" w:cs="Arial"/>
        </w:rPr>
        <w:t xml:space="preserve"> </w:t>
      </w:r>
      <w:r w:rsidR="006E6AE0">
        <w:rPr>
          <w:rFonts w:ascii="Arial" w:hAnsi="Arial" w:cs="Arial"/>
        </w:rPr>
        <w:t xml:space="preserve">counts </w:t>
      </w:r>
      <w:r w:rsidR="006E6AE0" w:rsidRPr="006E6AE0">
        <w:rPr>
          <w:rFonts w:ascii="Arial" w:hAnsi="Arial" w:cs="Arial"/>
        </w:rPr>
        <w:t xml:space="preserve">and total bacterial counts. </w:t>
      </w:r>
      <w:r w:rsidR="002063AE" w:rsidRPr="00AE5816">
        <w:rPr>
          <w:rFonts w:ascii="Arial" w:hAnsi="Arial" w:cs="Arial"/>
        </w:rPr>
        <w:t>On day</w:t>
      </w:r>
      <w:r w:rsidR="00DC2FCC">
        <w:rPr>
          <w:rFonts w:ascii="Arial" w:hAnsi="Arial" w:cs="Arial"/>
        </w:rPr>
        <w:t xml:space="preserve"> (d)</w:t>
      </w:r>
      <w:r w:rsidR="002063AE" w:rsidRPr="00AE5816">
        <w:rPr>
          <w:rFonts w:ascii="Arial" w:hAnsi="Arial" w:cs="Arial"/>
        </w:rPr>
        <w:t xml:space="preserve"> 107 of gestation, 87 sows were weighed and blocked on the basis of parity, </w:t>
      </w:r>
      <w:r w:rsidR="005A6DED">
        <w:rPr>
          <w:rFonts w:ascii="Arial" w:hAnsi="Arial" w:cs="Arial"/>
        </w:rPr>
        <w:t xml:space="preserve">previous </w:t>
      </w:r>
      <w:r w:rsidR="002063AE" w:rsidRPr="00AE5816">
        <w:rPr>
          <w:rFonts w:ascii="Arial" w:hAnsi="Arial" w:cs="Arial"/>
        </w:rPr>
        <w:t>number of pig</w:t>
      </w:r>
      <w:r w:rsidR="001840F1">
        <w:rPr>
          <w:rFonts w:ascii="Arial" w:hAnsi="Arial" w:cs="Arial"/>
        </w:rPr>
        <w:t>let</w:t>
      </w:r>
      <w:r w:rsidR="002063AE" w:rsidRPr="00AE5816">
        <w:rPr>
          <w:rFonts w:ascii="Arial" w:hAnsi="Arial" w:cs="Arial"/>
        </w:rPr>
        <w:t xml:space="preserve">s weaned and </w:t>
      </w:r>
      <w:r w:rsidR="00A0683F" w:rsidRPr="00AE5816">
        <w:rPr>
          <w:rFonts w:ascii="Arial" w:hAnsi="Arial" w:cs="Arial"/>
        </w:rPr>
        <w:t>body</w:t>
      </w:r>
      <w:r w:rsidR="002063AE" w:rsidRPr="00AE5816">
        <w:rPr>
          <w:rFonts w:ascii="Arial" w:hAnsi="Arial" w:cs="Arial"/>
        </w:rPr>
        <w:t>weight</w:t>
      </w:r>
      <w:r w:rsidR="00A0683F" w:rsidRPr="00AE5816">
        <w:rPr>
          <w:rFonts w:ascii="Arial" w:hAnsi="Arial" w:cs="Arial"/>
        </w:rPr>
        <w:t xml:space="preserve"> </w:t>
      </w:r>
      <w:r w:rsidR="007117C6">
        <w:rPr>
          <w:rFonts w:ascii="Arial" w:hAnsi="Arial" w:cs="Arial"/>
        </w:rPr>
        <w:t>before being</w:t>
      </w:r>
      <w:r w:rsidR="002063AE" w:rsidRPr="00AE5816">
        <w:rPr>
          <w:rFonts w:ascii="Arial" w:hAnsi="Arial" w:cs="Arial"/>
        </w:rPr>
        <w:t xml:space="preserve"> randomly </w:t>
      </w:r>
      <w:r w:rsidR="00A0683F" w:rsidRPr="00AE5816">
        <w:rPr>
          <w:rFonts w:ascii="Arial" w:hAnsi="Arial" w:cs="Arial"/>
        </w:rPr>
        <w:t>assigned</w:t>
      </w:r>
      <w:r w:rsidR="002063AE" w:rsidRPr="00AE5816">
        <w:rPr>
          <w:rFonts w:ascii="Arial" w:hAnsi="Arial" w:cs="Arial"/>
        </w:rPr>
        <w:t xml:space="preserve"> to one of </w:t>
      </w:r>
      <w:r w:rsidR="005A6DED">
        <w:rPr>
          <w:rFonts w:ascii="Arial" w:hAnsi="Arial" w:cs="Arial"/>
        </w:rPr>
        <w:t xml:space="preserve">the </w:t>
      </w:r>
      <w:r w:rsidR="002063AE" w:rsidRPr="00AE5816">
        <w:rPr>
          <w:rFonts w:ascii="Arial" w:hAnsi="Arial" w:cs="Arial"/>
        </w:rPr>
        <w:t>four treatments</w:t>
      </w:r>
      <w:r w:rsidR="00A0683F" w:rsidRPr="00AE5816">
        <w:rPr>
          <w:rFonts w:ascii="Arial" w:hAnsi="Arial" w:cs="Arial"/>
        </w:rPr>
        <w:t>.</w:t>
      </w:r>
      <w:r w:rsidR="002A34D3">
        <w:rPr>
          <w:rFonts w:ascii="Arial" w:hAnsi="Arial" w:cs="Arial"/>
        </w:rPr>
        <w:t xml:space="preserve"> </w:t>
      </w:r>
      <w:r w:rsidR="006E6AE0">
        <w:rPr>
          <w:rFonts w:ascii="Arial" w:hAnsi="Arial" w:cs="Arial"/>
        </w:rPr>
        <w:t xml:space="preserve">By 48 hours post-farrowing, litter size was standardised within block. </w:t>
      </w:r>
      <w:r w:rsidR="00D14B80">
        <w:rPr>
          <w:rFonts w:ascii="Arial" w:hAnsi="Arial" w:cs="Arial"/>
        </w:rPr>
        <w:t>F</w:t>
      </w:r>
      <w:r w:rsidR="00D14B80" w:rsidRPr="00AE5816">
        <w:rPr>
          <w:rFonts w:ascii="Arial" w:hAnsi="Arial" w:cs="Arial"/>
        </w:rPr>
        <w:t>rom d11</w:t>
      </w:r>
      <w:r w:rsidR="00D14B80">
        <w:rPr>
          <w:rFonts w:ascii="Arial" w:hAnsi="Arial" w:cs="Arial"/>
        </w:rPr>
        <w:t xml:space="preserve"> to weaning at d</w:t>
      </w:r>
      <w:r w:rsidR="00D14B80" w:rsidRPr="00AE5816">
        <w:rPr>
          <w:rFonts w:ascii="Arial" w:hAnsi="Arial" w:cs="Arial"/>
        </w:rPr>
        <w:t>28</w:t>
      </w:r>
      <w:r w:rsidR="00D14B80">
        <w:rPr>
          <w:rFonts w:ascii="Arial" w:hAnsi="Arial" w:cs="Arial"/>
        </w:rPr>
        <w:t xml:space="preserve"> DPS (3 mm diameter) </w:t>
      </w:r>
      <w:r w:rsidR="00BA0056">
        <w:rPr>
          <w:rFonts w:ascii="Arial" w:hAnsi="Arial" w:cs="Arial"/>
        </w:rPr>
        <w:t>was offered</w:t>
      </w:r>
      <w:r w:rsidR="00F628C4" w:rsidRPr="00AE5816">
        <w:rPr>
          <w:rFonts w:ascii="Arial" w:hAnsi="Arial" w:cs="Arial"/>
        </w:rPr>
        <w:t xml:space="preserve">. </w:t>
      </w:r>
      <w:r w:rsidR="00D14B80">
        <w:rPr>
          <w:rFonts w:ascii="Arial" w:hAnsi="Arial" w:cs="Arial"/>
        </w:rPr>
        <w:t>B</w:t>
      </w:r>
      <w:r w:rsidR="00D14B80" w:rsidRPr="00AE5816">
        <w:rPr>
          <w:rFonts w:ascii="Arial" w:hAnsi="Arial" w:cs="Arial"/>
        </w:rPr>
        <w:t>etween d4-9</w:t>
      </w:r>
      <w:r w:rsidR="00D14B80">
        <w:rPr>
          <w:rFonts w:ascii="Arial" w:hAnsi="Arial" w:cs="Arial"/>
        </w:rPr>
        <w:t xml:space="preserve"> piglets on LMR</w:t>
      </w:r>
      <w:r w:rsidR="00D14B80" w:rsidRPr="003B7E99">
        <w:rPr>
          <w:rFonts w:ascii="Arial" w:hAnsi="Arial" w:cs="Arial"/>
        </w:rPr>
        <w:t xml:space="preserve">+S </w:t>
      </w:r>
      <w:r w:rsidR="00A75C3B" w:rsidRPr="003B7E99">
        <w:rPr>
          <w:rFonts w:ascii="Arial" w:hAnsi="Arial" w:cs="Arial"/>
        </w:rPr>
        <w:t>(</w:t>
      </w:r>
      <w:r w:rsidR="00D14B80" w:rsidRPr="003B7E99">
        <w:rPr>
          <w:rFonts w:ascii="Arial" w:hAnsi="Arial" w:cs="Arial"/>
        </w:rPr>
        <w:t>~15</w:t>
      </w:r>
      <w:r w:rsidR="00A75C3B" w:rsidRPr="003B7E99">
        <w:rPr>
          <w:rFonts w:ascii="Arial" w:hAnsi="Arial" w:cs="Arial"/>
        </w:rPr>
        <w:t xml:space="preserve">% </w:t>
      </w:r>
      <w:r w:rsidR="00D14B80" w:rsidRPr="003B7E99">
        <w:rPr>
          <w:rFonts w:ascii="Arial" w:hAnsi="Arial" w:cs="Arial"/>
        </w:rPr>
        <w:t>dry matter</w:t>
      </w:r>
      <w:r w:rsidR="00A75C3B" w:rsidRPr="003B7E99">
        <w:rPr>
          <w:rFonts w:ascii="Arial" w:hAnsi="Arial" w:cs="Arial"/>
        </w:rPr>
        <w:t xml:space="preserve">) </w:t>
      </w:r>
      <w:r w:rsidR="00D14B80" w:rsidRPr="003B7E99">
        <w:rPr>
          <w:rFonts w:ascii="Arial" w:hAnsi="Arial" w:cs="Arial"/>
        </w:rPr>
        <w:t xml:space="preserve">treatment </w:t>
      </w:r>
      <w:r w:rsidR="00BA0056">
        <w:rPr>
          <w:rFonts w:ascii="Arial" w:hAnsi="Arial" w:cs="Arial"/>
        </w:rPr>
        <w:t>w</w:t>
      </w:r>
      <w:r w:rsidR="00D14B80">
        <w:rPr>
          <w:rFonts w:ascii="Arial" w:hAnsi="Arial" w:cs="Arial"/>
        </w:rPr>
        <w:t>ere</w:t>
      </w:r>
      <w:r w:rsidR="00BA0056">
        <w:rPr>
          <w:rFonts w:ascii="Arial" w:hAnsi="Arial" w:cs="Arial"/>
        </w:rPr>
        <w:t xml:space="preserve"> offered </w:t>
      </w:r>
      <w:r w:rsidR="00F628C4" w:rsidRPr="00AE5816">
        <w:rPr>
          <w:rFonts w:ascii="Arial" w:hAnsi="Arial" w:cs="Arial"/>
        </w:rPr>
        <w:t xml:space="preserve">liquid milk replacer </w:t>
      </w:r>
      <w:r w:rsidR="00D14B80">
        <w:rPr>
          <w:rFonts w:ascii="Arial" w:hAnsi="Arial" w:cs="Arial"/>
        </w:rPr>
        <w:t xml:space="preserve">only; thereafter </w:t>
      </w:r>
      <w:r w:rsidR="00F628C4" w:rsidRPr="00AE5816">
        <w:rPr>
          <w:rFonts w:ascii="Arial" w:hAnsi="Arial" w:cs="Arial"/>
        </w:rPr>
        <w:t>a liquid mixture of milk</w:t>
      </w:r>
      <w:r w:rsidR="009E2533">
        <w:rPr>
          <w:rFonts w:ascii="Arial" w:hAnsi="Arial" w:cs="Arial"/>
        </w:rPr>
        <w:t xml:space="preserve"> replacer</w:t>
      </w:r>
      <w:r w:rsidR="00F628C4" w:rsidRPr="00AE5816">
        <w:rPr>
          <w:rFonts w:ascii="Arial" w:hAnsi="Arial" w:cs="Arial"/>
        </w:rPr>
        <w:t xml:space="preserve"> and an increasing proportion of starter diet </w:t>
      </w:r>
      <w:r w:rsidR="009E2533">
        <w:rPr>
          <w:rFonts w:ascii="Arial" w:hAnsi="Arial" w:cs="Arial"/>
        </w:rPr>
        <w:t>was offered up to</w:t>
      </w:r>
      <w:r w:rsidR="00F628C4" w:rsidRPr="00AE5816">
        <w:rPr>
          <w:rFonts w:ascii="Arial" w:hAnsi="Arial" w:cs="Arial"/>
        </w:rPr>
        <w:t xml:space="preserve"> weaning.</w:t>
      </w:r>
      <w:r w:rsidR="008713AE" w:rsidRPr="00AE5816">
        <w:rPr>
          <w:rFonts w:ascii="Arial" w:hAnsi="Arial" w:cs="Arial"/>
        </w:rPr>
        <w:t xml:space="preserve"> </w:t>
      </w:r>
      <w:r w:rsidR="002063AE" w:rsidRPr="00AE5816">
        <w:rPr>
          <w:rFonts w:ascii="Arial" w:hAnsi="Arial" w:cs="Arial"/>
        </w:rPr>
        <w:t xml:space="preserve">Suckling pigs were weighed </w:t>
      </w:r>
      <w:r w:rsidR="00DC2FCC">
        <w:rPr>
          <w:rFonts w:ascii="Arial" w:hAnsi="Arial" w:cs="Arial"/>
        </w:rPr>
        <w:t xml:space="preserve">on d4 and </w:t>
      </w:r>
      <w:r w:rsidR="009E2533">
        <w:rPr>
          <w:rFonts w:ascii="Arial" w:hAnsi="Arial" w:cs="Arial"/>
        </w:rPr>
        <w:t>d</w:t>
      </w:r>
      <w:r w:rsidR="00DC2FCC">
        <w:rPr>
          <w:rFonts w:ascii="Arial" w:hAnsi="Arial" w:cs="Arial"/>
        </w:rPr>
        <w:t>28</w:t>
      </w:r>
      <w:r w:rsidR="00BA0056" w:rsidRPr="00AE5816">
        <w:rPr>
          <w:rFonts w:ascii="Arial" w:hAnsi="Arial" w:cs="Arial"/>
        </w:rPr>
        <w:t xml:space="preserve"> of age </w:t>
      </w:r>
      <w:r w:rsidR="002063AE" w:rsidRPr="00AE5816">
        <w:rPr>
          <w:rFonts w:ascii="Arial" w:hAnsi="Arial" w:cs="Arial"/>
        </w:rPr>
        <w:t xml:space="preserve">and </w:t>
      </w:r>
      <w:r w:rsidR="00F8191D">
        <w:rPr>
          <w:rFonts w:ascii="Arial" w:hAnsi="Arial" w:cs="Arial"/>
        </w:rPr>
        <w:t xml:space="preserve">total </w:t>
      </w:r>
      <w:r w:rsidR="00BA0056">
        <w:rPr>
          <w:rFonts w:ascii="Arial" w:hAnsi="Arial" w:cs="Arial"/>
        </w:rPr>
        <w:t xml:space="preserve">dry matter </w:t>
      </w:r>
      <w:r w:rsidR="009E2533" w:rsidRPr="00AE5816">
        <w:rPr>
          <w:rFonts w:ascii="Arial" w:hAnsi="Arial" w:cs="Arial"/>
        </w:rPr>
        <w:t>feed</w:t>
      </w:r>
      <w:r w:rsidR="009E2533">
        <w:rPr>
          <w:rFonts w:ascii="Arial" w:hAnsi="Arial" w:cs="Arial"/>
        </w:rPr>
        <w:t xml:space="preserve"> </w:t>
      </w:r>
      <w:r w:rsidR="00BA0056">
        <w:rPr>
          <w:rFonts w:ascii="Arial" w:hAnsi="Arial" w:cs="Arial"/>
        </w:rPr>
        <w:t>intake (DMI) was</w:t>
      </w:r>
      <w:r w:rsidR="002063AE" w:rsidRPr="00AE5816">
        <w:rPr>
          <w:rFonts w:ascii="Arial" w:hAnsi="Arial" w:cs="Arial"/>
        </w:rPr>
        <w:t xml:space="preserve"> recorded</w:t>
      </w:r>
      <w:r w:rsidR="00BA0056">
        <w:rPr>
          <w:rFonts w:ascii="Arial" w:hAnsi="Arial" w:cs="Arial"/>
        </w:rPr>
        <w:t xml:space="preserve"> for the </w:t>
      </w:r>
      <w:r w:rsidR="0001762A">
        <w:rPr>
          <w:rFonts w:ascii="Arial" w:hAnsi="Arial" w:cs="Arial"/>
        </w:rPr>
        <w:t xml:space="preserve">entire suckling </w:t>
      </w:r>
      <w:r w:rsidR="00BA0056">
        <w:rPr>
          <w:rFonts w:ascii="Arial" w:hAnsi="Arial" w:cs="Arial"/>
        </w:rPr>
        <w:t>period</w:t>
      </w:r>
      <w:r w:rsidR="002063AE" w:rsidRPr="00AE5816">
        <w:rPr>
          <w:rFonts w:ascii="Arial" w:hAnsi="Arial" w:cs="Arial"/>
        </w:rPr>
        <w:t xml:space="preserve">. </w:t>
      </w:r>
      <w:r w:rsidR="00BA0056" w:rsidRPr="00A34CA4">
        <w:rPr>
          <w:rFonts w:ascii="Arial" w:hAnsi="Arial" w:cs="Arial"/>
        </w:rPr>
        <w:t xml:space="preserve">At </w:t>
      </w:r>
      <w:r w:rsidR="002063AE" w:rsidRPr="00A34CA4">
        <w:rPr>
          <w:rFonts w:ascii="Arial" w:hAnsi="Arial" w:cs="Arial"/>
        </w:rPr>
        <w:t xml:space="preserve">weaning, </w:t>
      </w:r>
      <w:r w:rsidR="00C11FAE" w:rsidRPr="00A34CA4">
        <w:rPr>
          <w:rFonts w:ascii="Arial" w:hAnsi="Arial" w:cs="Arial"/>
        </w:rPr>
        <w:t>single</w:t>
      </w:r>
      <w:r w:rsidR="00B75B6C">
        <w:rPr>
          <w:rFonts w:ascii="Arial" w:hAnsi="Arial" w:cs="Arial"/>
        </w:rPr>
        <w:t>-</w:t>
      </w:r>
      <w:r w:rsidR="00C11FAE" w:rsidRPr="00A34CA4">
        <w:rPr>
          <w:rFonts w:ascii="Arial" w:hAnsi="Arial" w:cs="Arial"/>
        </w:rPr>
        <w:t xml:space="preserve">sex </w:t>
      </w:r>
      <w:r w:rsidR="009E2533">
        <w:rPr>
          <w:rFonts w:ascii="Arial" w:hAnsi="Arial" w:cs="Arial"/>
        </w:rPr>
        <w:t>pen groups</w:t>
      </w:r>
      <w:r w:rsidR="00BA0056" w:rsidRPr="00A34CA4">
        <w:rPr>
          <w:rFonts w:ascii="Arial" w:hAnsi="Arial" w:cs="Arial"/>
        </w:rPr>
        <w:t xml:space="preserve"> (</w:t>
      </w:r>
      <w:r w:rsidR="00A34CA4" w:rsidRPr="00A34CA4">
        <w:rPr>
          <w:rFonts w:ascii="Arial" w:hAnsi="Arial" w:cs="Arial"/>
        </w:rPr>
        <w:t xml:space="preserve">12 male or female pigs of even weight per pen; </w:t>
      </w:r>
      <w:r w:rsidR="00F966BE" w:rsidRPr="00A34CA4">
        <w:rPr>
          <w:rFonts w:ascii="Arial" w:hAnsi="Arial" w:cs="Arial"/>
        </w:rPr>
        <w:t>n</w:t>
      </w:r>
      <w:r w:rsidR="00BA0056" w:rsidRPr="00A34CA4">
        <w:rPr>
          <w:rFonts w:ascii="Arial" w:hAnsi="Arial" w:cs="Arial"/>
        </w:rPr>
        <w:t>=12</w:t>
      </w:r>
      <w:r w:rsidR="00A34CA4" w:rsidRPr="00A34CA4">
        <w:rPr>
          <w:rFonts w:ascii="Arial" w:hAnsi="Arial" w:cs="Arial"/>
        </w:rPr>
        <w:t xml:space="preserve"> pens</w:t>
      </w:r>
      <w:r w:rsidR="00BA0056" w:rsidRPr="00A34CA4">
        <w:rPr>
          <w:rFonts w:ascii="Arial" w:hAnsi="Arial" w:cs="Arial"/>
        </w:rPr>
        <w:t xml:space="preserve">/treatment) were formed, blocked on sex and </w:t>
      </w:r>
      <w:proofErr w:type="spellStart"/>
      <w:r w:rsidR="00672838" w:rsidRPr="00A34CA4">
        <w:rPr>
          <w:rFonts w:ascii="Arial" w:hAnsi="Arial" w:cs="Arial"/>
        </w:rPr>
        <w:t>ww</w:t>
      </w:r>
      <w:proofErr w:type="spellEnd"/>
      <w:r w:rsidR="00BA0056" w:rsidRPr="00A34CA4">
        <w:rPr>
          <w:rFonts w:ascii="Arial" w:hAnsi="Arial" w:cs="Arial"/>
        </w:rPr>
        <w:t xml:space="preserve"> </w:t>
      </w:r>
      <w:r w:rsidR="00F966BE" w:rsidRPr="00A34CA4">
        <w:rPr>
          <w:rFonts w:ascii="Arial" w:hAnsi="Arial" w:cs="Arial"/>
        </w:rPr>
        <w:t>and</w:t>
      </w:r>
      <w:r w:rsidR="002063AE" w:rsidRPr="00A34CA4">
        <w:rPr>
          <w:rFonts w:ascii="Arial" w:hAnsi="Arial" w:cs="Arial"/>
        </w:rPr>
        <w:t xml:space="preserve"> follow</w:t>
      </w:r>
      <w:r w:rsidR="00F966BE" w:rsidRPr="00A34CA4">
        <w:rPr>
          <w:rFonts w:ascii="Arial" w:hAnsi="Arial" w:cs="Arial"/>
        </w:rPr>
        <w:t>ed</w:t>
      </w:r>
      <w:r w:rsidR="002063AE" w:rsidRPr="00A34CA4">
        <w:rPr>
          <w:rFonts w:ascii="Arial" w:hAnsi="Arial" w:cs="Arial"/>
        </w:rPr>
        <w:t xml:space="preserve"> until target slaughter weight</w:t>
      </w:r>
      <w:r w:rsidR="00F966BE" w:rsidRPr="00A34CA4">
        <w:rPr>
          <w:rFonts w:ascii="Arial" w:hAnsi="Arial" w:cs="Arial"/>
        </w:rPr>
        <w:t xml:space="preserve"> </w:t>
      </w:r>
      <w:r w:rsidR="0012178C" w:rsidRPr="00A34CA4">
        <w:rPr>
          <w:rFonts w:ascii="Arial" w:hAnsi="Arial" w:cs="Arial"/>
        </w:rPr>
        <w:t>(1</w:t>
      </w:r>
      <w:r w:rsidR="00A34CA4">
        <w:rPr>
          <w:rFonts w:ascii="Arial" w:hAnsi="Arial" w:cs="Arial"/>
        </w:rPr>
        <w:t>30</w:t>
      </w:r>
      <w:r w:rsidR="0012178C" w:rsidRPr="00A34CA4">
        <w:rPr>
          <w:rFonts w:ascii="Arial" w:hAnsi="Arial" w:cs="Arial"/>
        </w:rPr>
        <w:t>±1.</w:t>
      </w:r>
      <w:r w:rsidR="00A34CA4">
        <w:rPr>
          <w:rFonts w:ascii="Arial" w:hAnsi="Arial" w:cs="Arial"/>
        </w:rPr>
        <w:t>9</w:t>
      </w:r>
      <w:r w:rsidR="00C11FAE" w:rsidRPr="00A34CA4">
        <w:rPr>
          <w:rFonts w:ascii="Arial" w:hAnsi="Arial" w:cs="Arial"/>
        </w:rPr>
        <w:t xml:space="preserve"> kg</w:t>
      </w:r>
      <w:r w:rsidR="0012178C" w:rsidRPr="00A34CA4">
        <w:rPr>
          <w:rFonts w:ascii="Arial" w:hAnsi="Arial" w:cs="Arial"/>
        </w:rPr>
        <w:t>)</w:t>
      </w:r>
      <w:r w:rsidR="002063AE" w:rsidRPr="00A34CA4">
        <w:rPr>
          <w:rFonts w:ascii="Arial" w:hAnsi="Arial" w:cs="Arial"/>
        </w:rPr>
        <w:t>.</w:t>
      </w:r>
      <w:r w:rsidR="002063AE" w:rsidRPr="00AE5816">
        <w:rPr>
          <w:rFonts w:ascii="Arial" w:hAnsi="Arial" w:cs="Arial"/>
        </w:rPr>
        <w:t xml:space="preserve"> </w:t>
      </w:r>
      <w:r w:rsidR="003D6A2F" w:rsidRPr="00AE5816">
        <w:rPr>
          <w:rFonts w:ascii="Arial" w:hAnsi="Arial" w:cs="Arial"/>
        </w:rPr>
        <w:t>D</w:t>
      </w:r>
      <w:r w:rsidR="002063AE" w:rsidRPr="00AE5816">
        <w:rPr>
          <w:rFonts w:ascii="Arial" w:hAnsi="Arial" w:cs="Arial"/>
        </w:rPr>
        <w:t>ata were analysed using PROC MIXED (v9.4, SAS Institute Inc</w:t>
      </w:r>
      <w:r w:rsidR="003D6A2F" w:rsidRPr="00AE5816">
        <w:rPr>
          <w:rFonts w:ascii="Arial" w:hAnsi="Arial" w:cs="Arial"/>
        </w:rPr>
        <w:t xml:space="preserve">.) with </w:t>
      </w:r>
      <w:r w:rsidR="00A46F79" w:rsidRPr="00AE5816">
        <w:rPr>
          <w:rFonts w:ascii="Arial" w:hAnsi="Arial" w:cs="Arial"/>
        </w:rPr>
        <w:t xml:space="preserve">creep feeding </w:t>
      </w:r>
      <w:r w:rsidR="008D3131">
        <w:rPr>
          <w:rFonts w:ascii="Arial" w:hAnsi="Arial" w:cs="Arial"/>
        </w:rPr>
        <w:t xml:space="preserve">regime </w:t>
      </w:r>
      <w:r w:rsidR="00A46F79" w:rsidRPr="00AE5816">
        <w:rPr>
          <w:rFonts w:ascii="Arial" w:hAnsi="Arial" w:cs="Arial"/>
        </w:rPr>
        <w:t>(</w:t>
      </w:r>
      <w:r w:rsidR="008D3131">
        <w:rPr>
          <w:rFonts w:ascii="Arial" w:hAnsi="Arial" w:cs="Arial"/>
        </w:rPr>
        <w:t>DPS</w:t>
      </w:r>
      <w:r w:rsidR="00A46F79" w:rsidRPr="00AE5816">
        <w:rPr>
          <w:rFonts w:ascii="Arial" w:hAnsi="Arial" w:cs="Arial"/>
        </w:rPr>
        <w:t xml:space="preserve"> or </w:t>
      </w:r>
      <w:r w:rsidR="008D3131">
        <w:rPr>
          <w:rFonts w:ascii="Arial" w:hAnsi="Arial" w:cs="Arial"/>
        </w:rPr>
        <w:t>LMR+S</w:t>
      </w:r>
      <w:r w:rsidR="00A46F79" w:rsidRPr="00AE5816">
        <w:rPr>
          <w:rFonts w:ascii="Arial" w:hAnsi="Arial" w:cs="Arial"/>
        </w:rPr>
        <w:t>), pen hygiene (standard or optimal</w:t>
      </w:r>
      <w:r w:rsidR="003D6A2F" w:rsidRPr="00AE5816">
        <w:rPr>
          <w:rFonts w:ascii="Arial" w:hAnsi="Arial" w:cs="Arial"/>
        </w:rPr>
        <w:t>) and their associated interactions as fixed effects</w:t>
      </w:r>
      <w:r w:rsidR="00F966BE">
        <w:rPr>
          <w:rFonts w:ascii="Arial" w:hAnsi="Arial" w:cs="Arial"/>
        </w:rPr>
        <w:t>.</w:t>
      </w:r>
      <w:r w:rsidR="008B1437">
        <w:rPr>
          <w:rFonts w:ascii="Arial" w:hAnsi="Arial" w:cs="Arial"/>
        </w:rPr>
        <w:t xml:space="preserve"> </w:t>
      </w:r>
      <w:r w:rsidR="00F966BE">
        <w:rPr>
          <w:rFonts w:ascii="Arial" w:hAnsi="Arial" w:cs="Arial"/>
        </w:rPr>
        <w:t>B</w:t>
      </w:r>
      <w:r w:rsidR="003D6A2F" w:rsidRPr="00AE5816">
        <w:rPr>
          <w:rFonts w:ascii="Arial" w:hAnsi="Arial" w:cs="Arial"/>
        </w:rPr>
        <w:t xml:space="preserve">lock </w:t>
      </w:r>
      <w:r w:rsidR="00974AB7">
        <w:rPr>
          <w:rFonts w:ascii="Arial" w:hAnsi="Arial" w:cs="Arial"/>
        </w:rPr>
        <w:t>w</w:t>
      </w:r>
      <w:r w:rsidR="003D6A2F" w:rsidRPr="00AE5816">
        <w:rPr>
          <w:rFonts w:ascii="Arial" w:hAnsi="Arial" w:cs="Arial"/>
        </w:rPr>
        <w:t xml:space="preserve">as </w:t>
      </w:r>
      <w:r w:rsidR="00A34CA4">
        <w:rPr>
          <w:rFonts w:ascii="Arial" w:hAnsi="Arial" w:cs="Arial"/>
        </w:rPr>
        <w:t>a</w:t>
      </w:r>
      <w:r w:rsidR="00974AB7">
        <w:rPr>
          <w:rFonts w:ascii="Arial" w:hAnsi="Arial" w:cs="Arial"/>
        </w:rPr>
        <w:t xml:space="preserve"> random effect</w:t>
      </w:r>
      <w:r w:rsidR="003D6A2F" w:rsidRPr="00AE5816">
        <w:rPr>
          <w:rFonts w:ascii="Arial" w:hAnsi="Arial" w:cs="Arial"/>
        </w:rPr>
        <w:t xml:space="preserve"> a</w:t>
      </w:r>
      <w:r w:rsidR="008B1437">
        <w:rPr>
          <w:rFonts w:ascii="Arial" w:hAnsi="Arial" w:cs="Arial"/>
        </w:rPr>
        <w:t xml:space="preserve">nd piglet birth weight (for pre-weaning parameters) and </w:t>
      </w:r>
      <w:proofErr w:type="spellStart"/>
      <w:r w:rsidR="008B1437">
        <w:rPr>
          <w:rFonts w:ascii="Arial" w:hAnsi="Arial" w:cs="Arial"/>
        </w:rPr>
        <w:t>ww</w:t>
      </w:r>
      <w:proofErr w:type="spellEnd"/>
      <w:r w:rsidR="008B1437">
        <w:rPr>
          <w:rFonts w:ascii="Arial" w:hAnsi="Arial" w:cs="Arial"/>
        </w:rPr>
        <w:t xml:space="preserve"> (for post-weaning parameters) were included as co-variates</w:t>
      </w:r>
      <w:r w:rsidR="008B1437" w:rsidRPr="008B1437">
        <w:rPr>
          <w:rFonts w:ascii="Arial" w:hAnsi="Arial" w:cs="Arial"/>
        </w:rPr>
        <w:t>, when significant in the model</w:t>
      </w:r>
      <w:r w:rsidR="008B1437">
        <w:rPr>
          <w:rFonts w:ascii="Arial" w:hAnsi="Arial" w:cs="Arial"/>
        </w:rPr>
        <w:t xml:space="preserve">. </w:t>
      </w:r>
      <w:r w:rsidR="003D6A2F" w:rsidRPr="00AE5816">
        <w:rPr>
          <w:rFonts w:ascii="Arial" w:hAnsi="Arial" w:cs="Arial"/>
        </w:rPr>
        <w:t xml:space="preserve">The litter/sow was the experimental unit </w:t>
      </w:r>
      <w:r w:rsidR="00CA706B">
        <w:rPr>
          <w:rFonts w:ascii="Arial" w:hAnsi="Arial" w:cs="Arial"/>
        </w:rPr>
        <w:t>prior to weaning</w:t>
      </w:r>
      <w:r w:rsidR="003D6A2F" w:rsidRPr="00AE5816">
        <w:rPr>
          <w:rFonts w:ascii="Arial" w:hAnsi="Arial" w:cs="Arial"/>
        </w:rPr>
        <w:t xml:space="preserve"> and pen group </w:t>
      </w:r>
      <w:r w:rsidR="00A46F79" w:rsidRPr="00AE5816">
        <w:rPr>
          <w:rFonts w:ascii="Arial" w:hAnsi="Arial" w:cs="Arial"/>
        </w:rPr>
        <w:t xml:space="preserve">was </w:t>
      </w:r>
      <w:r w:rsidR="00CA706B">
        <w:rPr>
          <w:rFonts w:ascii="Arial" w:hAnsi="Arial" w:cs="Arial"/>
        </w:rPr>
        <w:t xml:space="preserve">the experimental unit </w:t>
      </w:r>
      <w:r w:rsidR="00A46F79" w:rsidRPr="00AE5816">
        <w:rPr>
          <w:rFonts w:ascii="Arial" w:hAnsi="Arial" w:cs="Arial"/>
        </w:rPr>
        <w:t xml:space="preserve">post-weaning. </w:t>
      </w:r>
      <w:r w:rsidR="00CA706B">
        <w:rPr>
          <w:rFonts w:ascii="Arial" w:hAnsi="Arial" w:cs="Arial"/>
        </w:rPr>
        <w:t>Pre</w:t>
      </w:r>
      <w:r w:rsidR="002D2DD8">
        <w:rPr>
          <w:rFonts w:ascii="Arial" w:hAnsi="Arial" w:cs="Arial"/>
        </w:rPr>
        <w:t xml:space="preserve">-weaning mortality </w:t>
      </w:r>
      <w:r w:rsidR="00280366">
        <w:rPr>
          <w:rFonts w:ascii="Arial" w:hAnsi="Arial" w:cs="Arial"/>
        </w:rPr>
        <w:t xml:space="preserve">per litter </w:t>
      </w:r>
      <w:r w:rsidR="002D2DD8">
        <w:rPr>
          <w:rFonts w:ascii="Arial" w:hAnsi="Arial" w:cs="Arial"/>
        </w:rPr>
        <w:t xml:space="preserve">and </w:t>
      </w:r>
      <w:r w:rsidR="003D32FC" w:rsidRPr="00AE5816">
        <w:rPr>
          <w:rFonts w:ascii="Arial" w:hAnsi="Arial" w:cs="Arial"/>
        </w:rPr>
        <w:t>days required to reach target slaughter weight</w:t>
      </w:r>
      <w:r w:rsidR="00272581">
        <w:rPr>
          <w:rFonts w:ascii="Arial" w:hAnsi="Arial" w:cs="Arial"/>
        </w:rPr>
        <w:t xml:space="preserve"> from weaning</w:t>
      </w:r>
      <w:r w:rsidR="008D3131">
        <w:rPr>
          <w:rFonts w:ascii="Arial" w:hAnsi="Arial" w:cs="Arial"/>
        </w:rPr>
        <w:t xml:space="preserve"> to slaughter</w:t>
      </w:r>
      <w:r w:rsidR="003D32FC" w:rsidRPr="00AE5816">
        <w:rPr>
          <w:rFonts w:ascii="Arial" w:hAnsi="Arial" w:cs="Arial"/>
        </w:rPr>
        <w:t xml:space="preserve"> </w:t>
      </w:r>
      <w:r w:rsidR="00F25CE2" w:rsidRPr="00AE5816">
        <w:rPr>
          <w:rFonts w:ascii="Arial" w:hAnsi="Arial" w:cs="Arial"/>
        </w:rPr>
        <w:t>w</w:t>
      </w:r>
      <w:r w:rsidR="005A6DED">
        <w:rPr>
          <w:rFonts w:ascii="Arial" w:hAnsi="Arial" w:cs="Arial"/>
        </w:rPr>
        <w:t>ere</w:t>
      </w:r>
      <w:r w:rsidR="00F25CE2" w:rsidRPr="00AE5816">
        <w:rPr>
          <w:rFonts w:ascii="Arial" w:hAnsi="Arial" w:cs="Arial"/>
        </w:rPr>
        <w:t xml:space="preserve"> analysed using PROC GLIMMIX with multinomial distribution. </w:t>
      </w:r>
      <w:r w:rsidR="00A46F79" w:rsidRPr="00AE5816">
        <w:rPr>
          <w:rFonts w:ascii="Arial" w:hAnsi="Arial" w:cs="Arial"/>
        </w:rPr>
        <w:t>The Tukey-Kramer adjustment was applied for multiple comparison of means</w:t>
      </w:r>
      <w:r w:rsidR="00CA706B">
        <w:rPr>
          <w:rFonts w:ascii="Arial" w:hAnsi="Arial" w:cs="Arial"/>
        </w:rPr>
        <w:t xml:space="preserve"> and </w:t>
      </w:r>
      <w:r w:rsidR="00A46F79" w:rsidRPr="00AE5816">
        <w:rPr>
          <w:rFonts w:ascii="Arial" w:hAnsi="Arial" w:cs="Arial"/>
        </w:rPr>
        <w:t xml:space="preserve">differences were considered </w:t>
      </w:r>
      <w:r w:rsidR="00CA706B">
        <w:rPr>
          <w:rFonts w:ascii="Arial" w:hAnsi="Arial" w:cs="Arial"/>
        </w:rPr>
        <w:t xml:space="preserve">significant </w:t>
      </w:r>
      <w:r w:rsidR="00A46F79" w:rsidRPr="00AE5816">
        <w:rPr>
          <w:rFonts w:ascii="Arial" w:hAnsi="Arial" w:cs="Arial"/>
        </w:rPr>
        <w:t>when P≤0.05.</w:t>
      </w:r>
    </w:p>
    <w:p w14:paraId="0A0F0875" w14:textId="70C9E2C8" w:rsidR="00623043" w:rsidRDefault="00192F69" w:rsidP="003A0E5D">
      <w:pPr>
        <w:rPr>
          <w:rFonts w:ascii="Arial" w:hAnsi="Arial" w:cs="Arial"/>
        </w:rPr>
      </w:pPr>
      <w:r w:rsidRPr="00AE5816">
        <w:rPr>
          <w:rFonts w:ascii="Arial" w:hAnsi="Arial" w:cs="Arial"/>
        </w:rPr>
        <w:t>Results:</w:t>
      </w:r>
      <w:r w:rsidR="00016AD5" w:rsidRPr="00016AD5">
        <w:t xml:space="preserve"> </w:t>
      </w:r>
      <w:r w:rsidR="00062DA9" w:rsidRPr="00744D32">
        <w:rPr>
          <w:rFonts w:ascii="Arial" w:hAnsi="Arial" w:cs="Arial"/>
        </w:rPr>
        <w:t>At entry of sows to farrowing accommodation, o</w:t>
      </w:r>
      <w:r w:rsidR="00D91E0A" w:rsidRPr="009F793C">
        <w:rPr>
          <w:rFonts w:ascii="Arial" w:hAnsi="Arial" w:cs="Arial"/>
        </w:rPr>
        <w:t xml:space="preserve">ptimal hygiene pens had lower </w:t>
      </w:r>
      <w:r w:rsidR="00D91E0A" w:rsidRPr="009F793C">
        <w:rPr>
          <w:rFonts w:ascii="Arial" w:hAnsi="Arial" w:cs="Arial"/>
          <w:i/>
        </w:rPr>
        <w:t>Enterobacteriaceae</w:t>
      </w:r>
      <w:r w:rsidR="00062DA9" w:rsidRPr="009F793C">
        <w:rPr>
          <w:rFonts w:ascii="Arial" w:hAnsi="Arial" w:cs="Arial"/>
          <w:i/>
        </w:rPr>
        <w:t xml:space="preserve"> </w:t>
      </w:r>
      <w:r w:rsidR="00062DA9" w:rsidRPr="009F793C">
        <w:rPr>
          <w:rFonts w:ascii="Arial" w:hAnsi="Arial" w:cs="Arial"/>
        </w:rPr>
        <w:t>counts</w:t>
      </w:r>
      <w:r w:rsidR="00D91E0A" w:rsidRPr="009F793C">
        <w:rPr>
          <w:rFonts w:ascii="Arial" w:hAnsi="Arial" w:cs="Arial"/>
        </w:rPr>
        <w:t xml:space="preserve"> (0.4 vs 3.5 ± 0.10 log</w:t>
      </w:r>
      <w:r w:rsidR="00D91E0A" w:rsidRPr="009F793C">
        <w:rPr>
          <w:rFonts w:ascii="Arial" w:hAnsi="Arial" w:cs="Arial"/>
          <w:vertAlign w:val="subscript"/>
        </w:rPr>
        <w:t>10</w:t>
      </w:r>
      <w:r w:rsidR="00D91E0A" w:rsidRPr="009F793C">
        <w:rPr>
          <w:rFonts w:ascii="Arial" w:hAnsi="Arial" w:cs="Arial"/>
        </w:rPr>
        <w:t xml:space="preserve"> CFU</w:t>
      </w:r>
      <w:r w:rsidR="00062DA9" w:rsidRPr="009F793C">
        <w:rPr>
          <w:rFonts w:ascii="Arial" w:hAnsi="Arial" w:cs="Arial"/>
        </w:rPr>
        <w:t>/cm</w:t>
      </w:r>
      <w:r w:rsidR="00062DA9" w:rsidRPr="009F793C">
        <w:rPr>
          <w:rFonts w:ascii="Arial" w:hAnsi="Arial" w:cs="Arial"/>
          <w:vertAlign w:val="superscript"/>
        </w:rPr>
        <w:t>2</w:t>
      </w:r>
      <w:r w:rsidR="00D91E0A" w:rsidRPr="009F793C">
        <w:rPr>
          <w:rFonts w:ascii="Arial" w:hAnsi="Arial" w:cs="Arial"/>
        </w:rPr>
        <w:t xml:space="preserve">) and </w:t>
      </w:r>
      <w:r w:rsidR="00ED679F" w:rsidRPr="00ED679F">
        <w:rPr>
          <w:rFonts w:ascii="Arial" w:hAnsi="Arial" w:cs="Arial"/>
        </w:rPr>
        <w:t>total bacterial counts</w:t>
      </w:r>
      <w:r w:rsidR="00D91E0A" w:rsidRPr="009F793C">
        <w:rPr>
          <w:rFonts w:ascii="Arial" w:hAnsi="Arial" w:cs="Arial"/>
        </w:rPr>
        <w:t xml:space="preserve"> (2.1 vs 4.9 ± 0.14 log</w:t>
      </w:r>
      <w:r w:rsidR="00D91E0A" w:rsidRPr="009F793C">
        <w:rPr>
          <w:rFonts w:ascii="Arial" w:hAnsi="Arial" w:cs="Arial"/>
          <w:vertAlign w:val="subscript"/>
        </w:rPr>
        <w:t>10</w:t>
      </w:r>
      <w:r w:rsidR="00D91E0A" w:rsidRPr="009F793C">
        <w:rPr>
          <w:rFonts w:ascii="Arial" w:hAnsi="Arial" w:cs="Arial"/>
        </w:rPr>
        <w:t xml:space="preserve"> CFU</w:t>
      </w:r>
      <w:r w:rsidR="00062DA9" w:rsidRPr="009F793C">
        <w:rPr>
          <w:rFonts w:ascii="Arial" w:hAnsi="Arial" w:cs="Arial"/>
        </w:rPr>
        <w:t>/cm</w:t>
      </w:r>
      <w:r w:rsidR="00062DA9" w:rsidRPr="009F793C">
        <w:rPr>
          <w:rFonts w:ascii="Arial" w:hAnsi="Arial" w:cs="Arial"/>
          <w:vertAlign w:val="superscript"/>
        </w:rPr>
        <w:t>2</w:t>
      </w:r>
      <w:r w:rsidR="00D91E0A" w:rsidRPr="009F793C">
        <w:rPr>
          <w:rFonts w:ascii="Arial" w:hAnsi="Arial" w:cs="Arial"/>
        </w:rPr>
        <w:t xml:space="preserve">) compared to standard hygiene pens (P&lt;0.05). </w:t>
      </w:r>
      <w:r w:rsidR="002063AE" w:rsidRPr="00AE5816">
        <w:rPr>
          <w:rFonts w:ascii="Arial" w:hAnsi="Arial" w:cs="Arial"/>
        </w:rPr>
        <w:t xml:space="preserve">There was a creep feeding </w:t>
      </w:r>
      <w:r w:rsidR="0088384C">
        <w:rPr>
          <w:rFonts w:ascii="Arial" w:hAnsi="Arial" w:cs="Arial"/>
        </w:rPr>
        <w:t>×</w:t>
      </w:r>
      <w:r w:rsidR="00CA706B" w:rsidRPr="00AE5816">
        <w:rPr>
          <w:rFonts w:ascii="Arial" w:hAnsi="Arial" w:cs="Arial"/>
        </w:rPr>
        <w:t xml:space="preserve"> </w:t>
      </w:r>
      <w:r w:rsidR="002063AE" w:rsidRPr="00AE5816">
        <w:rPr>
          <w:rFonts w:ascii="Arial" w:hAnsi="Arial" w:cs="Arial"/>
        </w:rPr>
        <w:t xml:space="preserve">hygiene interaction </w:t>
      </w:r>
      <w:r w:rsidR="00CA706B">
        <w:rPr>
          <w:rFonts w:ascii="Arial" w:hAnsi="Arial" w:cs="Arial"/>
        </w:rPr>
        <w:t>for</w:t>
      </w:r>
      <w:r w:rsidR="00CA706B" w:rsidRPr="00AE5816">
        <w:rPr>
          <w:rFonts w:ascii="Arial" w:hAnsi="Arial" w:cs="Arial"/>
        </w:rPr>
        <w:t xml:space="preserve"> </w:t>
      </w:r>
      <w:proofErr w:type="spellStart"/>
      <w:r w:rsidR="003B50DF">
        <w:rPr>
          <w:rFonts w:ascii="Arial" w:hAnsi="Arial" w:cs="Arial"/>
        </w:rPr>
        <w:t>ww</w:t>
      </w:r>
      <w:proofErr w:type="spellEnd"/>
      <w:r w:rsidR="002063AE" w:rsidRPr="00AE5816">
        <w:rPr>
          <w:rFonts w:ascii="Arial" w:hAnsi="Arial" w:cs="Arial"/>
        </w:rPr>
        <w:t xml:space="preserve">. </w:t>
      </w:r>
      <w:r w:rsidR="00062DA9">
        <w:rPr>
          <w:rFonts w:ascii="Arial" w:hAnsi="Arial" w:cs="Arial"/>
        </w:rPr>
        <w:t>Weaning weight was higher for LMR+S compared to DPS i</w:t>
      </w:r>
      <w:r w:rsidR="002063AE" w:rsidRPr="00AE5816">
        <w:rPr>
          <w:rFonts w:ascii="Arial" w:hAnsi="Arial" w:cs="Arial"/>
        </w:rPr>
        <w:t>n both standard and optimal hygiene environments (</w:t>
      </w:r>
      <w:r w:rsidR="00ED5648">
        <w:rPr>
          <w:rFonts w:ascii="Arial" w:hAnsi="Arial" w:cs="Arial"/>
        </w:rPr>
        <w:t xml:space="preserve">Table 1; </w:t>
      </w:r>
      <w:r w:rsidR="002063AE" w:rsidRPr="00AE5816">
        <w:rPr>
          <w:rFonts w:ascii="Arial" w:hAnsi="Arial" w:cs="Arial"/>
        </w:rPr>
        <w:t>P&lt;0.05)</w:t>
      </w:r>
      <w:r w:rsidR="00D501B4">
        <w:rPr>
          <w:rFonts w:ascii="Arial" w:hAnsi="Arial" w:cs="Arial"/>
        </w:rPr>
        <w:t xml:space="preserve">. </w:t>
      </w:r>
      <w:r w:rsidR="00E55503">
        <w:rPr>
          <w:rFonts w:ascii="Arial" w:hAnsi="Arial" w:cs="Arial"/>
        </w:rPr>
        <w:t>A</w:t>
      </w:r>
      <w:r w:rsidR="00C556D2" w:rsidDel="005D58A0">
        <w:rPr>
          <w:rFonts w:ascii="Arial" w:hAnsi="Arial" w:cs="Arial"/>
        </w:rPr>
        <w:t>t weaning</w:t>
      </w:r>
      <w:r w:rsidR="00CA706B" w:rsidDel="005D58A0">
        <w:rPr>
          <w:rFonts w:ascii="Arial" w:hAnsi="Arial" w:cs="Arial"/>
        </w:rPr>
        <w:t xml:space="preserve"> </w:t>
      </w:r>
      <w:r w:rsidR="00E55503">
        <w:rPr>
          <w:rFonts w:ascii="Arial" w:hAnsi="Arial" w:cs="Arial"/>
        </w:rPr>
        <w:t>LMR+S piglets</w:t>
      </w:r>
      <w:r w:rsidR="00E55503" w:rsidRPr="00AE5816" w:rsidDel="005D58A0">
        <w:rPr>
          <w:rFonts w:ascii="Arial" w:hAnsi="Arial" w:cs="Arial"/>
        </w:rPr>
        <w:t xml:space="preserve"> </w:t>
      </w:r>
      <w:r w:rsidR="00E55503" w:rsidDel="005D58A0">
        <w:rPr>
          <w:rFonts w:ascii="Arial" w:hAnsi="Arial" w:cs="Arial"/>
        </w:rPr>
        <w:t xml:space="preserve">were heavier </w:t>
      </w:r>
      <w:r w:rsidR="00CA706B" w:rsidDel="005D58A0">
        <w:rPr>
          <w:rFonts w:ascii="Arial" w:hAnsi="Arial" w:cs="Arial"/>
        </w:rPr>
        <w:t>than</w:t>
      </w:r>
      <w:r w:rsidR="003B50DF" w:rsidDel="005D58A0">
        <w:rPr>
          <w:rFonts w:ascii="Arial" w:hAnsi="Arial" w:cs="Arial"/>
        </w:rPr>
        <w:t xml:space="preserve"> </w:t>
      </w:r>
      <w:r w:rsidR="00E55503">
        <w:rPr>
          <w:rFonts w:ascii="Arial" w:hAnsi="Arial" w:cs="Arial"/>
        </w:rPr>
        <w:t>DPS</w:t>
      </w:r>
      <w:r w:rsidR="002063AE" w:rsidRPr="00AE5816" w:rsidDel="005D58A0">
        <w:rPr>
          <w:rFonts w:ascii="Arial" w:hAnsi="Arial" w:cs="Arial"/>
        </w:rPr>
        <w:t xml:space="preserve"> </w:t>
      </w:r>
      <w:r w:rsidR="00E55503">
        <w:rPr>
          <w:rFonts w:ascii="Arial" w:hAnsi="Arial" w:cs="Arial"/>
        </w:rPr>
        <w:t>piglets</w:t>
      </w:r>
      <w:r w:rsidR="002063AE" w:rsidRPr="00AE5816" w:rsidDel="005D58A0">
        <w:rPr>
          <w:rFonts w:ascii="Arial" w:hAnsi="Arial" w:cs="Arial"/>
        </w:rPr>
        <w:t xml:space="preserve"> (</w:t>
      </w:r>
      <w:r w:rsidR="003B50DF" w:rsidDel="005D58A0">
        <w:rPr>
          <w:rFonts w:ascii="Arial" w:hAnsi="Arial" w:cs="Arial"/>
        </w:rPr>
        <w:t>8.</w:t>
      </w:r>
      <w:r w:rsidR="00C556D2" w:rsidDel="005D58A0">
        <w:rPr>
          <w:rFonts w:ascii="Arial" w:hAnsi="Arial" w:cs="Arial"/>
        </w:rPr>
        <w:t xml:space="preserve">9 </w:t>
      </w:r>
      <w:r w:rsidR="003B50DF" w:rsidDel="005D58A0">
        <w:rPr>
          <w:rFonts w:ascii="Arial" w:hAnsi="Arial" w:cs="Arial"/>
        </w:rPr>
        <w:t>vs 8.</w:t>
      </w:r>
      <w:r w:rsidR="00C556D2" w:rsidDel="005D58A0">
        <w:rPr>
          <w:rFonts w:ascii="Arial" w:hAnsi="Arial" w:cs="Arial"/>
        </w:rPr>
        <w:t>3</w:t>
      </w:r>
      <w:r w:rsidR="002A358B" w:rsidDel="005D58A0">
        <w:rPr>
          <w:rFonts w:ascii="Arial" w:hAnsi="Arial" w:cs="Arial"/>
        </w:rPr>
        <w:t xml:space="preserve"> </w:t>
      </w:r>
      <w:r w:rsidR="00C556D2" w:rsidDel="005D58A0">
        <w:rPr>
          <w:rFonts w:ascii="Arial" w:hAnsi="Arial" w:cs="Arial"/>
        </w:rPr>
        <w:t>±</w:t>
      </w:r>
      <w:r w:rsidR="003B50DF" w:rsidDel="005D58A0">
        <w:rPr>
          <w:rFonts w:ascii="Arial" w:hAnsi="Arial" w:cs="Arial"/>
        </w:rPr>
        <w:t xml:space="preserve"> 0.</w:t>
      </w:r>
      <w:r w:rsidR="004F0572" w:rsidDel="005D58A0">
        <w:rPr>
          <w:rFonts w:ascii="Arial" w:hAnsi="Arial" w:cs="Arial"/>
        </w:rPr>
        <w:t xml:space="preserve">12 </w:t>
      </w:r>
      <w:r w:rsidR="002A358B" w:rsidDel="005D58A0">
        <w:rPr>
          <w:rFonts w:ascii="Arial" w:hAnsi="Arial" w:cs="Arial"/>
        </w:rPr>
        <w:t>Kg</w:t>
      </w:r>
      <w:r w:rsidR="003B50DF" w:rsidDel="005D58A0">
        <w:rPr>
          <w:rFonts w:ascii="Arial" w:hAnsi="Arial" w:cs="Arial"/>
        </w:rPr>
        <w:t xml:space="preserve">; </w:t>
      </w:r>
      <w:r w:rsidR="002063AE" w:rsidRPr="00AE5816" w:rsidDel="005D58A0">
        <w:rPr>
          <w:rFonts w:ascii="Arial" w:hAnsi="Arial" w:cs="Arial"/>
        </w:rPr>
        <w:t xml:space="preserve">P&lt;0.05). </w:t>
      </w:r>
      <w:r w:rsidR="002063AE" w:rsidRPr="00AE5816">
        <w:rPr>
          <w:rFonts w:ascii="Arial" w:hAnsi="Arial" w:cs="Arial"/>
        </w:rPr>
        <w:t xml:space="preserve">There was a creep feeding </w:t>
      </w:r>
      <w:r w:rsidR="0088384C">
        <w:rPr>
          <w:rFonts w:ascii="Arial" w:hAnsi="Arial" w:cs="Arial"/>
        </w:rPr>
        <w:t>×</w:t>
      </w:r>
      <w:r w:rsidR="002063AE" w:rsidRPr="00AE5816">
        <w:rPr>
          <w:rFonts w:ascii="Arial" w:hAnsi="Arial" w:cs="Arial"/>
        </w:rPr>
        <w:t xml:space="preserve"> hygiene interaction </w:t>
      </w:r>
      <w:r w:rsidR="00D501B4">
        <w:rPr>
          <w:rFonts w:ascii="Arial" w:hAnsi="Arial" w:cs="Arial"/>
        </w:rPr>
        <w:t>for</w:t>
      </w:r>
      <w:r w:rsidR="002063AE" w:rsidRPr="00AE5816">
        <w:rPr>
          <w:rFonts w:ascii="Arial" w:hAnsi="Arial" w:cs="Arial"/>
        </w:rPr>
        <w:t xml:space="preserve"> DMI from d4-28</w:t>
      </w:r>
      <w:r w:rsidR="00E55503">
        <w:rPr>
          <w:rFonts w:ascii="Arial" w:hAnsi="Arial" w:cs="Arial"/>
        </w:rPr>
        <w:t xml:space="preserve"> of lactation; </w:t>
      </w:r>
      <w:r w:rsidR="002063AE" w:rsidRPr="00AE5816">
        <w:rPr>
          <w:rFonts w:ascii="Arial" w:hAnsi="Arial" w:cs="Arial"/>
        </w:rPr>
        <w:t>DMI</w:t>
      </w:r>
      <w:r w:rsidR="00C556D2">
        <w:rPr>
          <w:rFonts w:ascii="Arial" w:hAnsi="Arial" w:cs="Arial"/>
        </w:rPr>
        <w:t xml:space="preserve"> was increased by </w:t>
      </w:r>
      <w:r w:rsidR="00E55503">
        <w:rPr>
          <w:rFonts w:ascii="Arial" w:hAnsi="Arial" w:cs="Arial"/>
        </w:rPr>
        <w:t>LMR+S</w:t>
      </w:r>
      <w:r w:rsidR="002063AE" w:rsidRPr="00AE5816">
        <w:rPr>
          <w:rFonts w:ascii="Arial" w:hAnsi="Arial" w:cs="Arial"/>
        </w:rPr>
        <w:t xml:space="preserve"> in </w:t>
      </w:r>
      <w:r w:rsidR="00E55503">
        <w:rPr>
          <w:rFonts w:ascii="Arial" w:hAnsi="Arial" w:cs="Arial"/>
        </w:rPr>
        <w:t xml:space="preserve">the </w:t>
      </w:r>
      <w:r w:rsidR="002063AE" w:rsidRPr="00AE5816">
        <w:rPr>
          <w:rFonts w:ascii="Arial" w:hAnsi="Arial" w:cs="Arial"/>
        </w:rPr>
        <w:t xml:space="preserve">optimal </w:t>
      </w:r>
      <w:r w:rsidR="00E55503">
        <w:rPr>
          <w:rFonts w:ascii="Arial" w:hAnsi="Arial" w:cs="Arial"/>
        </w:rPr>
        <w:t>but not</w:t>
      </w:r>
      <w:r w:rsidR="00D501B4">
        <w:rPr>
          <w:rFonts w:ascii="Arial" w:hAnsi="Arial" w:cs="Arial"/>
        </w:rPr>
        <w:t xml:space="preserve"> the </w:t>
      </w:r>
      <w:r w:rsidR="00D501B4" w:rsidRPr="00AE5816">
        <w:rPr>
          <w:rFonts w:ascii="Arial" w:hAnsi="Arial" w:cs="Arial"/>
        </w:rPr>
        <w:t xml:space="preserve">standard </w:t>
      </w:r>
      <w:r w:rsidR="002063AE" w:rsidRPr="00AE5816">
        <w:rPr>
          <w:rFonts w:ascii="Arial" w:hAnsi="Arial" w:cs="Arial"/>
        </w:rPr>
        <w:t xml:space="preserve">hygiene </w:t>
      </w:r>
      <w:r w:rsidR="002063AE" w:rsidRPr="00AE5816">
        <w:rPr>
          <w:rFonts w:ascii="Arial" w:hAnsi="Arial" w:cs="Arial"/>
        </w:rPr>
        <w:lastRenderedPageBreak/>
        <w:t>environment (</w:t>
      </w:r>
      <w:r w:rsidR="00ED5648">
        <w:rPr>
          <w:rFonts w:ascii="Arial" w:hAnsi="Arial" w:cs="Arial"/>
        </w:rPr>
        <w:t xml:space="preserve">Table 1; </w:t>
      </w:r>
      <w:r w:rsidR="002063AE" w:rsidRPr="00AE5816">
        <w:rPr>
          <w:rFonts w:ascii="Arial" w:hAnsi="Arial" w:cs="Arial"/>
        </w:rPr>
        <w:t>P&lt;0.05).</w:t>
      </w:r>
      <w:r w:rsidR="00E55503">
        <w:rPr>
          <w:rFonts w:ascii="Arial" w:hAnsi="Arial" w:cs="Arial"/>
        </w:rPr>
        <w:t xml:space="preserve"> </w:t>
      </w:r>
      <w:r w:rsidR="00CF3B5F">
        <w:rPr>
          <w:rFonts w:ascii="Arial" w:hAnsi="Arial" w:cs="Arial"/>
        </w:rPr>
        <w:t xml:space="preserve">The </w:t>
      </w:r>
      <w:r w:rsidR="00E55503">
        <w:rPr>
          <w:rFonts w:ascii="Arial" w:hAnsi="Arial" w:cs="Arial"/>
        </w:rPr>
        <w:t xml:space="preserve">DMI of piglets was higher in the </w:t>
      </w:r>
      <w:r w:rsidR="00C556D2">
        <w:rPr>
          <w:rFonts w:ascii="Arial" w:hAnsi="Arial" w:cs="Arial"/>
        </w:rPr>
        <w:t>o</w:t>
      </w:r>
      <w:r w:rsidR="00C556D2" w:rsidRPr="00AE5816">
        <w:rPr>
          <w:rFonts w:ascii="Arial" w:hAnsi="Arial" w:cs="Arial"/>
        </w:rPr>
        <w:t xml:space="preserve">ptimal </w:t>
      </w:r>
      <w:r w:rsidR="00CF3B5F">
        <w:rPr>
          <w:rFonts w:ascii="Arial" w:hAnsi="Arial" w:cs="Arial"/>
        </w:rPr>
        <w:t>compared to the</w:t>
      </w:r>
      <w:r w:rsidR="00C556D2">
        <w:rPr>
          <w:rFonts w:ascii="Arial" w:hAnsi="Arial" w:cs="Arial"/>
        </w:rPr>
        <w:t xml:space="preserve"> standard hygiene</w:t>
      </w:r>
      <w:r w:rsidR="002063AE" w:rsidRPr="00AE5816">
        <w:rPr>
          <w:rFonts w:ascii="Arial" w:hAnsi="Arial" w:cs="Arial"/>
        </w:rPr>
        <w:t xml:space="preserve"> </w:t>
      </w:r>
      <w:r w:rsidR="00F003AA" w:rsidRPr="00F003AA">
        <w:rPr>
          <w:rFonts w:ascii="Arial" w:hAnsi="Arial" w:cs="Arial"/>
        </w:rPr>
        <w:t xml:space="preserve">environment </w:t>
      </w:r>
      <w:r w:rsidR="002063AE" w:rsidRPr="00AE5816">
        <w:rPr>
          <w:rFonts w:ascii="Arial" w:hAnsi="Arial" w:cs="Arial"/>
        </w:rPr>
        <w:t>(</w:t>
      </w:r>
      <w:r w:rsidR="003B50DF">
        <w:rPr>
          <w:rFonts w:ascii="Arial" w:hAnsi="Arial" w:cs="Arial"/>
        </w:rPr>
        <w:t xml:space="preserve">475 vs 326 </w:t>
      </w:r>
      <w:r w:rsidR="00C556D2">
        <w:rPr>
          <w:rFonts w:ascii="Arial" w:hAnsi="Arial" w:cs="Arial"/>
        </w:rPr>
        <w:t>±</w:t>
      </w:r>
      <w:r w:rsidR="00911087">
        <w:rPr>
          <w:rFonts w:ascii="Arial" w:hAnsi="Arial" w:cs="Arial"/>
        </w:rPr>
        <w:t xml:space="preserve"> </w:t>
      </w:r>
      <w:r w:rsidR="003B50DF">
        <w:rPr>
          <w:rFonts w:ascii="Arial" w:hAnsi="Arial" w:cs="Arial"/>
        </w:rPr>
        <w:t>34.8</w:t>
      </w:r>
      <w:r w:rsidR="0088384C" w:rsidRPr="0088384C">
        <w:rPr>
          <w:rFonts w:ascii="Arial" w:hAnsi="Arial" w:cs="Arial"/>
        </w:rPr>
        <w:t xml:space="preserve"> </w:t>
      </w:r>
      <w:r w:rsidR="0088384C">
        <w:rPr>
          <w:rFonts w:ascii="Arial" w:hAnsi="Arial" w:cs="Arial"/>
        </w:rPr>
        <w:t>g</w:t>
      </w:r>
      <w:r w:rsidR="003B50DF">
        <w:rPr>
          <w:rFonts w:ascii="Arial" w:hAnsi="Arial" w:cs="Arial"/>
        </w:rPr>
        <w:t xml:space="preserve">; </w:t>
      </w:r>
      <w:r w:rsidR="002063AE" w:rsidRPr="00AE5816">
        <w:rPr>
          <w:rFonts w:ascii="Arial" w:hAnsi="Arial" w:cs="Arial"/>
        </w:rPr>
        <w:t xml:space="preserve">P&lt;0.05). </w:t>
      </w:r>
      <w:r w:rsidR="00CF3B5F">
        <w:rPr>
          <w:rFonts w:ascii="Arial" w:hAnsi="Arial" w:cs="Arial"/>
        </w:rPr>
        <w:t xml:space="preserve">The </w:t>
      </w:r>
      <w:r w:rsidR="00E55503">
        <w:rPr>
          <w:rFonts w:ascii="Arial" w:hAnsi="Arial" w:cs="Arial"/>
        </w:rPr>
        <w:t>ADG was higher</w:t>
      </w:r>
      <w:r w:rsidR="002063AE" w:rsidRPr="00AE5816">
        <w:rPr>
          <w:rFonts w:ascii="Arial" w:hAnsi="Arial" w:cs="Arial"/>
        </w:rPr>
        <w:t xml:space="preserve"> </w:t>
      </w:r>
      <w:r w:rsidR="00E55503">
        <w:rPr>
          <w:rFonts w:ascii="Arial" w:hAnsi="Arial" w:cs="Arial"/>
        </w:rPr>
        <w:t xml:space="preserve">for LMR+S compared to DPS </w:t>
      </w:r>
      <w:r w:rsidR="002063AE" w:rsidRPr="00AE5816">
        <w:rPr>
          <w:rFonts w:ascii="Arial" w:hAnsi="Arial" w:cs="Arial"/>
        </w:rPr>
        <w:t>(</w:t>
      </w:r>
      <w:r w:rsidR="00C556D2">
        <w:rPr>
          <w:rFonts w:ascii="Arial" w:hAnsi="Arial" w:cs="Arial"/>
        </w:rPr>
        <w:t>289</w:t>
      </w:r>
      <w:r w:rsidR="008E18E2">
        <w:rPr>
          <w:rFonts w:ascii="Arial" w:hAnsi="Arial" w:cs="Arial"/>
        </w:rPr>
        <w:t xml:space="preserve"> vs </w:t>
      </w:r>
      <w:r w:rsidR="00C556D2">
        <w:rPr>
          <w:rFonts w:ascii="Arial" w:hAnsi="Arial" w:cs="Arial"/>
        </w:rPr>
        <w:t>272</w:t>
      </w:r>
      <w:r w:rsidR="003B50DF">
        <w:rPr>
          <w:rFonts w:ascii="Arial" w:hAnsi="Arial" w:cs="Arial"/>
        </w:rPr>
        <w:t xml:space="preserve"> </w:t>
      </w:r>
      <w:r w:rsidR="002A358B">
        <w:rPr>
          <w:rFonts w:ascii="Arial" w:hAnsi="Arial" w:cs="Arial"/>
        </w:rPr>
        <w:t>±</w:t>
      </w:r>
      <w:r w:rsidR="00892D06">
        <w:rPr>
          <w:rFonts w:ascii="Arial" w:hAnsi="Arial" w:cs="Arial"/>
        </w:rPr>
        <w:t xml:space="preserve"> </w:t>
      </w:r>
      <w:r w:rsidR="008E18E2">
        <w:rPr>
          <w:rFonts w:ascii="Arial" w:hAnsi="Arial" w:cs="Arial"/>
        </w:rPr>
        <w:t>6.4</w:t>
      </w:r>
      <w:r w:rsidR="002A358B" w:rsidRPr="002A358B">
        <w:rPr>
          <w:rFonts w:ascii="Arial" w:hAnsi="Arial" w:cs="Arial"/>
        </w:rPr>
        <w:t xml:space="preserve"> </w:t>
      </w:r>
      <w:r w:rsidR="002A358B">
        <w:rPr>
          <w:rFonts w:ascii="Arial" w:hAnsi="Arial" w:cs="Arial"/>
        </w:rPr>
        <w:t>g/day</w:t>
      </w:r>
      <w:r w:rsidR="008E18E2">
        <w:rPr>
          <w:rFonts w:ascii="Arial" w:hAnsi="Arial" w:cs="Arial"/>
        </w:rPr>
        <w:t xml:space="preserve">; </w:t>
      </w:r>
      <w:r w:rsidR="002063AE" w:rsidRPr="00AE5816">
        <w:rPr>
          <w:rFonts w:ascii="Arial" w:hAnsi="Arial" w:cs="Arial"/>
        </w:rPr>
        <w:t>P&lt;0.05) but was not affected by</w:t>
      </w:r>
      <w:r w:rsidR="002A358B">
        <w:rPr>
          <w:rFonts w:ascii="Arial" w:hAnsi="Arial" w:cs="Arial"/>
        </w:rPr>
        <w:t xml:space="preserve"> </w:t>
      </w:r>
      <w:r w:rsidR="002063AE" w:rsidRPr="00AE5816">
        <w:rPr>
          <w:rFonts w:ascii="Arial" w:hAnsi="Arial" w:cs="Arial"/>
        </w:rPr>
        <w:t>pen hygiene (P&gt;0.05).</w:t>
      </w:r>
      <w:r w:rsidR="00593D67" w:rsidRPr="00AE5816">
        <w:rPr>
          <w:rFonts w:ascii="Arial" w:hAnsi="Arial" w:cs="Arial"/>
        </w:rPr>
        <w:t xml:space="preserve"> </w:t>
      </w:r>
      <w:r w:rsidR="006F2B08">
        <w:rPr>
          <w:rFonts w:ascii="Arial" w:hAnsi="Arial" w:cs="Arial"/>
        </w:rPr>
        <w:t>The proportion of p</w:t>
      </w:r>
      <w:r w:rsidR="002A358B">
        <w:rPr>
          <w:rFonts w:ascii="Arial" w:hAnsi="Arial" w:cs="Arial"/>
        </w:rPr>
        <w:t xml:space="preserve">iglet </w:t>
      </w:r>
      <w:r w:rsidR="006F2B08" w:rsidRPr="009F793C">
        <w:rPr>
          <w:rFonts w:ascii="Arial" w:hAnsi="Arial" w:cs="Arial"/>
        </w:rPr>
        <w:t>deaths</w:t>
      </w:r>
      <w:r w:rsidR="002A358B" w:rsidRPr="009F793C">
        <w:rPr>
          <w:rFonts w:ascii="Arial" w:hAnsi="Arial" w:cs="Arial"/>
        </w:rPr>
        <w:t xml:space="preserve"> </w:t>
      </w:r>
      <w:r w:rsidR="00362BE3" w:rsidRPr="009F793C">
        <w:rPr>
          <w:rFonts w:ascii="Arial" w:hAnsi="Arial" w:cs="Arial"/>
        </w:rPr>
        <w:t xml:space="preserve">per </w:t>
      </w:r>
      <w:r w:rsidR="00280366" w:rsidRPr="009F793C">
        <w:rPr>
          <w:rFonts w:ascii="Arial" w:hAnsi="Arial" w:cs="Arial"/>
        </w:rPr>
        <w:t>litter</w:t>
      </w:r>
      <w:r w:rsidR="00362BE3" w:rsidRPr="009F793C">
        <w:rPr>
          <w:rFonts w:ascii="Arial" w:hAnsi="Arial" w:cs="Arial"/>
        </w:rPr>
        <w:t xml:space="preserve"> </w:t>
      </w:r>
      <w:r w:rsidR="006F2B08">
        <w:rPr>
          <w:rFonts w:ascii="Arial" w:hAnsi="Arial" w:cs="Arial"/>
        </w:rPr>
        <w:t>between</w:t>
      </w:r>
      <w:r w:rsidR="00593D67" w:rsidRPr="00AE5816">
        <w:rPr>
          <w:rFonts w:ascii="Arial" w:hAnsi="Arial" w:cs="Arial"/>
        </w:rPr>
        <w:t xml:space="preserve"> d4-28 </w:t>
      </w:r>
      <w:r w:rsidR="00CF3B5F">
        <w:rPr>
          <w:rFonts w:ascii="Arial" w:hAnsi="Arial" w:cs="Arial"/>
        </w:rPr>
        <w:t>was reduced</w:t>
      </w:r>
      <w:r w:rsidR="00CF3B5F" w:rsidRPr="00CF3B5F">
        <w:rPr>
          <w:rFonts w:ascii="Arial" w:hAnsi="Arial" w:cs="Arial"/>
        </w:rPr>
        <w:t xml:space="preserve"> </w:t>
      </w:r>
      <w:r w:rsidR="007677D8">
        <w:rPr>
          <w:rFonts w:ascii="Arial" w:hAnsi="Arial" w:cs="Arial"/>
        </w:rPr>
        <w:t>by 1.01 ± 0.50%</w:t>
      </w:r>
      <w:r w:rsidR="00CF3B5F">
        <w:rPr>
          <w:rFonts w:ascii="Arial" w:hAnsi="Arial" w:cs="Arial"/>
        </w:rPr>
        <w:t xml:space="preserve"> with</w:t>
      </w:r>
      <w:r w:rsidR="006F2B08">
        <w:rPr>
          <w:rFonts w:ascii="Arial" w:hAnsi="Arial" w:cs="Arial"/>
        </w:rPr>
        <w:t xml:space="preserve"> LMR+S </w:t>
      </w:r>
      <w:r w:rsidR="007677D8">
        <w:rPr>
          <w:rFonts w:ascii="Arial" w:hAnsi="Arial" w:cs="Arial"/>
        </w:rPr>
        <w:t>(</w:t>
      </w:r>
      <w:r w:rsidR="007677D8" w:rsidRPr="00AE5816">
        <w:rPr>
          <w:rFonts w:ascii="Arial" w:hAnsi="Arial" w:cs="Arial"/>
        </w:rPr>
        <w:t>P&lt;0.05)</w:t>
      </w:r>
      <w:r w:rsidR="00CF3B5F">
        <w:rPr>
          <w:rFonts w:ascii="Arial" w:hAnsi="Arial" w:cs="Arial"/>
        </w:rPr>
        <w:t>.</w:t>
      </w:r>
      <w:r w:rsidR="002A358B" w:rsidRPr="00AE5816">
        <w:rPr>
          <w:rFonts w:ascii="Arial" w:hAnsi="Arial" w:cs="Arial"/>
        </w:rPr>
        <w:t xml:space="preserve"> </w:t>
      </w:r>
      <w:r w:rsidR="002A358B">
        <w:rPr>
          <w:rFonts w:ascii="Arial" w:hAnsi="Arial" w:cs="Arial"/>
        </w:rPr>
        <w:t>P</w:t>
      </w:r>
      <w:r w:rsidR="003D32FC" w:rsidRPr="00AE5816">
        <w:rPr>
          <w:rFonts w:ascii="Arial" w:hAnsi="Arial" w:cs="Arial"/>
        </w:rPr>
        <w:t>ost-weaning</w:t>
      </w:r>
      <w:r w:rsidR="00351438">
        <w:rPr>
          <w:rFonts w:ascii="Arial" w:hAnsi="Arial" w:cs="Arial"/>
        </w:rPr>
        <w:t>,</w:t>
      </w:r>
      <w:r w:rsidR="003D32FC" w:rsidRPr="00AE5816">
        <w:rPr>
          <w:rFonts w:ascii="Arial" w:hAnsi="Arial" w:cs="Arial"/>
        </w:rPr>
        <w:t xml:space="preserve"> </w:t>
      </w:r>
      <w:r w:rsidR="006F2B08">
        <w:rPr>
          <w:rFonts w:ascii="Arial" w:hAnsi="Arial" w:cs="Arial"/>
        </w:rPr>
        <w:t xml:space="preserve">pigs originating from </w:t>
      </w:r>
      <w:r w:rsidR="006F2B08" w:rsidRPr="00AE5816">
        <w:rPr>
          <w:rFonts w:ascii="Arial" w:hAnsi="Arial" w:cs="Arial"/>
        </w:rPr>
        <w:t>optimal hygiene</w:t>
      </w:r>
      <w:r w:rsidR="006F2B08">
        <w:rPr>
          <w:rFonts w:ascii="Arial" w:hAnsi="Arial" w:cs="Arial"/>
        </w:rPr>
        <w:t xml:space="preserve"> farrowing </w:t>
      </w:r>
      <w:r w:rsidR="006F2B08" w:rsidRPr="00AE5816">
        <w:rPr>
          <w:rFonts w:ascii="Arial" w:hAnsi="Arial" w:cs="Arial"/>
        </w:rPr>
        <w:t>pen</w:t>
      </w:r>
      <w:r w:rsidR="006F2B08">
        <w:rPr>
          <w:rFonts w:ascii="Arial" w:hAnsi="Arial" w:cs="Arial"/>
        </w:rPr>
        <w:t>s</w:t>
      </w:r>
      <w:r w:rsidR="00351438">
        <w:rPr>
          <w:rFonts w:ascii="Arial" w:hAnsi="Arial" w:cs="Arial"/>
        </w:rPr>
        <w:t xml:space="preserve"> had</w:t>
      </w:r>
      <w:r w:rsidR="00856E0C">
        <w:rPr>
          <w:rFonts w:ascii="Arial" w:hAnsi="Arial" w:cs="Arial"/>
        </w:rPr>
        <w:t xml:space="preserve"> </w:t>
      </w:r>
      <w:r w:rsidR="00280366">
        <w:rPr>
          <w:rFonts w:ascii="Arial" w:hAnsi="Arial" w:cs="Arial"/>
        </w:rPr>
        <w:t xml:space="preserve">numerically higher ADG and </w:t>
      </w:r>
      <w:r w:rsidR="003D32FC" w:rsidRPr="00AE5816">
        <w:rPr>
          <w:rFonts w:ascii="Arial" w:hAnsi="Arial" w:cs="Arial"/>
        </w:rPr>
        <w:t xml:space="preserve">reached target slaughter </w:t>
      </w:r>
      <w:r w:rsidR="00F25CE2" w:rsidRPr="00AE5816">
        <w:rPr>
          <w:rFonts w:ascii="Arial" w:hAnsi="Arial" w:cs="Arial"/>
        </w:rPr>
        <w:t>weight</w:t>
      </w:r>
      <w:r w:rsidR="003D32FC" w:rsidRPr="00AE5816">
        <w:rPr>
          <w:rFonts w:ascii="Arial" w:hAnsi="Arial" w:cs="Arial"/>
        </w:rPr>
        <w:t xml:space="preserve"> 3.8 days earlier </w:t>
      </w:r>
      <w:r w:rsidR="00351438" w:rsidRPr="00AE5816">
        <w:rPr>
          <w:rFonts w:ascii="Arial" w:hAnsi="Arial" w:cs="Arial"/>
        </w:rPr>
        <w:t>(P&lt;0.05)</w:t>
      </w:r>
      <w:r w:rsidR="00351438">
        <w:rPr>
          <w:rFonts w:ascii="Arial" w:hAnsi="Arial" w:cs="Arial"/>
        </w:rPr>
        <w:t xml:space="preserve"> </w:t>
      </w:r>
      <w:r w:rsidR="003D32FC" w:rsidRPr="00AE5816">
        <w:rPr>
          <w:rFonts w:ascii="Arial" w:hAnsi="Arial" w:cs="Arial"/>
        </w:rPr>
        <w:t>than</w:t>
      </w:r>
      <w:r w:rsidR="0035216E">
        <w:rPr>
          <w:rFonts w:ascii="Arial" w:hAnsi="Arial" w:cs="Arial"/>
        </w:rPr>
        <w:t xml:space="preserve"> pigs from</w:t>
      </w:r>
      <w:r w:rsidR="003D32FC" w:rsidRPr="00AE5816">
        <w:rPr>
          <w:rFonts w:ascii="Arial" w:hAnsi="Arial" w:cs="Arial"/>
        </w:rPr>
        <w:t xml:space="preserve"> standard hygiene </w:t>
      </w:r>
      <w:r w:rsidR="00F003AA" w:rsidRPr="00AE5816">
        <w:rPr>
          <w:rFonts w:ascii="Arial" w:hAnsi="Arial" w:cs="Arial"/>
        </w:rPr>
        <w:t>pen</w:t>
      </w:r>
      <w:r w:rsidR="00F003AA">
        <w:rPr>
          <w:rFonts w:ascii="Arial" w:hAnsi="Arial" w:cs="Arial"/>
        </w:rPr>
        <w:t>s</w:t>
      </w:r>
      <w:r w:rsidR="003D32FC" w:rsidRPr="00AE5816">
        <w:rPr>
          <w:rFonts w:ascii="Arial" w:hAnsi="Arial" w:cs="Arial"/>
        </w:rPr>
        <w:t xml:space="preserve">. </w:t>
      </w:r>
    </w:p>
    <w:p w14:paraId="27C36837" w14:textId="1B9ABF1D" w:rsidR="00AF726A" w:rsidRDefault="00AF726A" w:rsidP="00AF72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Table 1: </w:t>
      </w:r>
      <w:r w:rsidRPr="00ED5648">
        <w:rPr>
          <w:rFonts w:ascii="Arial" w:hAnsi="Arial" w:cs="Arial"/>
        </w:rPr>
        <w:t xml:space="preserve">Effect of creep feeding </w:t>
      </w:r>
      <w:r w:rsidR="00351438">
        <w:rPr>
          <w:rFonts w:ascii="Arial" w:hAnsi="Arial" w:cs="Arial"/>
        </w:rPr>
        <w:t xml:space="preserve">regime </w:t>
      </w:r>
      <w:r w:rsidRPr="00ED5648">
        <w:rPr>
          <w:rFonts w:ascii="Arial" w:hAnsi="Arial" w:cs="Arial"/>
        </w:rPr>
        <w:t>(</w:t>
      </w:r>
      <w:r w:rsidR="00351438">
        <w:rPr>
          <w:rFonts w:ascii="Arial" w:hAnsi="Arial" w:cs="Arial"/>
        </w:rPr>
        <w:t>DPS</w:t>
      </w:r>
      <w:r w:rsidRPr="00ED5648">
        <w:rPr>
          <w:rFonts w:ascii="Arial" w:hAnsi="Arial" w:cs="Arial"/>
        </w:rPr>
        <w:t xml:space="preserve"> or </w:t>
      </w:r>
      <w:r w:rsidR="00351438">
        <w:rPr>
          <w:rFonts w:ascii="Arial" w:hAnsi="Arial" w:cs="Arial"/>
        </w:rPr>
        <w:t>LMR+S</w:t>
      </w:r>
      <w:r w:rsidRPr="00ED5648">
        <w:rPr>
          <w:rFonts w:ascii="Arial" w:hAnsi="Arial" w:cs="Arial"/>
        </w:rPr>
        <w:t xml:space="preserve">) and </w:t>
      </w:r>
      <w:r>
        <w:rPr>
          <w:rFonts w:ascii="Arial" w:hAnsi="Arial" w:cs="Arial"/>
        </w:rPr>
        <w:t xml:space="preserve">farrowing </w:t>
      </w:r>
      <w:r w:rsidRPr="00ED5648">
        <w:rPr>
          <w:rFonts w:ascii="Arial" w:hAnsi="Arial" w:cs="Arial"/>
        </w:rPr>
        <w:t xml:space="preserve">pen hygiene (standard or optimal) on </w:t>
      </w:r>
      <w:r w:rsidR="00351438">
        <w:rPr>
          <w:rFonts w:ascii="Arial" w:hAnsi="Arial" w:cs="Arial"/>
        </w:rPr>
        <w:t>pre-weaning piglet feed intake and growth</w:t>
      </w:r>
      <w:r w:rsidRPr="00ED5648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Least square means</w:t>
      </w:r>
      <w:r w:rsidRPr="00ED5648">
        <w:rPr>
          <w:rFonts w:ascii="Arial" w:hAnsi="Arial" w:cs="Arial"/>
        </w:rPr>
        <w:t xml:space="preserve"> ± pooled </w:t>
      </w:r>
      <w:r w:rsidRPr="00AF726A">
        <w:rPr>
          <w:rFonts w:ascii="Arial" w:hAnsi="Arial" w:cs="Arial"/>
        </w:rPr>
        <w:t>standard errors of the mean</w:t>
      </w:r>
      <w:r>
        <w:rPr>
          <w:rFonts w:ascii="Arial" w:hAnsi="Arial" w:cs="Arial"/>
        </w:rPr>
        <w:t xml:space="preserve"> (SEM)</w:t>
      </w:r>
      <w:r w:rsidRPr="00ED5648">
        <w:rPr>
          <w:rFonts w:ascii="Arial" w:hAnsi="Arial" w:cs="Arial"/>
        </w:rPr>
        <w:t>].</w:t>
      </w:r>
    </w:p>
    <w:tbl>
      <w:tblPr>
        <w:tblStyle w:val="ListTable3-Accent1"/>
        <w:tblW w:w="14060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01"/>
        <w:gridCol w:w="1701"/>
        <w:gridCol w:w="850"/>
        <w:gridCol w:w="1426"/>
        <w:gridCol w:w="1426"/>
        <w:gridCol w:w="1427"/>
      </w:tblGrid>
      <w:tr w:rsidR="00AF726A" w:rsidRPr="007D4018" w14:paraId="0A823201" w14:textId="77777777" w:rsidTr="003E3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E81C287" w14:textId="77777777" w:rsidR="00AF726A" w:rsidRPr="00D026A0" w:rsidRDefault="00AF726A" w:rsidP="003E3930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Creep feeding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05F88" w14:textId="5079F0EC" w:rsidR="00AF726A" w:rsidRPr="00D026A0" w:rsidRDefault="00AF726A" w:rsidP="00351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D</w:t>
            </w:r>
            <w:r w:rsidR="00351438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PS</w:t>
            </w:r>
            <w:r w:rsidR="005659C3" w:rsidRPr="005659C3">
              <w:rPr>
                <w:rFonts w:ascii="Arial" w:hAnsi="Arial" w:cs="Arial"/>
                <w:color w:val="auto"/>
                <w:sz w:val="22"/>
                <w:szCs w:val="22"/>
                <w:vertAlign w:val="superscript"/>
                <w:lang w:val="en-GB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D9782" w14:textId="711C7A61" w:rsidR="00AF726A" w:rsidRPr="00D026A0" w:rsidRDefault="00351438" w:rsidP="003E393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LMR+S</w:t>
            </w:r>
            <w:r w:rsidR="005659C3" w:rsidRPr="005659C3">
              <w:rPr>
                <w:rFonts w:ascii="Arial" w:hAnsi="Arial" w:cs="Arial"/>
                <w:color w:val="auto"/>
                <w:sz w:val="22"/>
                <w:szCs w:val="22"/>
                <w:vertAlign w:val="superscript"/>
                <w:lang w:val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A2B6B" w14:textId="77777777" w:rsidR="00AF726A" w:rsidRPr="00D026A0" w:rsidRDefault="00AF726A" w:rsidP="003E393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27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0095DE" w14:textId="77777777" w:rsidR="00AF726A" w:rsidRPr="00D026A0" w:rsidRDefault="00AF726A" w:rsidP="0039000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</w:pPr>
            <w:r w:rsidRPr="0039000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P-</w:t>
            </w:r>
            <w:r w:rsidRPr="00D026A0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value</w:t>
            </w:r>
          </w:p>
        </w:tc>
      </w:tr>
      <w:tr w:rsidR="00AF726A" w:rsidRPr="007D4018" w14:paraId="4B706700" w14:textId="77777777" w:rsidTr="003E3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nil"/>
              <w:bottom w:val="nil"/>
            </w:tcBorders>
          </w:tcPr>
          <w:p w14:paraId="3FC5075C" w14:textId="77777777" w:rsidR="00AF726A" w:rsidRPr="00D026A0" w:rsidRDefault="00AF726A" w:rsidP="003E393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sz w:val="22"/>
                <w:szCs w:val="22"/>
                <w:lang w:val="en-GB"/>
              </w:rPr>
              <w:t>Hygiene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4B83AB4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sz w:val="22"/>
                <w:szCs w:val="22"/>
                <w:lang w:val="en-GB"/>
              </w:rPr>
              <w:t>OPTIMAL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AB0BC8C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sz w:val="22"/>
                <w:szCs w:val="22"/>
                <w:lang w:val="en-GB"/>
              </w:rPr>
              <w:t>STANDARD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93E0054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sz w:val="22"/>
                <w:szCs w:val="22"/>
                <w:lang w:val="en-GB"/>
              </w:rPr>
              <w:t>OPTIMAL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A9F7C92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sz w:val="22"/>
                <w:szCs w:val="22"/>
                <w:lang w:val="en-GB"/>
              </w:rPr>
              <w:t>STANDARD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37AAFA7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sz w:val="22"/>
                <w:szCs w:val="22"/>
                <w:lang w:val="en-GB"/>
              </w:rPr>
              <w:t>SEM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64B15F80" w14:textId="77777777" w:rsidR="00AF726A" w:rsidRPr="0039000A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9000A">
              <w:rPr>
                <w:rFonts w:ascii="Arial" w:hAnsi="Arial" w:cs="Arial"/>
                <w:sz w:val="22"/>
                <w:szCs w:val="22"/>
                <w:lang w:val="en-GB"/>
              </w:rPr>
              <w:t>Hygiene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03A9966F" w14:textId="77777777" w:rsidR="00AF726A" w:rsidRPr="0039000A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9000A">
              <w:rPr>
                <w:rFonts w:ascii="Arial" w:hAnsi="Arial" w:cs="Arial"/>
                <w:sz w:val="22"/>
                <w:szCs w:val="22"/>
                <w:lang w:val="en-GB"/>
              </w:rPr>
              <w:t>Creep feed</w:t>
            </w:r>
          </w:p>
        </w:tc>
        <w:tc>
          <w:tcPr>
            <w:tcW w:w="1427" w:type="dxa"/>
            <w:tcBorders>
              <w:top w:val="single" w:sz="4" w:space="0" w:color="auto"/>
              <w:bottom w:val="nil"/>
              <w:right w:val="nil"/>
            </w:tcBorders>
          </w:tcPr>
          <w:p w14:paraId="1BFCC724" w14:textId="77777777" w:rsidR="00AF726A" w:rsidRPr="0039000A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9000A">
              <w:rPr>
                <w:rFonts w:ascii="Arial" w:hAnsi="Arial" w:cs="Arial"/>
                <w:sz w:val="22"/>
                <w:szCs w:val="22"/>
                <w:lang w:val="en-GB"/>
              </w:rPr>
              <w:t>Hygiene * Creep feed</w:t>
            </w:r>
          </w:p>
        </w:tc>
      </w:tr>
      <w:tr w:rsidR="00AF726A" w:rsidRPr="007D4018" w14:paraId="6E2C2B44" w14:textId="77777777" w:rsidTr="003E3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</w:tcBorders>
          </w:tcPr>
          <w:p w14:paraId="322C4A4F" w14:textId="77777777" w:rsidR="00AF726A" w:rsidRPr="00D026A0" w:rsidRDefault="00AF726A" w:rsidP="003E3930">
            <w:pPr>
              <w:spacing w:line="36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N</w:t>
            </w: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o. </w:t>
            </w:r>
            <w:r w:rsidRPr="00D026A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sows/litters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2B9456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sz w:val="22"/>
                <w:szCs w:val="22"/>
                <w:lang w:val="en-GB"/>
              </w:rPr>
              <w:t>22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AE686B3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sz w:val="22"/>
                <w:szCs w:val="22"/>
                <w:lang w:val="en-GB"/>
              </w:rPr>
              <w:t>23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8CA6A9A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sz w:val="22"/>
                <w:szCs w:val="22"/>
                <w:lang w:val="en-GB"/>
              </w:rPr>
              <w:t>21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686D3C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sz w:val="22"/>
                <w:szCs w:val="22"/>
                <w:lang w:val="en-GB"/>
              </w:rPr>
              <w:t>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338816" w14:textId="77777777" w:rsidR="00AF726A" w:rsidRPr="00D026A0" w:rsidRDefault="00AF726A" w:rsidP="003E39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8F8A669" w14:textId="77777777" w:rsidR="00AF726A" w:rsidRPr="00D026A0" w:rsidRDefault="00AF726A" w:rsidP="003E39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614CBA1" w14:textId="77777777" w:rsidR="00AF726A" w:rsidRPr="00D026A0" w:rsidRDefault="00AF726A" w:rsidP="003E39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  <w:tc>
          <w:tcPr>
            <w:tcW w:w="1427" w:type="dxa"/>
            <w:tcBorders>
              <w:top w:val="nil"/>
              <w:bottom w:val="nil"/>
              <w:right w:val="nil"/>
            </w:tcBorders>
          </w:tcPr>
          <w:p w14:paraId="46D4D640" w14:textId="77777777" w:rsidR="00AF726A" w:rsidRPr="00D026A0" w:rsidRDefault="00AF726A" w:rsidP="003E39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tr w:rsidR="00AF726A" w:rsidRPr="007D4018" w14:paraId="2D3F9AC2" w14:textId="77777777" w:rsidTr="003E3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</w:tcBorders>
          </w:tcPr>
          <w:p w14:paraId="2F84BDA0" w14:textId="77777777" w:rsidR="00AF726A" w:rsidRPr="00D026A0" w:rsidRDefault="00AF726A" w:rsidP="003E3930">
            <w:pPr>
              <w:spacing w:line="36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Bodyweight (kg)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26B6896" w14:textId="77777777" w:rsidR="00AF726A" w:rsidRPr="00D026A0" w:rsidRDefault="00AF726A" w:rsidP="003E393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D980494" w14:textId="77777777" w:rsidR="00AF726A" w:rsidRPr="00D026A0" w:rsidRDefault="00AF726A" w:rsidP="003E393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BF4838D" w14:textId="77777777" w:rsidR="00AF726A" w:rsidRPr="00D026A0" w:rsidRDefault="00AF726A" w:rsidP="003E393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676D46" w14:textId="77777777" w:rsidR="00AF726A" w:rsidRPr="00D026A0" w:rsidRDefault="00AF726A" w:rsidP="003E393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D7E0FC" w14:textId="77777777" w:rsidR="00AF726A" w:rsidRPr="00D026A0" w:rsidRDefault="00AF726A" w:rsidP="003E393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4DEF320" w14:textId="77777777" w:rsidR="00AF726A" w:rsidRPr="00D026A0" w:rsidRDefault="00AF726A" w:rsidP="003E393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821C25B" w14:textId="77777777" w:rsidR="00AF726A" w:rsidRPr="00D026A0" w:rsidRDefault="00AF726A" w:rsidP="003E393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  <w:tc>
          <w:tcPr>
            <w:tcW w:w="1427" w:type="dxa"/>
            <w:tcBorders>
              <w:top w:val="nil"/>
              <w:bottom w:val="nil"/>
              <w:right w:val="nil"/>
            </w:tcBorders>
          </w:tcPr>
          <w:p w14:paraId="5229EB95" w14:textId="77777777" w:rsidR="00AF726A" w:rsidRPr="00D026A0" w:rsidRDefault="00AF726A" w:rsidP="003E393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tr w:rsidR="00AF726A" w:rsidRPr="007D4018" w14:paraId="31BB2A9C" w14:textId="77777777" w:rsidTr="003E3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</w:tcBorders>
          </w:tcPr>
          <w:p w14:paraId="7C20BFF7" w14:textId="77777777" w:rsidR="00AF726A" w:rsidRPr="00D026A0" w:rsidRDefault="00AF726A" w:rsidP="003E3930">
            <w:pPr>
              <w:spacing w:line="36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 Day 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16F7A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E61D5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BD8EF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E1747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26A0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109FB917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sz w:val="22"/>
                <w:szCs w:val="22"/>
                <w:lang w:val="en-GB"/>
              </w:rPr>
              <w:t>0.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C66F8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71A19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12166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</w:tr>
      <w:tr w:rsidR="00AF726A" w:rsidRPr="007D4018" w14:paraId="6A5076A3" w14:textId="77777777" w:rsidTr="003E3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</w:tcBorders>
          </w:tcPr>
          <w:p w14:paraId="745E735E" w14:textId="77777777" w:rsidR="00AF726A" w:rsidRPr="00D026A0" w:rsidRDefault="00AF726A" w:rsidP="003E3930">
            <w:pPr>
              <w:spacing w:line="36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 Day 28 (weaning)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CCF0A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8.3</w:t>
            </w:r>
            <w:r w:rsidRPr="00D026A0">
              <w:rPr>
                <w:rFonts w:ascii="Arial" w:hAnsi="Arial" w:cs="Arial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F9011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8.2</w:t>
            </w:r>
            <w:r w:rsidRPr="00D026A0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6C96C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8.9</w:t>
            </w:r>
            <w:r w:rsidRPr="00D026A0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A07A2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8.7</w:t>
            </w:r>
            <w:r w:rsidRPr="00D026A0">
              <w:rPr>
                <w:rFonts w:ascii="Arial" w:hAnsi="Arial" w:cs="Arial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5F938BB2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sz w:val="22"/>
                <w:szCs w:val="22"/>
                <w:lang w:val="en-GB"/>
              </w:rPr>
              <w:t>0.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30E32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26A0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4688A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26A0">
              <w:rPr>
                <w:rFonts w:ascii="Arial" w:hAnsi="Arial" w:cs="Arial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D026A0">
              <w:rPr>
                <w:rFonts w:ascii="Arial" w:hAnsi="Arial" w:cs="Arial"/>
                <w:sz w:val="22"/>
                <w:szCs w:val="22"/>
              </w:rPr>
              <w:t>.01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B1779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</w:t>
            </w:r>
          </w:p>
        </w:tc>
      </w:tr>
      <w:tr w:rsidR="00AF726A" w:rsidRPr="007D4018" w14:paraId="266E0C46" w14:textId="77777777" w:rsidTr="003E3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</w:tcBorders>
          </w:tcPr>
          <w:p w14:paraId="2BE44AD2" w14:textId="77777777" w:rsidR="00AF726A" w:rsidRPr="00D026A0" w:rsidRDefault="00AF726A" w:rsidP="003E393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71A93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373C3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CCB25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A12F9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3FE6ADB4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2A4AA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3D22A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28F3D" w14:textId="77777777" w:rsidR="00AF726A" w:rsidRPr="00D026A0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26A" w:rsidRPr="007D4018" w14:paraId="42136C2A" w14:textId="77777777" w:rsidTr="003E3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</w:tcBorders>
          </w:tcPr>
          <w:p w14:paraId="66D9AF98" w14:textId="39BA6018" w:rsidR="00AF726A" w:rsidRPr="00D026A0" w:rsidRDefault="005659C3" w:rsidP="005659C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de-CH"/>
              </w:rPr>
              <w:t xml:space="preserve">Total dry matter intake </w:t>
            </w:r>
            <w:r w:rsidR="00AF726A" w:rsidRPr="00D026A0">
              <w:rPr>
                <w:rFonts w:ascii="Arial" w:hAnsi="Arial" w:cs="Arial"/>
                <w:b w:val="0"/>
                <w:sz w:val="22"/>
                <w:szCs w:val="22"/>
                <w:lang w:val="de-CH"/>
              </w:rPr>
              <w:t>(g/pig)</w:t>
            </w:r>
            <w:r w:rsidR="00FF5CCC">
              <w:rPr>
                <w:rFonts w:ascii="Arial" w:hAnsi="Arial" w:cs="Arial"/>
                <w:b w:val="0"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325613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26A0">
              <w:rPr>
                <w:rFonts w:ascii="Arial" w:hAnsi="Arial" w:cs="Arial"/>
                <w:sz w:val="22"/>
                <w:szCs w:val="22"/>
                <w:lang w:val="en-GB"/>
              </w:rPr>
              <w:t>374</w:t>
            </w:r>
            <w:r w:rsidRPr="00D026A0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E1CFA68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26A0">
              <w:rPr>
                <w:rFonts w:ascii="Arial" w:hAnsi="Arial" w:cs="Arial"/>
                <w:sz w:val="22"/>
                <w:szCs w:val="22"/>
                <w:lang w:val="en-GB"/>
              </w:rPr>
              <w:t>343</w:t>
            </w:r>
            <w:r w:rsidRPr="00D026A0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BF4A03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26A0">
              <w:rPr>
                <w:rFonts w:ascii="Arial" w:hAnsi="Arial" w:cs="Arial"/>
                <w:sz w:val="22"/>
                <w:szCs w:val="22"/>
                <w:lang w:val="en-GB"/>
              </w:rPr>
              <w:t>576</w:t>
            </w:r>
            <w:r w:rsidRPr="00D026A0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8733F2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26A0">
              <w:rPr>
                <w:rFonts w:ascii="Arial" w:hAnsi="Arial" w:cs="Arial"/>
                <w:sz w:val="22"/>
                <w:szCs w:val="22"/>
                <w:lang w:val="en-GB"/>
              </w:rPr>
              <w:t>310</w:t>
            </w:r>
            <w:r w:rsidRPr="00D026A0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E0C977" w14:textId="7195955E" w:rsidR="00AF726A" w:rsidRPr="00D026A0" w:rsidRDefault="00AF726A" w:rsidP="00F819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26A0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 w:rsidR="00F8191D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 w:rsidRPr="00D026A0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DD27E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26A0">
              <w:rPr>
                <w:rFonts w:ascii="Arial" w:hAnsi="Arial" w:cs="Arial"/>
                <w:sz w:val="22"/>
                <w:szCs w:val="22"/>
              </w:rPr>
              <w:t>0.01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0F3C7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26A0">
              <w:rPr>
                <w:rFonts w:ascii="Arial" w:hAnsi="Arial" w:cs="Arial"/>
                <w:sz w:val="22"/>
                <w:szCs w:val="22"/>
              </w:rPr>
              <w:t>0.09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5087D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26A0">
              <w:rPr>
                <w:rFonts w:ascii="Arial" w:hAnsi="Arial" w:cs="Arial"/>
                <w:sz w:val="22"/>
                <w:szCs w:val="22"/>
              </w:rPr>
              <w:t>0.02</w:t>
            </w:r>
          </w:p>
        </w:tc>
      </w:tr>
      <w:tr w:rsidR="00AF726A" w:rsidRPr="007D4018" w14:paraId="64203B80" w14:textId="77777777" w:rsidTr="003E3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</w:tcBorders>
          </w:tcPr>
          <w:p w14:paraId="7E296F68" w14:textId="77777777" w:rsidR="00AF726A" w:rsidRDefault="00AF726A" w:rsidP="003E3930">
            <w:pPr>
              <w:spacing w:line="360" w:lineRule="auto"/>
              <w:rPr>
                <w:rFonts w:ascii="Arial" w:hAnsi="Arial" w:cs="Arial"/>
                <w:b w:val="0"/>
                <w:lang w:val="de-CH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A3D50E" w14:textId="77777777" w:rsidR="00AF726A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6313FB2" w14:textId="77777777" w:rsidR="00AF726A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655FB0" w14:textId="77777777" w:rsidR="00AF726A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14BC7A" w14:textId="77777777" w:rsidR="00AF726A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8F707B" w14:textId="77777777" w:rsidR="00AF726A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B088E" w14:textId="77777777" w:rsidR="00AF726A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422C0" w14:textId="77777777" w:rsidR="00AF726A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6008F" w14:textId="77777777" w:rsidR="00AF726A" w:rsidRDefault="00AF726A" w:rsidP="003E393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F726A" w:rsidRPr="007D4018" w14:paraId="0B9E74A0" w14:textId="77777777" w:rsidTr="003E3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</w:tcBorders>
          </w:tcPr>
          <w:p w14:paraId="43977744" w14:textId="3EB0AA60" w:rsidR="00AF726A" w:rsidRDefault="00AF726A" w:rsidP="005659C3">
            <w:pPr>
              <w:spacing w:line="360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de-CH"/>
              </w:rPr>
              <w:t>A</w:t>
            </w:r>
            <w:r w:rsidR="005659C3">
              <w:rPr>
                <w:rFonts w:ascii="Arial" w:hAnsi="Arial" w:cs="Arial"/>
                <w:b w:val="0"/>
                <w:sz w:val="22"/>
                <w:szCs w:val="22"/>
                <w:lang w:val="de-CH"/>
              </w:rPr>
              <w:t>verage daily gain</w:t>
            </w:r>
            <w:r>
              <w:rPr>
                <w:rFonts w:ascii="Arial" w:hAnsi="Arial" w:cs="Arial"/>
                <w:b w:val="0"/>
                <w:sz w:val="22"/>
                <w:szCs w:val="22"/>
                <w:lang w:val="de-CH"/>
              </w:rPr>
              <w:t xml:space="preserve"> </w:t>
            </w:r>
            <w:r w:rsidRPr="00D026A0">
              <w:rPr>
                <w:rFonts w:ascii="Arial" w:hAnsi="Arial" w:cs="Arial"/>
                <w:b w:val="0"/>
                <w:sz w:val="22"/>
                <w:szCs w:val="22"/>
                <w:lang w:val="de-CH"/>
              </w:rPr>
              <w:t>(g</w:t>
            </w:r>
            <w:r w:rsidR="002C5669" w:rsidRPr="005659C3">
              <w:rPr>
                <w:rFonts w:ascii="Arial" w:hAnsi="Arial" w:cs="Arial"/>
                <w:b w:val="0"/>
                <w:sz w:val="22"/>
                <w:szCs w:val="22"/>
                <w:lang w:val="de-CH"/>
              </w:rPr>
              <w:t>/day</w:t>
            </w:r>
            <w:r w:rsidRPr="00D026A0">
              <w:rPr>
                <w:rFonts w:ascii="Arial" w:hAnsi="Arial" w:cs="Arial"/>
                <w:b w:val="0"/>
                <w:sz w:val="22"/>
                <w:szCs w:val="22"/>
                <w:lang w:val="de-CH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C73669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274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97F114C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269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AC73818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295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BFE65A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283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F511CB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85F68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0D745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F5EA4" w14:textId="77777777" w:rsidR="00AF726A" w:rsidRPr="00D026A0" w:rsidRDefault="00AF726A" w:rsidP="003E39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0.62</w:t>
            </w:r>
          </w:p>
        </w:tc>
      </w:tr>
    </w:tbl>
    <w:p w14:paraId="3372DA32" w14:textId="1AA27828" w:rsidR="00AF726A" w:rsidRDefault="00AF726A" w:rsidP="003A0E5D">
      <w:pPr>
        <w:rPr>
          <w:rFonts w:ascii="Arial" w:hAnsi="Arial" w:cs="Arial"/>
        </w:rPr>
      </w:pPr>
      <w:proofErr w:type="gramStart"/>
      <w:r w:rsidRPr="00AF726A">
        <w:rPr>
          <w:rFonts w:ascii="Arial" w:hAnsi="Arial" w:cs="Arial"/>
          <w:vertAlign w:val="superscript"/>
        </w:rPr>
        <w:t>a-c</w:t>
      </w:r>
      <w:proofErr w:type="gramEnd"/>
      <w:r w:rsidRPr="00AF726A">
        <w:rPr>
          <w:rFonts w:ascii="Arial" w:hAnsi="Arial" w:cs="Arial"/>
        </w:rPr>
        <w:t xml:space="preserve"> Values within a row that do not share a common superscript differ significantly at P&lt;0.05.</w:t>
      </w:r>
    </w:p>
    <w:p w14:paraId="15701B04" w14:textId="6496A203" w:rsidR="005659C3" w:rsidRPr="005659C3" w:rsidRDefault="005659C3" w:rsidP="003A0E5D">
      <w:pPr>
        <w:rPr>
          <w:rFonts w:ascii="Arial" w:hAnsi="Arial" w:cs="Arial"/>
        </w:rPr>
      </w:pPr>
      <w:r w:rsidRPr="005659C3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Dry pelleted starter diet from d11-28 (DPS) and a liquid mixture of milk replacer and starter diet from d4-28 (LMR+S).</w:t>
      </w:r>
    </w:p>
    <w:p w14:paraId="5D8DB2E2" w14:textId="77777777" w:rsidR="0090318C" w:rsidRDefault="0090318C" w:rsidP="003A0E5D">
      <w:pPr>
        <w:rPr>
          <w:rFonts w:ascii="Arial" w:hAnsi="Arial" w:cs="Arial"/>
        </w:rPr>
      </w:pPr>
    </w:p>
    <w:p w14:paraId="7DC41E5B" w14:textId="35659EDD" w:rsidR="0045080F" w:rsidRDefault="008B1437" w:rsidP="008B1437">
      <w:pPr>
        <w:rPr>
          <w:rFonts w:ascii="Arial" w:hAnsi="Arial" w:cs="Arial"/>
        </w:rPr>
      </w:pPr>
      <w:r w:rsidRPr="00AE5816">
        <w:rPr>
          <w:rFonts w:ascii="Arial" w:hAnsi="Arial" w:cs="Arial"/>
        </w:rPr>
        <w:lastRenderedPageBreak/>
        <w:t xml:space="preserve">Conclusion: </w:t>
      </w:r>
      <w:r w:rsidR="00314724">
        <w:rPr>
          <w:rFonts w:ascii="Arial" w:hAnsi="Arial" w:cs="Arial"/>
        </w:rPr>
        <w:t>Total c</w:t>
      </w:r>
      <w:r w:rsidR="0045080F">
        <w:rPr>
          <w:rFonts w:ascii="Arial" w:hAnsi="Arial" w:cs="Arial"/>
        </w:rPr>
        <w:t xml:space="preserve">reep feed </w:t>
      </w:r>
      <w:r w:rsidR="005659C3">
        <w:rPr>
          <w:rFonts w:ascii="Arial" w:hAnsi="Arial" w:cs="Arial"/>
        </w:rPr>
        <w:t xml:space="preserve">dry matter </w:t>
      </w:r>
      <w:r w:rsidR="0045080F">
        <w:rPr>
          <w:rFonts w:ascii="Arial" w:hAnsi="Arial" w:cs="Arial"/>
        </w:rPr>
        <w:t xml:space="preserve">intake of suckling piglets was increased by </w:t>
      </w:r>
      <w:r w:rsidR="00314724">
        <w:rPr>
          <w:rFonts w:ascii="Arial" w:hAnsi="Arial" w:cs="Arial"/>
        </w:rPr>
        <w:t xml:space="preserve">feeding a </w:t>
      </w:r>
      <w:r w:rsidR="005659C3" w:rsidRPr="005659C3">
        <w:rPr>
          <w:rFonts w:ascii="Arial" w:hAnsi="Arial" w:cs="Arial"/>
        </w:rPr>
        <w:t xml:space="preserve">liquid mixture of </w:t>
      </w:r>
      <w:r w:rsidR="00314724" w:rsidRPr="005659C3">
        <w:rPr>
          <w:rFonts w:ascii="Arial" w:hAnsi="Arial" w:cs="Arial"/>
        </w:rPr>
        <w:t xml:space="preserve">milk replacer </w:t>
      </w:r>
      <w:r w:rsidR="00314724">
        <w:rPr>
          <w:rFonts w:ascii="Arial" w:hAnsi="Arial" w:cs="Arial"/>
        </w:rPr>
        <w:t xml:space="preserve">and </w:t>
      </w:r>
      <w:r w:rsidR="005659C3" w:rsidRPr="005659C3">
        <w:rPr>
          <w:rFonts w:ascii="Arial" w:hAnsi="Arial" w:cs="Arial"/>
        </w:rPr>
        <w:t xml:space="preserve">starter diet </w:t>
      </w:r>
      <w:r w:rsidR="0045080F">
        <w:rPr>
          <w:rFonts w:ascii="Arial" w:hAnsi="Arial" w:cs="Arial"/>
        </w:rPr>
        <w:t xml:space="preserve">but only </w:t>
      </w:r>
      <w:r w:rsidR="00314724">
        <w:rPr>
          <w:rFonts w:ascii="Arial" w:hAnsi="Arial" w:cs="Arial"/>
        </w:rPr>
        <w:t>under</w:t>
      </w:r>
      <w:r w:rsidR="0045080F">
        <w:rPr>
          <w:rFonts w:ascii="Arial" w:hAnsi="Arial" w:cs="Arial"/>
        </w:rPr>
        <w:t xml:space="preserve"> optimal hygiene conditions. </w:t>
      </w:r>
      <w:r w:rsidR="00D91E0A">
        <w:rPr>
          <w:rFonts w:ascii="Arial" w:hAnsi="Arial" w:cs="Arial"/>
        </w:rPr>
        <w:t xml:space="preserve">The </w:t>
      </w:r>
      <w:r w:rsidR="00314724" w:rsidRPr="005659C3">
        <w:rPr>
          <w:rFonts w:ascii="Arial" w:hAnsi="Arial" w:cs="Arial"/>
        </w:rPr>
        <w:t xml:space="preserve">liquid mixture of milk replacer </w:t>
      </w:r>
      <w:r w:rsidR="00314724">
        <w:rPr>
          <w:rFonts w:ascii="Arial" w:hAnsi="Arial" w:cs="Arial"/>
        </w:rPr>
        <w:t xml:space="preserve">and </w:t>
      </w:r>
      <w:r w:rsidR="00314724" w:rsidRPr="005659C3">
        <w:rPr>
          <w:rFonts w:ascii="Arial" w:hAnsi="Arial" w:cs="Arial"/>
        </w:rPr>
        <w:t>starter diet</w:t>
      </w:r>
      <w:r w:rsidR="00D91E0A">
        <w:rPr>
          <w:rFonts w:ascii="Arial" w:hAnsi="Arial" w:cs="Arial"/>
        </w:rPr>
        <w:t xml:space="preserve"> </w:t>
      </w:r>
      <w:r w:rsidR="0045080F">
        <w:rPr>
          <w:rFonts w:ascii="Arial" w:hAnsi="Arial" w:cs="Arial"/>
        </w:rPr>
        <w:t>increased pre-weaning growth</w:t>
      </w:r>
      <w:r w:rsidR="00314724">
        <w:rPr>
          <w:rFonts w:ascii="Arial" w:hAnsi="Arial" w:cs="Arial"/>
        </w:rPr>
        <w:t xml:space="preserve"> and</w:t>
      </w:r>
      <w:r w:rsidR="0045080F">
        <w:rPr>
          <w:rFonts w:ascii="Arial" w:hAnsi="Arial" w:cs="Arial"/>
        </w:rPr>
        <w:t xml:space="preserve"> weaning weight </w:t>
      </w:r>
      <w:r w:rsidR="00314724">
        <w:rPr>
          <w:rFonts w:ascii="Arial" w:hAnsi="Arial" w:cs="Arial"/>
        </w:rPr>
        <w:t>and reduced pre-weaning mortality.</w:t>
      </w:r>
      <w:r w:rsidR="0045080F">
        <w:rPr>
          <w:rFonts w:ascii="Arial" w:hAnsi="Arial" w:cs="Arial"/>
        </w:rPr>
        <w:t xml:space="preserve"> </w:t>
      </w:r>
      <w:r w:rsidR="00314724">
        <w:rPr>
          <w:rFonts w:ascii="Arial" w:hAnsi="Arial" w:cs="Arial"/>
        </w:rPr>
        <w:t>Optimal</w:t>
      </w:r>
      <w:r w:rsidR="0045080F">
        <w:rPr>
          <w:rFonts w:ascii="Arial" w:hAnsi="Arial" w:cs="Arial"/>
        </w:rPr>
        <w:t xml:space="preserve"> pen hygiene increased </w:t>
      </w:r>
      <w:r w:rsidR="00314724">
        <w:rPr>
          <w:rFonts w:ascii="Arial" w:hAnsi="Arial" w:cs="Arial"/>
        </w:rPr>
        <w:t xml:space="preserve">total </w:t>
      </w:r>
      <w:r w:rsidR="0045080F">
        <w:rPr>
          <w:rFonts w:ascii="Arial" w:hAnsi="Arial" w:cs="Arial"/>
        </w:rPr>
        <w:t xml:space="preserve">creep feed </w:t>
      </w:r>
      <w:r w:rsidR="00314724">
        <w:rPr>
          <w:rFonts w:ascii="Arial" w:hAnsi="Arial" w:cs="Arial"/>
        </w:rPr>
        <w:t xml:space="preserve">dry matter </w:t>
      </w:r>
      <w:r w:rsidR="0045080F">
        <w:rPr>
          <w:rFonts w:ascii="Arial" w:hAnsi="Arial" w:cs="Arial"/>
        </w:rPr>
        <w:t>intake</w:t>
      </w:r>
      <w:r w:rsidR="00314724">
        <w:rPr>
          <w:rFonts w:ascii="Arial" w:hAnsi="Arial" w:cs="Arial"/>
        </w:rPr>
        <w:t xml:space="preserve"> of suckling piglets and </w:t>
      </w:r>
      <w:r w:rsidR="0045080F">
        <w:rPr>
          <w:rFonts w:ascii="Arial" w:hAnsi="Arial" w:cs="Arial"/>
        </w:rPr>
        <w:t xml:space="preserve">reduced </w:t>
      </w:r>
      <w:r w:rsidR="00314724">
        <w:rPr>
          <w:rFonts w:ascii="Arial" w:hAnsi="Arial" w:cs="Arial"/>
        </w:rPr>
        <w:t xml:space="preserve">the </w:t>
      </w:r>
      <w:r w:rsidR="0045080F">
        <w:rPr>
          <w:rFonts w:ascii="Arial" w:hAnsi="Arial" w:cs="Arial"/>
        </w:rPr>
        <w:t xml:space="preserve">days </w:t>
      </w:r>
      <w:r w:rsidR="00314724">
        <w:rPr>
          <w:rFonts w:ascii="Arial" w:hAnsi="Arial" w:cs="Arial"/>
        </w:rPr>
        <w:t xml:space="preserve">to </w:t>
      </w:r>
      <w:r w:rsidR="0045080F" w:rsidRPr="00AE5816">
        <w:rPr>
          <w:rFonts w:ascii="Arial" w:hAnsi="Arial" w:cs="Arial"/>
        </w:rPr>
        <w:t xml:space="preserve">slaughter. </w:t>
      </w:r>
    </w:p>
    <w:p w14:paraId="4861B722" w14:textId="74D483E9" w:rsidR="002B0570" w:rsidRPr="00EB4A5D" w:rsidRDefault="008B1437">
      <w:pPr>
        <w:rPr>
          <w:rFonts w:ascii="Arial" w:hAnsi="Arial" w:cs="Arial"/>
        </w:rPr>
      </w:pPr>
      <w:r w:rsidRPr="00AE5816">
        <w:rPr>
          <w:rFonts w:ascii="Arial" w:hAnsi="Arial" w:cs="Arial"/>
        </w:rPr>
        <w:t xml:space="preserve">Acknowledgements: This project has received funding from the </w:t>
      </w:r>
      <w:r>
        <w:rPr>
          <w:rFonts w:ascii="Arial" w:hAnsi="Arial" w:cs="Arial"/>
        </w:rPr>
        <w:t>EU</w:t>
      </w:r>
      <w:r w:rsidR="00546318">
        <w:rPr>
          <w:rFonts w:ascii="Arial" w:hAnsi="Arial" w:cs="Arial"/>
        </w:rPr>
        <w:t>’s</w:t>
      </w:r>
      <w:r w:rsidRPr="00AE5816">
        <w:rPr>
          <w:rFonts w:ascii="Arial" w:hAnsi="Arial" w:cs="Arial"/>
        </w:rPr>
        <w:t xml:space="preserve"> Horizon 2020 </w:t>
      </w:r>
      <w:r w:rsidR="00546318">
        <w:rPr>
          <w:rFonts w:ascii="Arial" w:hAnsi="Arial" w:cs="Arial"/>
        </w:rPr>
        <w:t xml:space="preserve">research and innovation programme </w:t>
      </w:r>
      <w:r w:rsidRPr="00AE5816">
        <w:rPr>
          <w:rFonts w:ascii="Arial" w:hAnsi="Arial" w:cs="Arial"/>
        </w:rPr>
        <w:t xml:space="preserve">under </w:t>
      </w:r>
      <w:r w:rsidR="00F003AA" w:rsidRPr="00F003AA">
        <w:rPr>
          <w:rFonts w:ascii="Arial" w:hAnsi="Arial" w:cs="Arial"/>
        </w:rPr>
        <w:t xml:space="preserve">the Marie </w:t>
      </w:r>
      <w:proofErr w:type="spellStart"/>
      <w:r w:rsidR="00F003AA" w:rsidRPr="00F003AA">
        <w:rPr>
          <w:rFonts w:ascii="Arial" w:hAnsi="Arial" w:cs="Arial"/>
        </w:rPr>
        <w:t>Skłodowska</w:t>
      </w:r>
      <w:proofErr w:type="spellEnd"/>
      <w:r w:rsidR="00F003AA" w:rsidRPr="00F003AA">
        <w:rPr>
          <w:rFonts w:ascii="Arial" w:hAnsi="Arial" w:cs="Arial"/>
        </w:rPr>
        <w:t xml:space="preserve">-Curie </w:t>
      </w:r>
      <w:r w:rsidRPr="00AE5816">
        <w:rPr>
          <w:rFonts w:ascii="Arial" w:hAnsi="Arial" w:cs="Arial"/>
        </w:rPr>
        <w:t>grant agreement N° 955374</w:t>
      </w:r>
      <w:r>
        <w:rPr>
          <w:rFonts w:ascii="Arial" w:hAnsi="Arial" w:cs="Arial"/>
        </w:rPr>
        <w:t>.</w:t>
      </w:r>
    </w:p>
    <w:sectPr w:rsidR="002B0570" w:rsidRPr="00EB4A5D" w:rsidSect="00D026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C113F"/>
    <w:multiLevelType w:val="hybridMultilevel"/>
    <w:tmpl w:val="352AFBEA"/>
    <w:lvl w:ilvl="0" w:tplc="89BEDB8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12145"/>
    <w:multiLevelType w:val="hybridMultilevel"/>
    <w:tmpl w:val="065E8CC4"/>
    <w:lvl w:ilvl="0" w:tplc="DC1E2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14"/>
    <w:rsid w:val="0000204D"/>
    <w:rsid w:val="00016AD5"/>
    <w:rsid w:val="0001762A"/>
    <w:rsid w:val="00031765"/>
    <w:rsid w:val="000410D2"/>
    <w:rsid w:val="00043E9B"/>
    <w:rsid w:val="00051A60"/>
    <w:rsid w:val="00052933"/>
    <w:rsid w:val="00053F19"/>
    <w:rsid w:val="00062DA9"/>
    <w:rsid w:val="00086163"/>
    <w:rsid w:val="00094BC2"/>
    <w:rsid w:val="000C13BF"/>
    <w:rsid w:val="000E5563"/>
    <w:rsid w:val="000F395E"/>
    <w:rsid w:val="001020A1"/>
    <w:rsid w:val="00104C28"/>
    <w:rsid w:val="00111217"/>
    <w:rsid w:val="0012178C"/>
    <w:rsid w:val="00151ACF"/>
    <w:rsid w:val="0015474F"/>
    <w:rsid w:val="00182174"/>
    <w:rsid w:val="001840F1"/>
    <w:rsid w:val="0018621D"/>
    <w:rsid w:val="00190202"/>
    <w:rsid w:val="00190F97"/>
    <w:rsid w:val="00192F69"/>
    <w:rsid w:val="001A1D8D"/>
    <w:rsid w:val="001A295F"/>
    <w:rsid w:val="001A54DD"/>
    <w:rsid w:val="001C12CA"/>
    <w:rsid w:val="001D476F"/>
    <w:rsid w:val="001D64AF"/>
    <w:rsid w:val="001E6559"/>
    <w:rsid w:val="001F55DC"/>
    <w:rsid w:val="002063AE"/>
    <w:rsid w:val="00220658"/>
    <w:rsid w:val="002342E1"/>
    <w:rsid w:val="002453B4"/>
    <w:rsid w:val="002527C6"/>
    <w:rsid w:val="002567C7"/>
    <w:rsid w:val="00264452"/>
    <w:rsid w:val="00272581"/>
    <w:rsid w:val="00280366"/>
    <w:rsid w:val="00285081"/>
    <w:rsid w:val="0028730A"/>
    <w:rsid w:val="002A34D3"/>
    <w:rsid w:val="002A358B"/>
    <w:rsid w:val="002B0570"/>
    <w:rsid w:val="002B6E0C"/>
    <w:rsid w:val="002C5669"/>
    <w:rsid w:val="002D2DD8"/>
    <w:rsid w:val="002D2E7D"/>
    <w:rsid w:val="0031440C"/>
    <w:rsid w:val="00314724"/>
    <w:rsid w:val="00317618"/>
    <w:rsid w:val="003274BD"/>
    <w:rsid w:val="00334C84"/>
    <w:rsid w:val="0033682A"/>
    <w:rsid w:val="00351438"/>
    <w:rsid w:val="0035216E"/>
    <w:rsid w:val="00360686"/>
    <w:rsid w:val="00362BE3"/>
    <w:rsid w:val="0037268A"/>
    <w:rsid w:val="0039000A"/>
    <w:rsid w:val="00390A12"/>
    <w:rsid w:val="003A0E5D"/>
    <w:rsid w:val="003A1345"/>
    <w:rsid w:val="003A6F6D"/>
    <w:rsid w:val="003B367D"/>
    <w:rsid w:val="003B50DF"/>
    <w:rsid w:val="003B6B59"/>
    <w:rsid w:val="003B7E99"/>
    <w:rsid w:val="003C41EF"/>
    <w:rsid w:val="003C6932"/>
    <w:rsid w:val="003D030E"/>
    <w:rsid w:val="003D2C27"/>
    <w:rsid w:val="003D32FC"/>
    <w:rsid w:val="003D6A2F"/>
    <w:rsid w:val="003E29E1"/>
    <w:rsid w:val="0040382F"/>
    <w:rsid w:val="00405F4E"/>
    <w:rsid w:val="004135B8"/>
    <w:rsid w:val="00415CF6"/>
    <w:rsid w:val="004222E4"/>
    <w:rsid w:val="004421BB"/>
    <w:rsid w:val="00447E0F"/>
    <w:rsid w:val="0045080F"/>
    <w:rsid w:val="0045269A"/>
    <w:rsid w:val="00460B8E"/>
    <w:rsid w:val="00461400"/>
    <w:rsid w:val="004804D5"/>
    <w:rsid w:val="00482F0A"/>
    <w:rsid w:val="004B7003"/>
    <w:rsid w:val="004C2BA3"/>
    <w:rsid w:val="004C2F7F"/>
    <w:rsid w:val="004C301B"/>
    <w:rsid w:val="004D40AE"/>
    <w:rsid w:val="004E4801"/>
    <w:rsid w:val="004E4C53"/>
    <w:rsid w:val="004F0572"/>
    <w:rsid w:val="004F20E9"/>
    <w:rsid w:val="00502E5C"/>
    <w:rsid w:val="00506A14"/>
    <w:rsid w:val="005179C2"/>
    <w:rsid w:val="0054319C"/>
    <w:rsid w:val="00546318"/>
    <w:rsid w:val="005659C3"/>
    <w:rsid w:val="00567EE1"/>
    <w:rsid w:val="00581789"/>
    <w:rsid w:val="00582D76"/>
    <w:rsid w:val="00585058"/>
    <w:rsid w:val="00593D67"/>
    <w:rsid w:val="005965AA"/>
    <w:rsid w:val="005A6DED"/>
    <w:rsid w:val="005B2991"/>
    <w:rsid w:val="005C3A8B"/>
    <w:rsid w:val="005C4FDA"/>
    <w:rsid w:val="005D58A0"/>
    <w:rsid w:val="005E0E87"/>
    <w:rsid w:val="005E1A27"/>
    <w:rsid w:val="006076B4"/>
    <w:rsid w:val="00623043"/>
    <w:rsid w:val="00626786"/>
    <w:rsid w:val="006321BF"/>
    <w:rsid w:val="006334DB"/>
    <w:rsid w:val="00640AFF"/>
    <w:rsid w:val="00653A91"/>
    <w:rsid w:val="00656293"/>
    <w:rsid w:val="006603A0"/>
    <w:rsid w:val="00666F28"/>
    <w:rsid w:val="00672838"/>
    <w:rsid w:val="006937A8"/>
    <w:rsid w:val="006960B3"/>
    <w:rsid w:val="006A11A3"/>
    <w:rsid w:val="006A677B"/>
    <w:rsid w:val="006B0E80"/>
    <w:rsid w:val="006C1CDA"/>
    <w:rsid w:val="006C5B64"/>
    <w:rsid w:val="006E081C"/>
    <w:rsid w:val="006E18AB"/>
    <w:rsid w:val="006E5A12"/>
    <w:rsid w:val="006E648E"/>
    <w:rsid w:val="006E6AE0"/>
    <w:rsid w:val="006E7964"/>
    <w:rsid w:val="006F2B08"/>
    <w:rsid w:val="006F2C22"/>
    <w:rsid w:val="007117C6"/>
    <w:rsid w:val="0073530C"/>
    <w:rsid w:val="007420AC"/>
    <w:rsid w:val="00744D32"/>
    <w:rsid w:val="007677D8"/>
    <w:rsid w:val="00777AFE"/>
    <w:rsid w:val="007C003D"/>
    <w:rsid w:val="007E605B"/>
    <w:rsid w:val="00835363"/>
    <w:rsid w:val="00856E0C"/>
    <w:rsid w:val="00863843"/>
    <w:rsid w:val="008713AE"/>
    <w:rsid w:val="008816B5"/>
    <w:rsid w:val="0088384C"/>
    <w:rsid w:val="00892D06"/>
    <w:rsid w:val="00895B9F"/>
    <w:rsid w:val="008B1437"/>
    <w:rsid w:val="008D2DC5"/>
    <w:rsid w:val="008D3131"/>
    <w:rsid w:val="008E18E2"/>
    <w:rsid w:val="008E2197"/>
    <w:rsid w:val="008F0300"/>
    <w:rsid w:val="008F787F"/>
    <w:rsid w:val="00901634"/>
    <w:rsid w:val="0090318C"/>
    <w:rsid w:val="00911087"/>
    <w:rsid w:val="00932416"/>
    <w:rsid w:val="00942909"/>
    <w:rsid w:val="00943DEA"/>
    <w:rsid w:val="00945239"/>
    <w:rsid w:val="00946DA6"/>
    <w:rsid w:val="009514DA"/>
    <w:rsid w:val="00953528"/>
    <w:rsid w:val="0096177C"/>
    <w:rsid w:val="00967309"/>
    <w:rsid w:val="00974AB7"/>
    <w:rsid w:val="009814BE"/>
    <w:rsid w:val="009B4880"/>
    <w:rsid w:val="009B7DF4"/>
    <w:rsid w:val="009D2242"/>
    <w:rsid w:val="009D6FC4"/>
    <w:rsid w:val="009E2533"/>
    <w:rsid w:val="009F4F28"/>
    <w:rsid w:val="009F793C"/>
    <w:rsid w:val="00A02198"/>
    <w:rsid w:val="00A0683F"/>
    <w:rsid w:val="00A16738"/>
    <w:rsid w:val="00A34CA4"/>
    <w:rsid w:val="00A35169"/>
    <w:rsid w:val="00A46F79"/>
    <w:rsid w:val="00A52F36"/>
    <w:rsid w:val="00A61E15"/>
    <w:rsid w:val="00A75C3B"/>
    <w:rsid w:val="00A91CEE"/>
    <w:rsid w:val="00AA7AD2"/>
    <w:rsid w:val="00AB42F2"/>
    <w:rsid w:val="00AC073B"/>
    <w:rsid w:val="00AC2163"/>
    <w:rsid w:val="00AD265C"/>
    <w:rsid w:val="00AE5816"/>
    <w:rsid w:val="00AE61A8"/>
    <w:rsid w:val="00AF445E"/>
    <w:rsid w:val="00AF6D6C"/>
    <w:rsid w:val="00AF726A"/>
    <w:rsid w:val="00B35A36"/>
    <w:rsid w:val="00B35B7B"/>
    <w:rsid w:val="00B366DE"/>
    <w:rsid w:val="00B40E2A"/>
    <w:rsid w:val="00B417C8"/>
    <w:rsid w:val="00B41B88"/>
    <w:rsid w:val="00B445A4"/>
    <w:rsid w:val="00B7484B"/>
    <w:rsid w:val="00B75B6C"/>
    <w:rsid w:val="00B845AB"/>
    <w:rsid w:val="00B93C75"/>
    <w:rsid w:val="00BA0056"/>
    <w:rsid w:val="00BA5732"/>
    <w:rsid w:val="00BB4815"/>
    <w:rsid w:val="00BB538C"/>
    <w:rsid w:val="00BC6CFA"/>
    <w:rsid w:val="00BD73E9"/>
    <w:rsid w:val="00BE17D4"/>
    <w:rsid w:val="00C11FAE"/>
    <w:rsid w:val="00C26BB8"/>
    <w:rsid w:val="00C556D2"/>
    <w:rsid w:val="00C606B2"/>
    <w:rsid w:val="00C739A7"/>
    <w:rsid w:val="00CA706B"/>
    <w:rsid w:val="00CC100D"/>
    <w:rsid w:val="00CC4424"/>
    <w:rsid w:val="00CE4529"/>
    <w:rsid w:val="00CF3B5F"/>
    <w:rsid w:val="00D026A0"/>
    <w:rsid w:val="00D14B80"/>
    <w:rsid w:val="00D34B9C"/>
    <w:rsid w:val="00D41DAF"/>
    <w:rsid w:val="00D501B4"/>
    <w:rsid w:val="00D65636"/>
    <w:rsid w:val="00D70EB8"/>
    <w:rsid w:val="00D718B0"/>
    <w:rsid w:val="00D807FE"/>
    <w:rsid w:val="00D81660"/>
    <w:rsid w:val="00D903FB"/>
    <w:rsid w:val="00D91E0A"/>
    <w:rsid w:val="00D92ED3"/>
    <w:rsid w:val="00DC2FCC"/>
    <w:rsid w:val="00DD4494"/>
    <w:rsid w:val="00DE396B"/>
    <w:rsid w:val="00DE6341"/>
    <w:rsid w:val="00DE6512"/>
    <w:rsid w:val="00DE7F05"/>
    <w:rsid w:val="00DF4972"/>
    <w:rsid w:val="00E0101D"/>
    <w:rsid w:val="00E1762A"/>
    <w:rsid w:val="00E372F1"/>
    <w:rsid w:val="00E446B6"/>
    <w:rsid w:val="00E451AD"/>
    <w:rsid w:val="00E46919"/>
    <w:rsid w:val="00E4767B"/>
    <w:rsid w:val="00E55503"/>
    <w:rsid w:val="00E55CC2"/>
    <w:rsid w:val="00E57195"/>
    <w:rsid w:val="00E71879"/>
    <w:rsid w:val="00E71890"/>
    <w:rsid w:val="00E952D8"/>
    <w:rsid w:val="00EA2F8B"/>
    <w:rsid w:val="00EB1387"/>
    <w:rsid w:val="00EB1AFC"/>
    <w:rsid w:val="00EB4A5D"/>
    <w:rsid w:val="00ED5648"/>
    <w:rsid w:val="00ED679F"/>
    <w:rsid w:val="00F003AA"/>
    <w:rsid w:val="00F01C54"/>
    <w:rsid w:val="00F07B33"/>
    <w:rsid w:val="00F16027"/>
    <w:rsid w:val="00F1789D"/>
    <w:rsid w:val="00F25CE2"/>
    <w:rsid w:val="00F45761"/>
    <w:rsid w:val="00F457B3"/>
    <w:rsid w:val="00F628C4"/>
    <w:rsid w:val="00F63894"/>
    <w:rsid w:val="00F652B3"/>
    <w:rsid w:val="00F66B8F"/>
    <w:rsid w:val="00F81038"/>
    <w:rsid w:val="00F8191D"/>
    <w:rsid w:val="00F81DCE"/>
    <w:rsid w:val="00F92A45"/>
    <w:rsid w:val="00F966BE"/>
    <w:rsid w:val="00FB7519"/>
    <w:rsid w:val="00FB79A5"/>
    <w:rsid w:val="00FD454F"/>
    <w:rsid w:val="00FD686C"/>
    <w:rsid w:val="00FE3080"/>
    <w:rsid w:val="00FE67FC"/>
    <w:rsid w:val="00FF1295"/>
    <w:rsid w:val="00FF54C6"/>
    <w:rsid w:val="00FF5CCC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930F"/>
  <w15:chartTrackingRefBased/>
  <w15:docId w15:val="{60749DB0-7A1A-4F38-AB93-184C6814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890"/>
    <w:pPr>
      <w:spacing w:after="200" w:line="276" w:lineRule="auto"/>
      <w:ind w:left="720"/>
      <w:contextualSpacing/>
    </w:pPr>
    <w:rPr>
      <w:rFonts w:ascii="Calibri" w:eastAsia="SimSun" w:hAnsi="Calibri" w:cs="Arial"/>
      <w:b/>
      <w:color w:val="44444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1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890"/>
    <w:pPr>
      <w:spacing w:after="0" w:line="240" w:lineRule="auto"/>
    </w:pPr>
    <w:rPr>
      <w:rFonts w:ascii="Calibri" w:eastAsia="SimSun" w:hAnsi="Calibri" w:cs="Arial"/>
      <w:color w:val="444444"/>
      <w:sz w:val="20"/>
      <w:szCs w:val="20"/>
      <w:lang w:val="en-GB"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890"/>
    <w:rPr>
      <w:rFonts w:ascii="Calibri" w:eastAsia="SimSun" w:hAnsi="Calibri" w:cs="Arial"/>
      <w:color w:val="444444"/>
      <w:sz w:val="20"/>
      <w:szCs w:val="20"/>
      <w:lang w:val="en-GB" w:eastAsia="it-IT"/>
    </w:rPr>
  </w:style>
  <w:style w:type="table" w:styleId="TableGrid">
    <w:name w:val="Table Grid"/>
    <w:basedOn w:val="TableNormal"/>
    <w:uiPriority w:val="59"/>
    <w:rsid w:val="00E71890"/>
    <w:pPr>
      <w:spacing w:after="0" w:line="240" w:lineRule="auto"/>
    </w:pPr>
    <w:rPr>
      <w:rFonts w:ascii="Calibri" w:eastAsia="SimSun" w:hAnsi="Calibri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18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9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761"/>
    <w:pPr>
      <w:spacing w:after="160"/>
    </w:pPr>
    <w:rPr>
      <w:rFonts w:asciiTheme="minorHAnsi" w:eastAsiaTheme="minorHAnsi" w:hAnsiTheme="minorHAnsi" w:cstheme="minorBidi"/>
      <w:b/>
      <w:bCs/>
      <w:color w:val="auto"/>
      <w:lang w:val="en-IE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761"/>
    <w:rPr>
      <w:rFonts w:ascii="Calibri" w:eastAsia="SimSun" w:hAnsi="Calibri" w:cs="Arial"/>
      <w:b/>
      <w:bCs/>
      <w:color w:val="444444"/>
      <w:sz w:val="20"/>
      <w:szCs w:val="20"/>
      <w:lang w:val="en-GB" w:eastAsia="it-IT"/>
    </w:rPr>
  </w:style>
  <w:style w:type="paragraph" w:styleId="Revision">
    <w:name w:val="Revision"/>
    <w:hidden/>
    <w:uiPriority w:val="99"/>
    <w:semiHidden/>
    <w:rsid w:val="00E57195"/>
    <w:pPr>
      <w:spacing w:after="0" w:line="240" w:lineRule="auto"/>
    </w:pPr>
  </w:style>
  <w:style w:type="table" w:styleId="ListTable3-Accent1">
    <w:name w:val="List Table 3 Accent 1"/>
    <w:basedOn w:val="TableNormal"/>
    <w:uiPriority w:val="48"/>
    <w:rsid w:val="00D026A0"/>
    <w:pPr>
      <w:spacing w:after="0" w:line="240" w:lineRule="auto"/>
    </w:pPr>
    <w:rPr>
      <w:sz w:val="24"/>
      <w:szCs w:val="24"/>
      <w:lang w:val="fr-FR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F5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B6EC0-0A96-410A-90E4-654B705A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ShivRamveer Vasa</dc:creator>
  <cp:keywords/>
  <dc:description/>
  <cp:lastModifiedBy>ShivRamveer Vasa</cp:lastModifiedBy>
  <cp:revision>22</cp:revision>
  <dcterms:created xsi:type="dcterms:W3CDTF">2023-10-16T15:59:00Z</dcterms:created>
  <dcterms:modified xsi:type="dcterms:W3CDTF">2024-01-02T15:02:00Z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-441840892</vt:i4>
  </property>
</Properties>
</file>