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C4D77" w14:textId="77777777" w:rsidR="007B30E3" w:rsidRPr="00C40DCD" w:rsidRDefault="007B30E3" w:rsidP="00A600F1"/>
    <w:p w14:paraId="4437C79B" w14:textId="1741ACD4" w:rsidR="007B30E3" w:rsidRPr="00C40DCD" w:rsidRDefault="007B30E3">
      <w:pPr>
        <w:rPr>
          <w:b/>
          <w:bCs/>
        </w:rPr>
      </w:pPr>
      <w:r w:rsidRPr="00C40DCD">
        <w:rPr>
          <w:b/>
          <w:bCs/>
        </w:rPr>
        <w:t>Application</w:t>
      </w:r>
    </w:p>
    <w:p w14:paraId="153B16A1" w14:textId="581FF5FB" w:rsidR="0044781D" w:rsidRDefault="00DA38A1">
      <w:r>
        <w:t xml:space="preserve">Inclusion </w:t>
      </w:r>
      <w:r w:rsidR="00491A9B">
        <w:t xml:space="preserve">in </w:t>
      </w:r>
      <w:r>
        <w:t xml:space="preserve">pre-weaned </w:t>
      </w:r>
      <w:r w:rsidR="005024D1">
        <w:t>dairy</w:t>
      </w:r>
      <w:r w:rsidR="00491A9B">
        <w:t xml:space="preserve"> calf diets </w:t>
      </w:r>
      <w:r w:rsidR="005B4093">
        <w:t xml:space="preserve">of </w:t>
      </w:r>
      <w:r w:rsidR="00A22FCD" w:rsidRPr="0044781D">
        <w:t>commercially available feed material</w:t>
      </w:r>
      <w:r w:rsidR="00491A9B">
        <w:t xml:space="preserve">s derived from </w:t>
      </w:r>
      <w:r w:rsidR="00B037D8" w:rsidRPr="0044781D">
        <w:t>the solid-state fermentation of a fungus (Synergen®)</w:t>
      </w:r>
      <w:r w:rsidR="00491A9B">
        <w:t xml:space="preserve"> and </w:t>
      </w:r>
      <w:r>
        <w:t xml:space="preserve">a </w:t>
      </w:r>
      <w:r w:rsidR="00491A9B">
        <w:t>mannan-rich fra</w:t>
      </w:r>
      <w:r w:rsidR="00A74445">
        <w:t>ction</w:t>
      </w:r>
      <w:r w:rsidR="00491A9B">
        <w:t xml:space="preserve"> of yeast cell wall (MRF</w:t>
      </w:r>
      <w:r>
        <w:t>)</w:t>
      </w:r>
      <w:r w:rsidR="005B4093">
        <w:t xml:space="preserve"> promotes solid feed intake </w:t>
      </w:r>
      <w:r w:rsidR="00A74445">
        <w:t xml:space="preserve">and a more efficient rumen fermentation </w:t>
      </w:r>
      <w:r>
        <w:t>in calves. Increased solid feed intake is positively associated with rumen development</w:t>
      </w:r>
      <w:r w:rsidR="00A74445">
        <w:t xml:space="preserve">, which can ultimately promote calf performance. </w:t>
      </w:r>
      <w:r>
        <w:t>Inclusion of Synergen® also improved rumen fermentation post-weaning. More data are needed to demonstrate effects on calf performance</w:t>
      </w:r>
      <w:r w:rsidR="005024D1">
        <w:t>.</w:t>
      </w:r>
    </w:p>
    <w:p w14:paraId="5E9F33D1" w14:textId="5CDACFAB" w:rsidR="007B30E3" w:rsidRPr="00C40DCD" w:rsidRDefault="007B30E3">
      <w:pPr>
        <w:rPr>
          <w:b/>
          <w:bCs/>
        </w:rPr>
      </w:pPr>
      <w:r w:rsidRPr="00C40DCD">
        <w:rPr>
          <w:b/>
          <w:bCs/>
        </w:rPr>
        <w:t>Introduction</w:t>
      </w:r>
    </w:p>
    <w:p w14:paraId="4B968129" w14:textId="11364C28" w:rsidR="00A4243A" w:rsidRPr="00662E39" w:rsidRDefault="005A0EE2">
      <w:r w:rsidRPr="00C40DCD">
        <w:rPr>
          <w:i/>
          <w:iCs/>
        </w:rPr>
        <w:t>A</w:t>
      </w:r>
      <w:r w:rsidR="00A74445">
        <w:rPr>
          <w:i/>
          <w:iCs/>
        </w:rPr>
        <w:t>spergillus</w:t>
      </w:r>
      <w:r w:rsidRPr="00C40DCD">
        <w:rPr>
          <w:i/>
          <w:iCs/>
        </w:rPr>
        <w:t xml:space="preserve"> niger </w:t>
      </w:r>
      <w:r w:rsidRPr="00C40DCD">
        <w:t>fermentation products can contain a suite of bioactive compounds including enzymes, alkaloids and plant growth like factors</w:t>
      </w:r>
      <w:r w:rsidR="00070CCA">
        <w:t>,</w:t>
      </w:r>
      <w:r>
        <w:t xml:space="preserve"> which can enhance </w:t>
      </w:r>
      <w:r w:rsidR="00CB703E">
        <w:t xml:space="preserve">rumen fermentation </w:t>
      </w:r>
      <w:r w:rsidR="00070CCA">
        <w:t xml:space="preserve">and productivity </w:t>
      </w:r>
      <w:r w:rsidR="00CB703E">
        <w:t xml:space="preserve">in mature cattle </w:t>
      </w:r>
      <w:r w:rsidR="00CB703E">
        <w:fldChar w:fldCharType="begin"/>
      </w:r>
      <w:r w:rsidR="00CB703E">
        <w:instrText xml:space="preserve"> ADDIN EN.CITE &lt;EndNote&gt;&lt;Cite&gt;&lt;Author&gt;Meale&lt;/Author&gt;&lt;Year&gt;2014&lt;/Year&gt;&lt;RecNum&gt;130&lt;/RecNum&gt;&lt;DisplayText&gt;(Meale et al., 2014)&lt;/DisplayText&gt;&lt;record&gt;&lt;rec-number&gt;130&lt;/rec-number&gt;&lt;foreign-keys&gt;&lt;key app="EN" db-id="prxttxpw8v9e95ev9z25wf0d5rttpstdts5z" timestamp="1677510907" guid="e6114c0a-8f56-439c-97ae-168541e04378"&gt;130&lt;/key&gt;&lt;/foreign-keys&gt;&lt;ref-type name="Journal Article"&gt;17&lt;/ref-type&gt;&lt;contributors&gt;&lt;authors&gt;&lt;author&gt;Meale, Sarah J&lt;/author&gt;&lt;author&gt;Beauchemin, Karen A&lt;/author&gt;&lt;author&gt;Hristov, Alexander Nikolov&lt;/author&gt;&lt;author&gt;Chaves, AV&lt;/author&gt;&lt;author&gt;McAllister, TA&lt;/author&gt;&lt;/authors&gt;&lt;/contributors&gt;&lt;titles&gt;&lt;title&gt;Board-invited review: opportunities and challenges in using exogenous enzymes to improve ruminant production&lt;/title&gt;&lt;secondary-title&gt;Journal of animal science&lt;/secondary-title&gt;&lt;/titles&gt;&lt;periodical&gt;&lt;full-title&gt;Journal of animal science&lt;/full-title&gt;&lt;/periodical&gt;&lt;pages&gt;427-442&lt;/pages&gt;&lt;volume&gt;92&lt;/volume&gt;&lt;number&gt;2&lt;/number&gt;&lt;dates&gt;&lt;year&gt;2014&lt;/year&gt;&lt;/dates&gt;&lt;isbn&gt;0021-8812&lt;/isbn&gt;&lt;urls&gt;&lt;/urls&gt;&lt;/record&gt;&lt;/Cite&gt;&lt;/EndNote&gt;</w:instrText>
      </w:r>
      <w:r w:rsidR="00CB703E">
        <w:fldChar w:fldCharType="separate"/>
      </w:r>
      <w:r w:rsidR="00CB703E">
        <w:rPr>
          <w:noProof/>
        </w:rPr>
        <w:t>(Meale et al., 2014)</w:t>
      </w:r>
      <w:r w:rsidR="00CB703E">
        <w:fldChar w:fldCharType="end"/>
      </w:r>
      <w:r w:rsidR="00EE45EC">
        <w:t xml:space="preserve">. There is a considerable body of </w:t>
      </w:r>
      <w:r w:rsidR="00D94825">
        <w:t>research</w:t>
      </w:r>
      <w:r w:rsidR="00EE45EC">
        <w:t xml:space="preserve"> indicating that</w:t>
      </w:r>
      <w:r w:rsidR="00CB703E">
        <w:t xml:space="preserve"> </w:t>
      </w:r>
      <w:r w:rsidR="002E4C05">
        <w:t>yeast cell wall fractions are</w:t>
      </w:r>
      <w:r w:rsidR="00EE45EC">
        <w:t xml:space="preserve"> beneficial for</w:t>
      </w:r>
      <w:r w:rsidR="00031256">
        <w:t xml:space="preserve"> calf health</w:t>
      </w:r>
      <w:r w:rsidR="002E4C05">
        <w:t xml:space="preserve"> </w:t>
      </w:r>
      <w:r w:rsidR="002E4C05">
        <w:fldChar w:fldCharType="begin"/>
      </w:r>
      <w:r w:rsidR="002E4C05">
        <w:instrText xml:space="preserve"> ADDIN EN.CITE &lt;EndNote&gt;&lt;Cite&gt;&lt;Author&gt;Broadway&lt;/Author&gt;&lt;Year&gt;2015&lt;/Year&gt;&lt;RecNum&gt;309&lt;/RecNum&gt;&lt;DisplayText&gt;(Broadway et al., 2015)&lt;/DisplayText&gt;&lt;record&gt;&lt;rec-number&gt;309&lt;/rec-number&gt;&lt;foreign-keys&gt;&lt;key app="EN" db-id="prxttxpw8v9e95ev9z25wf0d5rttpstdts5z" timestamp="1730376764" guid="e0e25e23-365d-4ad8-aed5-29fa9fe14f5b"&gt;309&lt;/key&gt;&lt;/foreign-keys&gt;&lt;ref-type name="Journal Article"&gt;17&lt;/ref-type&gt;&lt;contributors&gt;&lt;authors&gt;&lt;author&gt;Broadway, Paul R&lt;/author&gt;&lt;author&gt;Carroll, Jeffery A&lt;/author&gt;&lt;author&gt;Burdick Sanchez, Nicole C&lt;/author&gt;&lt;/authors&gt;&lt;/contributors&gt;&lt;titles&gt;&lt;title&gt;Live yeast and yeast cell wall supplements enhance immune function and performance in food-producing livestock: a review&lt;/title&gt;&lt;secondary-title&gt;Microorganisms&lt;/secondary-title&gt;&lt;/titles&gt;&lt;periodical&gt;&lt;full-title&gt;Microorganisms&lt;/full-title&gt;&lt;/periodical&gt;&lt;pages&gt;417-427&lt;/pages&gt;&lt;volume&gt;3&lt;/volume&gt;&lt;number&gt;3&lt;/number&gt;&lt;dates&gt;&lt;year&gt;2015&lt;/year&gt;&lt;/dates&gt;&lt;isbn&gt;2076-2607&lt;/isbn&gt;&lt;urls&gt;&lt;/urls&gt;&lt;/record&gt;&lt;/Cite&gt;&lt;/EndNote&gt;</w:instrText>
      </w:r>
      <w:r w:rsidR="002E4C05">
        <w:fldChar w:fldCharType="separate"/>
      </w:r>
      <w:r w:rsidR="002E4C05">
        <w:rPr>
          <w:noProof/>
        </w:rPr>
        <w:t>(Broadway et al., 2015)</w:t>
      </w:r>
      <w:r w:rsidR="002E4C05">
        <w:fldChar w:fldCharType="end"/>
      </w:r>
      <w:r w:rsidR="00A7577C">
        <w:t>.</w:t>
      </w:r>
      <w:r w:rsidR="00031256">
        <w:t xml:space="preserve"> </w:t>
      </w:r>
      <w:r w:rsidR="002E4C05">
        <w:t>However, t</w:t>
      </w:r>
      <w:r w:rsidR="00031256">
        <w:t xml:space="preserve">here is </w:t>
      </w:r>
      <w:r w:rsidR="0027185E">
        <w:t>limited research examining</w:t>
      </w:r>
      <w:r w:rsidR="00D52596">
        <w:t xml:space="preserve"> the effects of</w:t>
      </w:r>
      <w:r w:rsidR="0027185E">
        <w:t xml:space="preserve"> </w:t>
      </w:r>
      <w:r w:rsidR="006016AD">
        <w:rPr>
          <w:i/>
          <w:iCs/>
        </w:rPr>
        <w:t>A</w:t>
      </w:r>
      <w:r w:rsidR="00662E39">
        <w:rPr>
          <w:i/>
          <w:iCs/>
        </w:rPr>
        <w:t xml:space="preserve">spergillus </w:t>
      </w:r>
      <w:r w:rsidR="00662E39">
        <w:t xml:space="preserve">products </w:t>
      </w:r>
      <w:r w:rsidR="002E4C05">
        <w:t xml:space="preserve">in </w:t>
      </w:r>
      <w:r w:rsidR="00A7577C">
        <w:t>calves</w:t>
      </w:r>
      <w:r w:rsidR="00A74445">
        <w:t>,</w:t>
      </w:r>
      <w:r w:rsidR="00A7577C">
        <w:t xml:space="preserve"> and to our knowledge</w:t>
      </w:r>
      <w:r w:rsidR="00A74445">
        <w:t>,</w:t>
      </w:r>
      <w:r w:rsidR="00A7577C">
        <w:t xml:space="preserve"> </w:t>
      </w:r>
      <w:r w:rsidR="00FF0E33">
        <w:t>there is no published literature</w:t>
      </w:r>
      <w:r w:rsidR="00A7577C">
        <w:t xml:space="preserve"> examin</w:t>
      </w:r>
      <w:r w:rsidR="00FF0E33">
        <w:t>ing</w:t>
      </w:r>
      <w:r w:rsidR="00A7577C">
        <w:t xml:space="preserve"> the effect</w:t>
      </w:r>
      <w:r w:rsidR="0079609D">
        <w:t>s</w:t>
      </w:r>
      <w:r w:rsidR="00A7577C">
        <w:t xml:space="preserve"> of </w:t>
      </w:r>
      <w:r w:rsidR="00D52596">
        <w:t xml:space="preserve">an </w:t>
      </w:r>
      <w:r w:rsidR="00D52596">
        <w:rPr>
          <w:i/>
          <w:iCs/>
        </w:rPr>
        <w:t xml:space="preserve">A. niger </w:t>
      </w:r>
      <w:r w:rsidR="00D52596">
        <w:t xml:space="preserve">fermentation product </w:t>
      </w:r>
      <w:r w:rsidR="00662E39">
        <w:t>in combination with</w:t>
      </w:r>
      <w:r w:rsidR="00AB009A">
        <w:t xml:space="preserve"> </w:t>
      </w:r>
      <w:r w:rsidR="00AB009A">
        <w:t>the mannan-rich fractio</w:t>
      </w:r>
      <w:r w:rsidR="00AB009A">
        <w:t>n</w:t>
      </w:r>
      <w:r w:rsidR="00AB009A">
        <w:t xml:space="preserve"> of </w:t>
      </w:r>
      <w:r w:rsidR="00AB009A">
        <w:rPr>
          <w:i/>
          <w:iCs/>
        </w:rPr>
        <w:t xml:space="preserve">Saccharomyces cerevisiae </w:t>
      </w:r>
      <w:r w:rsidR="00AB009A">
        <w:t>cell walls</w:t>
      </w:r>
      <w:r w:rsidR="00662E39">
        <w:t xml:space="preserve"> </w:t>
      </w:r>
      <w:r w:rsidR="00AB009A">
        <w:t>(</w:t>
      </w:r>
      <w:r w:rsidR="00662E39">
        <w:t>M</w:t>
      </w:r>
      <w:r w:rsidR="00A74971">
        <w:t>RF</w:t>
      </w:r>
      <w:r w:rsidR="00AB009A">
        <w:t>)</w:t>
      </w:r>
      <w:r w:rsidR="002E4C05">
        <w:t>.</w:t>
      </w:r>
      <w:r w:rsidR="00662E39">
        <w:t xml:space="preserve"> </w:t>
      </w:r>
      <w:r w:rsidR="00A74445">
        <w:t xml:space="preserve">This study measured the effects of an </w:t>
      </w:r>
      <w:r w:rsidR="00A74445">
        <w:rPr>
          <w:i/>
          <w:iCs/>
        </w:rPr>
        <w:t xml:space="preserve">Aspergillus niger </w:t>
      </w:r>
      <w:r w:rsidR="00A74445">
        <w:t>fermentation product (Synergen®) alone, or in combination with M</w:t>
      </w:r>
      <w:r w:rsidR="00A74445">
        <w:t>RF</w:t>
      </w:r>
      <w:r w:rsidR="00A74445">
        <w:t>, on dairy calf performance and rumen fermentation.</w:t>
      </w:r>
    </w:p>
    <w:p w14:paraId="1F63B1C6" w14:textId="70D2D108" w:rsidR="007B30E3" w:rsidRPr="00C40DCD" w:rsidRDefault="007B30E3">
      <w:pPr>
        <w:rPr>
          <w:b/>
          <w:bCs/>
        </w:rPr>
      </w:pPr>
      <w:r w:rsidRPr="00C40DCD">
        <w:rPr>
          <w:b/>
          <w:bCs/>
        </w:rPr>
        <w:t>Materials and Methods</w:t>
      </w:r>
    </w:p>
    <w:p w14:paraId="5768C648" w14:textId="1C2E2D94" w:rsidR="005764BF" w:rsidRPr="00FF3D15" w:rsidRDefault="00DB51E5">
      <w:r w:rsidRPr="00C40DCD">
        <w:t>Thirty male</w:t>
      </w:r>
      <w:r w:rsidR="009A7012">
        <w:t>,</w:t>
      </w:r>
      <w:r w:rsidRPr="00C40DCD">
        <w:t xml:space="preserve"> </w:t>
      </w:r>
      <w:r w:rsidR="002573E4" w:rsidRPr="00C40DCD">
        <w:t>Holstein</w:t>
      </w:r>
      <w:r w:rsidR="009A7012">
        <w:t>-</w:t>
      </w:r>
      <w:r w:rsidR="002573E4" w:rsidRPr="00C40DCD">
        <w:t xml:space="preserve">Friesian calves </w:t>
      </w:r>
      <w:r w:rsidR="00135347">
        <w:t>(</w:t>
      </w:r>
      <w:r w:rsidR="00D27FBE" w:rsidRPr="00C40DCD">
        <w:t xml:space="preserve">age 19 ± 5 days) </w:t>
      </w:r>
      <w:r w:rsidR="002573E4" w:rsidRPr="00C40DCD">
        <w:t xml:space="preserve">were </w:t>
      </w:r>
      <w:r w:rsidR="0042650E">
        <w:t xml:space="preserve">obtained from a single farm and </w:t>
      </w:r>
      <w:r w:rsidR="002573E4" w:rsidRPr="00C40DCD">
        <w:t xml:space="preserve">enrolled into </w:t>
      </w:r>
      <w:r w:rsidR="00D27FBE" w:rsidRPr="00C40DCD">
        <w:t xml:space="preserve">a </w:t>
      </w:r>
      <w:r w:rsidR="00A74445" w:rsidRPr="00C40DCD">
        <w:t>70-d</w:t>
      </w:r>
      <w:r w:rsidR="002573E4" w:rsidRPr="00C40DCD">
        <w:t xml:space="preserve"> </w:t>
      </w:r>
      <w:r w:rsidR="00D11696">
        <w:t>study</w:t>
      </w:r>
      <w:r w:rsidR="00AD69D0">
        <w:t>, including 7 d a</w:t>
      </w:r>
      <w:r w:rsidR="00907BFC">
        <w:t>daption to environment and treatments</w:t>
      </w:r>
      <w:r w:rsidR="006E6647" w:rsidRPr="00C40DCD">
        <w:t>. C</w:t>
      </w:r>
      <w:r w:rsidR="00D35E9F" w:rsidRPr="00C40DCD">
        <w:t xml:space="preserve">alves were </w:t>
      </w:r>
      <w:r w:rsidR="00DF7D2E" w:rsidRPr="00C40DCD">
        <w:t>blocked</w:t>
      </w:r>
      <w:r w:rsidR="00D35E9F" w:rsidRPr="00C40DCD">
        <w:t xml:space="preserve"> by weight and </w:t>
      </w:r>
      <w:r w:rsidR="00120C13" w:rsidRPr="00C40DCD">
        <w:t xml:space="preserve">randomly assigned to </w:t>
      </w:r>
      <w:r w:rsidR="002C0B2D" w:rsidRPr="00C40DCD">
        <w:t>three balanced groups</w:t>
      </w:r>
      <w:r w:rsidR="00E655AA" w:rsidRPr="00C40DCD">
        <w:t>:</w:t>
      </w:r>
      <w:r w:rsidR="002C0B2D" w:rsidRPr="00C40DCD">
        <w:t xml:space="preserve"> </w:t>
      </w:r>
      <w:r w:rsidR="0040341C" w:rsidRPr="00C40DCD">
        <w:t>CTRL</w:t>
      </w:r>
      <w:r w:rsidR="002C0B2D" w:rsidRPr="00C40DCD">
        <w:t>,</w:t>
      </w:r>
      <w:r w:rsidR="00D65597" w:rsidRPr="00C40DCD">
        <w:t xml:space="preserve"> SYN, </w:t>
      </w:r>
      <w:r w:rsidR="00A74445">
        <w:t>MRF</w:t>
      </w:r>
      <w:r w:rsidR="004575EF" w:rsidRPr="00C40DCD">
        <w:t xml:space="preserve">. </w:t>
      </w:r>
      <w:r w:rsidR="0040341C" w:rsidRPr="00C40DCD">
        <w:t xml:space="preserve">CTRL calves received no treatment, </w:t>
      </w:r>
      <w:r w:rsidR="004575EF" w:rsidRPr="00C40DCD">
        <w:t xml:space="preserve">SYN calves received 3 g </w:t>
      </w:r>
      <w:r w:rsidR="00067E2D" w:rsidRPr="00C40DCD">
        <w:t>of Synergen</w:t>
      </w:r>
      <w:r w:rsidR="0040341C" w:rsidRPr="00C40DCD">
        <w:t>®</w:t>
      </w:r>
      <w:r w:rsidR="008A55A8" w:rsidRPr="00C40DCD">
        <w:t>/d</w:t>
      </w:r>
      <w:r w:rsidR="0040341C" w:rsidRPr="00C40DCD">
        <w:t xml:space="preserve">, </w:t>
      </w:r>
      <w:r w:rsidR="00A74445">
        <w:t>MRF</w:t>
      </w:r>
      <w:r w:rsidR="0040341C" w:rsidRPr="00C40DCD">
        <w:t xml:space="preserve"> calves received 3 g of Synergen® and </w:t>
      </w:r>
      <w:r w:rsidR="00D65B89" w:rsidRPr="00C40DCD">
        <w:t xml:space="preserve">2 g of </w:t>
      </w:r>
      <w:r w:rsidR="00A74445">
        <w:t>MRF</w:t>
      </w:r>
      <w:r w:rsidR="008A55A8" w:rsidRPr="00C40DCD">
        <w:t>/d</w:t>
      </w:r>
      <w:r w:rsidR="00D65B89" w:rsidRPr="00C40DCD">
        <w:t>.</w:t>
      </w:r>
      <w:r w:rsidR="004606EC">
        <w:t xml:space="preserve"> </w:t>
      </w:r>
      <w:r w:rsidR="0046606D">
        <w:t xml:space="preserve">Calves were individually </w:t>
      </w:r>
      <w:proofErr w:type="gramStart"/>
      <w:r w:rsidR="0046606D">
        <w:t>housed</w:t>
      </w:r>
      <w:proofErr w:type="gramEnd"/>
      <w:r w:rsidR="0046606D">
        <w:t xml:space="preserve"> </w:t>
      </w:r>
      <w:r w:rsidR="00907BFC">
        <w:t>and t</w:t>
      </w:r>
      <w:r w:rsidR="00725BBD" w:rsidRPr="00C40DCD">
        <w:t xml:space="preserve">reatments </w:t>
      </w:r>
      <w:r w:rsidR="006C5EA2" w:rsidRPr="00C40DCD">
        <w:t xml:space="preserve">were </w:t>
      </w:r>
      <w:r w:rsidR="004A3F11" w:rsidRPr="00C40DCD">
        <w:t xml:space="preserve">combined with milk replacer </w:t>
      </w:r>
      <w:r w:rsidR="0072616F">
        <w:t xml:space="preserve">(6 l/d) </w:t>
      </w:r>
      <w:r w:rsidR="00E74992" w:rsidRPr="00C40DCD">
        <w:t>for the first 2</w:t>
      </w:r>
      <w:r w:rsidR="00F55463">
        <w:t>7</w:t>
      </w:r>
      <w:r w:rsidR="00E74992" w:rsidRPr="00C40DCD">
        <w:t xml:space="preserve"> d, after which they were abruptly weaned</w:t>
      </w:r>
      <w:r w:rsidR="0062680A" w:rsidRPr="00C40DCD">
        <w:t xml:space="preserve">, and received treatments in starter concentrates. </w:t>
      </w:r>
      <w:r w:rsidR="00981564" w:rsidRPr="00C40DCD">
        <w:t xml:space="preserve">Calves had </w:t>
      </w:r>
      <w:r w:rsidR="00981564" w:rsidRPr="00C40DCD">
        <w:rPr>
          <w:i/>
          <w:iCs/>
        </w:rPr>
        <w:t xml:space="preserve">ad libitum </w:t>
      </w:r>
      <w:r w:rsidR="00981564" w:rsidRPr="00C40DCD">
        <w:t xml:space="preserve">access </w:t>
      </w:r>
      <w:r w:rsidR="00402943">
        <w:t xml:space="preserve">to </w:t>
      </w:r>
      <w:r w:rsidR="00334C34" w:rsidRPr="00C40DCD">
        <w:t>straw, water and</w:t>
      </w:r>
      <w:r w:rsidR="00981564" w:rsidRPr="00C40DCD">
        <w:t xml:space="preserve"> concentrates</w:t>
      </w:r>
      <w:r w:rsidR="00677495">
        <w:t xml:space="preserve">; </w:t>
      </w:r>
      <w:r w:rsidR="00D9229F">
        <w:t>concentrate</w:t>
      </w:r>
      <w:r w:rsidR="00E97F05" w:rsidRPr="00C40DCD">
        <w:t xml:space="preserve"> refusals were measured daily. </w:t>
      </w:r>
      <w:r w:rsidR="00EC3BAB" w:rsidRPr="00C40DCD">
        <w:t>C</w:t>
      </w:r>
      <w:r w:rsidR="00E97F05" w:rsidRPr="00C40DCD">
        <w:t>alves were weighed on two consecutive days</w:t>
      </w:r>
      <w:r w:rsidR="000B56E1">
        <w:t xml:space="preserve"> every</w:t>
      </w:r>
      <w:r w:rsidR="00E97F05" w:rsidRPr="00C40DCD">
        <w:t xml:space="preserve"> week</w:t>
      </w:r>
      <w:r w:rsidR="004227AB" w:rsidRPr="00C40DCD">
        <w:t xml:space="preserve"> in the pre-weaned period, and bi-weekly </w:t>
      </w:r>
      <w:r w:rsidR="00FF0B70">
        <w:t>post</w:t>
      </w:r>
      <w:r w:rsidR="00D27FBE" w:rsidRPr="00C40DCD">
        <w:t xml:space="preserve"> weaning. </w:t>
      </w:r>
      <w:r w:rsidR="00EC3BAB" w:rsidRPr="00C40DCD">
        <w:t xml:space="preserve">Digestive health of calves </w:t>
      </w:r>
      <w:r w:rsidR="00793B3B" w:rsidRPr="00C40DCD">
        <w:t xml:space="preserve">was measured weekly </w:t>
      </w:r>
      <w:r w:rsidR="00C40DCD" w:rsidRPr="00C40DCD">
        <w:t xml:space="preserve">following the </w:t>
      </w:r>
      <w:r w:rsidR="000C77D2">
        <w:t xml:space="preserve">University of </w:t>
      </w:r>
      <w:r w:rsidR="00C40DCD" w:rsidRPr="00C40DCD">
        <w:t xml:space="preserve">Wisconsin faecal </w:t>
      </w:r>
      <w:r w:rsidR="00C40DCD">
        <w:t>scoring protocol</w:t>
      </w:r>
      <w:r w:rsidR="000B56E1">
        <w:t xml:space="preserve"> </w:t>
      </w:r>
      <w:r w:rsidR="00293DCD">
        <w:fldChar w:fldCharType="begin"/>
      </w:r>
      <w:r w:rsidR="00EA7CB6">
        <w:instrText xml:space="preserve"> ADDIN EN.CITE &lt;EndNote&gt;&lt;Cite&gt;&lt;Author&gt;Jaureguiberry&lt;/Author&gt;&lt;Year&gt;2023&lt;/Year&gt;&lt;RecNum&gt;315&lt;/RecNum&gt;&lt;DisplayText&gt;(Jaureguiberry et al., 2023)&lt;/DisplayText&gt;&lt;record&gt;&lt;rec-number&gt;315&lt;/rec-number&gt;&lt;foreign-keys&gt;&lt;key app="EN" db-id="prxttxpw8v9e95ev9z25wf0d5rttpstdts5z" timestamp="1731586397" guid="4e0e8917-9867-46fe-bc4c-b3e6c9f2df3e"&gt;315&lt;/key&gt;&lt;/foreign-keys&gt;&lt;ref-type name="Journal Article"&gt;17&lt;/ref-type&gt;&lt;contributors&gt;&lt;authors&gt;&lt;author&gt;Jaureguiberry, María&lt;/author&gt;&lt;author&gt;Rearte, Ramiro&lt;/author&gt;&lt;author&gt;Marconi, María Jose&lt;/author&gt;&lt;author&gt;Giuliodori, Mauricio Javier&lt;/author&gt;&lt;author&gt;Madoz, Laura Vanina&lt;/author&gt;&lt;author&gt;Pinedo, Fiorela Alvarado&lt;/author&gt;&lt;author&gt;de la Sota, Rodolfo Luzbel&lt;/author&gt;&lt;/authors&gt;&lt;/contributors&gt;&lt;titles&gt;&lt;title&gt;A simplified scoring system for the diagnosis of diarrhea and respiratory diseases in dairy calves&lt;/title&gt;&lt;secondary-title&gt;The Canadian Veterinary Journal&lt;/secondary-title&gt;&lt;/titles&gt;&lt;periodical&gt;&lt;full-title&gt;The Canadian Veterinary Journal&lt;/full-title&gt;&lt;/periodical&gt;&lt;pages&gt;553-557&lt;/pages&gt;&lt;volume&gt;64&lt;/volume&gt;&lt;number&gt;6&lt;/number&gt;&lt;dates&gt;&lt;year&gt;2023&lt;/year&gt;&lt;/dates&gt;&lt;isbn&gt;0008-5286&lt;/isbn&gt;&lt;urls&gt;&lt;/urls&gt;&lt;/record&gt;&lt;/Cite&gt;&lt;/EndNote&gt;</w:instrText>
      </w:r>
      <w:r w:rsidR="00293DCD">
        <w:fldChar w:fldCharType="separate"/>
      </w:r>
      <w:r w:rsidR="00293DCD">
        <w:rPr>
          <w:noProof/>
        </w:rPr>
        <w:t>(Jaureguiberry et al., 2023)</w:t>
      </w:r>
      <w:r w:rsidR="00293DCD">
        <w:fldChar w:fldCharType="end"/>
      </w:r>
      <w:r w:rsidR="00C40DCD">
        <w:t xml:space="preserve">. </w:t>
      </w:r>
      <w:r w:rsidR="0017762E">
        <w:t>Immediately prior to</w:t>
      </w:r>
      <w:r w:rsidR="00855CCA">
        <w:t xml:space="preserve"> weaning, 15 calves were </w:t>
      </w:r>
      <w:r w:rsidR="00D977B0">
        <w:t xml:space="preserve">culled and </w:t>
      </w:r>
      <w:r w:rsidR="003E79A0">
        <w:t>duplicate samples of rumen digesta were collected for volatile fatty acid (VFA) analysis</w:t>
      </w:r>
      <w:r w:rsidR="002E1A09">
        <w:t xml:space="preserve">. The </w:t>
      </w:r>
      <w:r w:rsidR="00277E25">
        <w:t>remaining</w:t>
      </w:r>
      <w:r w:rsidR="002E1A09">
        <w:t xml:space="preserve"> calves were culled </w:t>
      </w:r>
      <w:r w:rsidR="00BE2E6F">
        <w:t xml:space="preserve">for </w:t>
      </w:r>
      <w:r w:rsidR="000C77D2">
        <w:t xml:space="preserve">rumen </w:t>
      </w:r>
      <w:r w:rsidR="00BE2E6F">
        <w:t xml:space="preserve">sampling at week 10. VFA analysis was performed using </w:t>
      </w:r>
      <w:r w:rsidR="00FF3D15">
        <w:t xml:space="preserve">gas chromatography according to the protocol of </w:t>
      </w:r>
      <w:r w:rsidR="00B5037C">
        <w:fldChar w:fldCharType="begin"/>
      </w:r>
      <w:r w:rsidR="00B5037C">
        <w:instrText xml:space="preserve"> ADDIN EN.CITE &lt;EndNote&gt;&lt;Cite AuthorYear="1"&gt;&lt;Author&gt;Erwin&lt;/Author&gt;&lt;Year&gt;1961&lt;/Year&gt;&lt;RecNum&gt;210&lt;/RecNum&gt;&lt;DisplayText&gt;Erwin et al. (1961)&lt;/DisplayText&gt;&lt;record&gt;&lt;rec-number&gt;210&lt;/rec-number&gt;&lt;foreign-keys&gt;&lt;key app="EN" db-id="prxttxpw8v9e95ev9z25wf0d5rttpstdts5z" timestamp="1715847502" guid="0cf050eb-1508-4880-a90a-f49581b53957"&gt;210&lt;/key&gt;&lt;/foreign-keys&gt;&lt;ref-type name="Journal Article"&gt;17&lt;/ref-type&gt;&lt;contributors&gt;&lt;authors&gt;&lt;author&gt;Erwin, ES&lt;/author&gt;&lt;author&gt;Marco, G Jo&lt;/author&gt;&lt;author&gt;Emery, EM&lt;/author&gt;&lt;/authors&gt;&lt;/contributors&gt;&lt;titles&gt;&lt;title&gt;Volatile fatty acid analyses of blood and rumen fluid by gas chromatography&lt;/title&gt;&lt;/titles&gt;&lt;dates&gt;&lt;year&gt;1961&lt;/year&gt;&lt;/dates&gt;&lt;urls&gt;&lt;/urls&gt;&lt;/record&gt;&lt;/Cite&gt;&lt;/EndNote&gt;</w:instrText>
      </w:r>
      <w:r w:rsidR="00B5037C">
        <w:fldChar w:fldCharType="separate"/>
      </w:r>
      <w:r w:rsidR="00B5037C">
        <w:rPr>
          <w:noProof/>
        </w:rPr>
        <w:t>Erwin et al. (1961)</w:t>
      </w:r>
      <w:r w:rsidR="00B5037C">
        <w:fldChar w:fldCharType="end"/>
      </w:r>
      <w:r w:rsidR="00B5037C">
        <w:t>.</w:t>
      </w:r>
      <w:r w:rsidR="005764BF">
        <w:t xml:space="preserve"> </w:t>
      </w:r>
      <w:r w:rsidR="002A0304">
        <w:t>Statistical analys</w:t>
      </w:r>
      <w:r w:rsidR="00EA7CB6">
        <w:t xml:space="preserve">is was performed in R </w:t>
      </w:r>
      <w:r w:rsidR="00EA7CB6">
        <w:fldChar w:fldCharType="begin"/>
      </w:r>
      <w:r w:rsidR="00EA7CB6">
        <w:instrText xml:space="preserve"> ADDIN EN.CITE &lt;EndNote&gt;&lt;Cite&gt;&lt;Author&gt;RCoreTeam&lt;/Author&gt;&lt;Year&gt;2024&lt;/Year&gt;&lt;RecNum&gt;215&lt;/RecNum&gt;&lt;DisplayText&gt;(RCoreTeam, 2024)&lt;/DisplayText&gt;&lt;record&gt;&lt;rec-number&gt;215&lt;/rec-number&gt;&lt;foreign-keys&gt;&lt;key app="EN" db-id="prxttxpw8v9e95ev9z25wf0d5rttpstdts5z" timestamp="1724745104" guid="a9946a09-fc09-47b2-b6e1-61a9f3f826bf"&gt;215&lt;/key&gt;&lt;/foreign-keys&gt;&lt;ref-type name="Online Database"&gt;45&lt;/ref-type&gt;&lt;contributors&gt;&lt;authors&gt;&lt;author&gt;RCoreTeam &lt;/author&gt;&lt;/authors&gt;&lt;/contributors&gt;&lt;titles&gt;&lt;title&gt;R: A Language and Environment for Statistical Computing_. R Foundation for Statistical Computing, Vienna, Austria. https://www.R-project.org/ &amp;#xD;&lt;/title&gt;&lt;/titles&gt;&lt;dates&gt;&lt;year&gt;2024&lt;/year&gt;&lt;/dates&gt;&lt;urls&gt;&lt;/urls&gt;&lt;/record&gt;&lt;/Cite&gt;&lt;/EndNote&gt;</w:instrText>
      </w:r>
      <w:r w:rsidR="00EA7CB6">
        <w:fldChar w:fldCharType="separate"/>
      </w:r>
      <w:r w:rsidR="00EA7CB6">
        <w:rPr>
          <w:noProof/>
        </w:rPr>
        <w:t>(R Core Team, 2024)</w:t>
      </w:r>
      <w:r w:rsidR="00EA7CB6">
        <w:fldChar w:fldCharType="end"/>
      </w:r>
      <w:r w:rsidR="00EA7CB6">
        <w:t xml:space="preserve">. </w:t>
      </w:r>
      <w:r w:rsidR="005764BF">
        <w:t xml:space="preserve">Differences in </w:t>
      </w:r>
      <w:r w:rsidR="00B77B86">
        <w:t>feed intake, FCE</w:t>
      </w:r>
      <w:r w:rsidR="002E41F3">
        <w:t xml:space="preserve">, ADG and faecal score </w:t>
      </w:r>
      <w:r w:rsidR="006C6825">
        <w:t>were calculated us</w:t>
      </w:r>
      <w:r w:rsidR="002A0304">
        <w:t>ing</w:t>
      </w:r>
      <w:r w:rsidR="006C6825">
        <w:t xml:space="preserve"> repeated measures ANOVA</w:t>
      </w:r>
      <w:r w:rsidR="00EA7CB6">
        <w:t>,</w:t>
      </w:r>
      <w:r w:rsidR="006C6825">
        <w:t xml:space="preserve"> </w:t>
      </w:r>
      <w:r w:rsidR="00EA7CB6">
        <w:t>d</w:t>
      </w:r>
      <w:r w:rsidR="006C6825">
        <w:t xml:space="preserve">ifferences in VFA concentrations and </w:t>
      </w:r>
      <w:r w:rsidR="002A0304">
        <w:t>proportions were calculated using one-way ANOVA</w:t>
      </w:r>
      <w:r w:rsidR="00EA7CB6">
        <w:t>.</w:t>
      </w:r>
    </w:p>
    <w:p w14:paraId="35CAF992" w14:textId="43ABAA1F" w:rsidR="007B30E3" w:rsidRPr="00C40DCD" w:rsidRDefault="007B30E3">
      <w:pPr>
        <w:rPr>
          <w:b/>
          <w:bCs/>
        </w:rPr>
      </w:pPr>
      <w:r w:rsidRPr="00C40DCD">
        <w:rPr>
          <w:b/>
          <w:bCs/>
        </w:rPr>
        <w:t>Results</w:t>
      </w:r>
    </w:p>
    <w:p w14:paraId="3D5C9672" w14:textId="7ADF4D98" w:rsidR="007B30E3" w:rsidRPr="002273BE" w:rsidRDefault="008305AD">
      <w:r w:rsidRPr="00B5585E">
        <w:rPr>
          <w:b/>
          <w:bCs/>
        </w:rPr>
        <w:t xml:space="preserve">Table 1 </w:t>
      </w:r>
      <w:r w:rsidRPr="00B5585E">
        <w:t xml:space="preserve">shows the FCE </w:t>
      </w:r>
      <w:r w:rsidR="00664C24" w:rsidRPr="00B5585E">
        <w:t>and starter intake</w:t>
      </w:r>
      <w:r w:rsidR="00766BE6" w:rsidRPr="00B5585E">
        <w:t xml:space="preserve"> of calves during the trial</w:t>
      </w:r>
      <w:r w:rsidR="006252BE" w:rsidRPr="00B5585E">
        <w:t>.</w:t>
      </w:r>
      <w:r w:rsidR="00C97600" w:rsidRPr="00B5585E">
        <w:t xml:space="preserve"> SYN calves had increased starter intake in both the pre-weaned and weaned periods</w:t>
      </w:r>
      <w:r w:rsidR="00E007C7" w:rsidRPr="00B5585E">
        <w:t>, however,</w:t>
      </w:r>
      <w:r w:rsidR="006252BE" w:rsidRPr="00B5585E">
        <w:t xml:space="preserve"> </w:t>
      </w:r>
      <w:r w:rsidR="00E007C7" w:rsidRPr="00B5585E">
        <w:t>n</w:t>
      </w:r>
      <w:r w:rsidR="003A2A77" w:rsidRPr="00B5585E">
        <w:t xml:space="preserve">either </w:t>
      </w:r>
      <w:r w:rsidR="004F180C" w:rsidRPr="00B5585E">
        <w:t>treatment</w:t>
      </w:r>
      <w:r w:rsidR="003A2A77" w:rsidRPr="00B5585E">
        <w:t xml:space="preserve"> consistently </w:t>
      </w:r>
      <w:r w:rsidR="004F180C" w:rsidRPr="00B5585E">
        <w:t>improved FCE during the pre-weaned or weaned periods.</w:t>
      </w:r>
      <w:r w:rsidR="004F180C">
        <w:t xml:space="preserve"> </w:t>
      </w:r>
      <w:r w:rsidR="00A74445">
        <w:t>MRF</w:t>
      </w:r>
      <w:r w:rsidR="006252BE">
        <w:t xml:space="preserve"> calves had </w:t>
      </w:r>
      <w:r w:rsidR="000A05BD">
        <w:t xml:space="preserve">higher </w:t>
      </w:r>
      <w:r w:rsidR="006252BE">
        <w:t xml:space="preserve">FCE </w:t>
      </w:r>
      <w:r w:rsidR="008B7CB7">
        <w:t>compared to</w:t>
      </w:r>
      <w:r w:rsidR="001F7768">
        <w:t xml:space="preserve"> </w:t>
      </w:r>
      <w:r w:rsidR="002F5E0C">
        <w:t>CTRL calves</w:t>
      </w:r>
      <w:r w:rsidR="001F7768">
        <w:t xml:space="preserve"> </w:t>
      </w:r>
      <w:r w:rsidR="006252BE">
        <w:t>in week</w:t>
      </w:r>
      <w:r w:rsidR="00E65DFA">
        <w:t xml:space="preserve">s </w:t>
      </w:r>
      <w:r w:rsidR="001E402E">
        <w:t>1</w:t>
      </w:r>
      <w:r w:rsidR="00E65DFA">
        <w:t xml:space="preserve">, </w:t>
      </w:r>
      <w:r w:rsidR="001E402E">
        <w:t>8</w:t>
      </w:r>
      <w:r w:rsidR="00A51621">
        <w:t xml:space="preserve"> and</w:t>
      </w:r>
      <w:r w:rsidR="00D83997">
        <w:t xml:space="preserve"> </w:t>
      </w:r>
      <w:r w:rsidR="001E402E">
        <w:t>9</w:t>
      </w:r>
      <w:r w:rsidR="00D83997">
        <w:t xml:space="preserve">. </w:t>
      </w:r>
      <w:r w:rsidR="00231DC8">
        <w:t xml:space="preserve">The FCE of SYN calves was lower </w:t>
      </w:r>
      <w:r w:rsidR="00D14974">
        <w:t xml:space="preserve">than </w:t>
      </w:r>
      <w:r w:rsidR="002F5E0C">
        <w:t>CTRL calves</w:t>
      </w:r>
      <w:r w:rsidR="00D14974">
        <w:t xml:space="preserve"> </w:t>
      </w:r>
      <w:r w:rsidR="00231DC8">
        <w:t xml:space="preserve">in week </w:t>
      </w:r>
      <w:r w:rsidR="001E402E">
        <w:t>3</w:t>
      </w:r>
      <w:r w:rsidR="00231DC8">
        <w:t xml:space="preserve"> </w:t>
      </w:r>
      <w:r w:rsidR="00D14974">
        <w:t xml:space="preserve">but </w:t>
      </w:r>
      <w:r w:rsidR="000A05BD">
        <w:t xml:space="preserve">increased </w:t>
      </w:r>
      <w:r w:rsidR="00CC5B84">
        <w:t xml:space="preserve">in </w:t>
      </w:r>
      <w:r w:rsidR="00FC3432">
        <w:t>week</w:t>
      </w:r>
      <w:r w:rsidR="00A51621">
        <w:t xml:space="preserve"> </w:t>
      </w:r>
      <w:r w:rsidR="001E402E">
        <w:t>6</w:t>
      </w:r>
      <w:r w:rsidR="00A51621">
        <w:t xml:space="preserve"> and </w:t>
      </w:r>
      <w:r w:rsidR="001E402E">
        <w:t>7.</w:t>
      </w:r>
      <w:r w:rsidR="009453F3">
        <w:t xml:space="preserve"> </w:t>
      </w:r>
      <w:r w:rsidR="00B7680D">
        <w:t>A</w:t>
      </w:r>
      <w:r w:rsidR="002E41F3">
        <w:t>DG</w:t>
      </w:r>
      <w:r w:rsidR="00B7680D">
        <w:t xml:space="preserve"> was unaffected by treatment, as was </w:t>
      </w:r>
      <w:r w:rsidR="004B415C">
        <w:t>faecal score</w:t>
      </w:r>
      <w:r w:rsidR="002500FA">
        <w:t>;</w:t>
      </w:r>
      <w:r w:rsidR="004B415C">
        <w:t xml:space="preserve"> </w:t>
      </w:r>
      <w:r w:rsidR="000A05BD">
        <w:t>all calves remained healthy</w:t>
      </w:r>
      <w:r w:rsidR="004B415C">
        <w:t xml:space="preserve"> throughout the trial.</w:t>
      </w:r>
      <w:r w:rsidR="004C023A">
        <w:t xml:space="preserve"> </w:t>
      </w:r>
      <w:r w:rsidR="00B56A48">
        <w:t xml:space="preserve">At weaning, </w:t>
      </w:r>
      <w:r w:rsidR="00A74445">
        <w:t>MRF</w:t>
      </w:r>
      <w:r w:rsidR="00B56A48">
        <w:t xml:space="preserve"> </w:t>
      </w:r>
      <w:r w:rsidR="005D2455">
        <w:t xml:space="preserve">calves </w:t>
      </w:r>
      <w:r w:rsidR="00B56A48">
        <w:t>had a</w:t>
      </w:r>
      <w:r w:rsidR="00B70F4E">
        <w:t>n</w:t>
      </w:r>
      <w:r w:rsidR="005D2455">
        <w:t xml:space="preserve"> </w:t>
      </w:r>
      <w:r w:rsidR="005D2455">
        <w:lastRenderedPageBreak/>
        <w:t xml:space="preserve">acetate: propionate ratio </w:t>
      </w:r>
      <w:r w:rsidR="00561777">
        <w:t>of 2.18</w:t>
      </w:r>
      <w:r w:rsidR="00AF7BEA">
        <w:t xml:space="preserve"> in rumen </w:t>
      </w:r>
      <w:r w:rsidR="0059359D">
        <w:t>fluid</w:t>
      </w:r>
      <w:r w:rsidR="00561777">
        <w:t xml:space="preserve">, lower than </w:t>
      </w:r>
      <w:r w:rsidR="002273BE">
        <w:t>th</w:t>
      </w:r>
      <w:r w:rsidR="00670E7A">
        <w:t xml:space="preserve">e </w:t>
      </w:r>
      <w:r w:rsidR="008D6AA2">
        <w:t xml:space="preserve">CTRL ratio of </w:t>
      </w:r>
      <w:r w:rsidR="00670E7A">
        <w:t>2.7</w:t>
      </w:r>
      <w:r w:rsidR="002273BE">
        <w:t xml:space="preserve"> (Pooled SE = 0.09; </w:t>
      </w:r>
      <w:r w:rsidR="002273BE">
        <w:rPr>
          <w:i/>
          <w:iCs/>
        </w:rPr>
        <w:t xml:space="preserve">p </w:t>
      </w:r>
      <w:r w:rsidR="002273BE">
        <w:t xml:space="preserve">= </w:t>
      </w:r>
      <w:r w:rsidR="00E01FFC">
        <w:t xml:space="preserve">0.047). </w:t>
      </w:r>
      <w:r w:rsidR="006276B4">
        <w:t>A</w:t>
      </w:r>
      <w:r w:rsidR="002500FA">
        <w:t>t</w:t>
      </w:r>
      <w:r w:rsidR="00F2455F">
        <w:t xml:space="preserve"> week 10</w:t>
      </w:r>
      <w:r w:rsidR="006276B4">
        <w:t xml:space="preserve">, SYN calves had </w:t>
      </w:r>
      <w:r w:rsidR="00C15170">
        <w:t xml:space="preserve">an acetate: propionate ratio of </w:t>
      </w:r>
      <w:r w:rsidR="00FB698C">
        <w:t>1.6 compared to</w:t>
      </w:r>
      <w:r w:rsidR="000838FD">
        <w:t xml:space="preserve"> the</w:t>
      </w:r>
      <w:r w:rsidR="00FB698C">
        <w:t xml:space="preserve"> </w:t>
      </w:r>
      <w:r w:rsidR="008D6AA2">
        <w:t>CTRL</w:t>
      </w:r>
      <w:r w:rsidR="00FB698C">
        <w:t xml:space="preserve"> </w:t>
      </w:r>
      <w:r w:rsidR="000838FD">
        <w:t xml:space="preserve">ratio </w:t>
      </w:r>
      <w:r w:rsidR="00FB698C">
        <w:t xml:space="preserve">of </w:t>
      </w:r>
      <w:r w:rsidR="00B9398F">
        <w:t>2.27 (Pooled SE = 0.</w:t>
      </w:r>
      <w:r w:rsidR="00623E94">
        <w:t>103</w:t>
      </w:r>
      <w:r w:rsidR="00B9398F">
        <w:t xml:space="preserve">; </w:t>
      </w:r>
      <w:r w:rsidR="00B9398F">
        <w:rPr>
          <w:i/>
          <w:iCs/>
        </w:rPr>
        <w:t xml:space="preserve">p </w:t>
      </w:r>
      <w:r w:rsidR="00B9398F">
        <w:t>= 0.0</w:t>
      </w:r>
      <w:r w:rsidR="00CA51DA">
        <w:t>09</w:t>
      </w:r>
      <w:r w:rsidR="00B9398F">
        <w:t>)</w:t>
      </w:r>
      <w:r w:rsidR="00CA51DA">
        <w:t xml:space="preserve">, </w:t>
      </w:r>
      <w:r w:rsidR="008E6159">
        <w:t xml:space="preserve">and a </w:t>
      </w:r>
      <w:r w:rsidR="000A05BD">
        <w:t xml:space="preserve">higher </w:t>
      </w:r>
      <w:r w:rsidR="008E6159">
        <w:t>proportion</w:t>
      </w:r>
      <w:r w:rsidR="00865D6E">
        <w:t xml:space="preserve"> of propionate</w:t>
      </w:r>
      <w:r w:rsidR="008E6159">
        <w:t xml:space="preserve"> in rumen fluid</w:t>
      </w:r>
      <w:r w:rsidR="00865D6E">
        <w:t xml:space="preserve">, 32 % compared to </w:t>
      </w:r>
      <w:r w:rsidR="008E6159">
        <w:t xml:space="preserve">25 % (Pooled SE = </w:t>
      </w:r>
      <w:r w:rsidR="002A115B">
        <w:t>0.95</w:t>
      </w:r>
      <w:r w:rsidR="006913C7">
        <w:t xml:space="preserve">1, </w:t>
      </w:r>
      <w:r w:rsidR="006913C7">
        <w:rPr>
          <w:i/>
          <w:iCs/>
        </w:rPr>
        <w:t xml:space="preserve">p </w:t>
      </w:r>
      <w:r w:rsidR="006913C7">
        <w:t xml:space="preserve">= </w:t>
      </w:r>
      <w:r w:rsidR="00501BE4">
        <w:t xml:space="preserve">0.004). </w:t>
      </w:r>
      <w:r w:rsidR="00A916EA">
        <w:t>SYN</w:t>
      </w:r>
      <w:r w:rsidR="0000005B">
        <w:t xml:space="preserve"> and </w:t>
      </w:r>
      <w:r w:rsidR="00A74445">
        <w:t>MRF</w:t>
      </w:r>
      <w:r w:rsidR="0000005B">
        <w:t xml:space="preserve"> calves had </w:t>
      </w:r>
      <w:r w:rsidR="000A05BD">
        <w:t xml:space="preserve">higher </w:t>
      </w:r>
      <w:r w:rsidR="0000005B">
        <w:t>proportions of valerate</w:t>
      </w:r>
      <w:r w:rsidR="00D22815">
        <w:t>,</w:t>
      </w:r>
      <w:r w:rsidR="00680C8C">
        <w:t xml:space="preserve"> 4.52 % and</w:t>
      </w:r>
      <w:r w:rsidR="00A916EA">
        <w:t xml:space="preserve"> 4.54 % respectively, compared to CTRL of </w:t>
      </w:r>
      <w:r w:rsidR="002A7F95">
        <w:t xml:space="preserve">3.28 % </w:t>
      </w:r>
      <w:r w:rsidR="00707520">
        <w:t xml:space="preserve">(Pooled SE = 0.17; </w:t>
      </w:r>
      <w:r w:rsidR="00707520">
        <w:rPr>
          <w:i/>
          <w:iCs/>
        </w:rPr>
        <w:t xml:space="preserve">p </w:t>
      </w:r>
      <w:r w:rsidR="00707520">
        <w:t>&lt; 0.00</w:t>
      </w:r>
      <w:r w:rsidR="002F5E0C">
        <w:t>1)</w:t>
      </w:r>
      <w:r w:rsidR="001B3159">
        <w:t xml:space="preserve">, as well as </w:t>
      </w:r>
      <w:r w:rsidR="000A05BD">
        <w:t xml:space="preserve">lower </w:t>
      </w:r>
      <w:r w:rsidR="00616BED">
        <w:t>proportions</w:t>
      </w:r>
      <w:r w:rsidR="00221B8C">
        <w:t xml:space="preserve"> of </w:t>
      </w:r>
      <w:r w:rsidR="00457877">
        <w:t>isovalerate and isobutyrate (</w:t>
      </w:r>
      <w:r w:rsidR="00457877">
        <w:rPr>
          <w:i/>
          <w:iCs/>
        </w:rPr>
        <w:t xml:space="preserve">p </w:t>
      </w:r>
      <w:r w:rsidR="00457877">
        <w:t>&lt; 0.001</w:t>
      </w:r>
      <w:r w:rsidR="00B07317">
        <w:t>)</w:t>
      </w:r>
      <w:r w:rsidR="00221B8C">
        <w:t xml:space="preserve">. </w:t>
      </w:r>
    </w:p>
    <w:p w14:paraId="68E461EC" w14:textId="317E8356" w:rsidR="007B30E3" w:rsidRPr="00C40DCD" w:rsidRDefault="007B30E3">
      <w:pPr>
        <w:rPr>
          <w:b/>
          <w:bCs/>
        </w:rPr>
      </w:pPr>
      <w:r w:rsidRPr="00C40DCD">
        <w:rPr>
          <w:b/>
          <w:bCs/>
        </w:rPr>
        <w:t>Conclusions</w:t>
      </w:r>
    </w:p>
    <w:p w14:paraId="318BC12A" w14:textId="66396045" w:rsidR="00C93E5D" w:rsidRDefault="00AA7B81">
      <w:r w:rsidRPr="00B5585E">
        <w:t xml:space="preserve">Neither treatment consistently improved FCE or </w:t>
      </w:r>
      <w:r w:rsidR="00FA419B" w:rsidRPr="00B5585E">
        <w:t>ADG in dairy calves.</w:t>
      </w:r>
      <w:r w:rsidR="00AF48DA" w:rsidRPr="00B5585E">
        <w:t xml:space="preserve"> </w:t>
      </w:r>
      <w:r w:rsidR="00EF15EC" w:rsidRPr="00B5585E">
        <w:t>Synergen®</w:t>
      </w:r>
      <w:r w:rsidR="00F46EEC" w:rsidRPr="00B5585E">
        <w:t xml:space="preserve"> increase</w:t>
      </w:r>
      <w:r w:rsidR="00D619FC" w:rsidRPr="00B5585E">
        <w:t>d</w:t>
      </w:r>
      <w:r w:rsidR="00BE4B8C" w:rsidRPr="00B5585E">
        <w:t xml:space="preserve"> feed intake in pre-weaned and weaned </w:t>
      </w:r>
      <w:r w:rsidR="00F00174" w:rsidRPr="00B5585E">
        <w:t>dairy calves</w:t>
      </w:r>
      <w:r w:rsidR="003856E5" w:rsidRPr="00B5585E">
        <w:t xml:space="preserve"> and shifted rumen fermentation towards propionate post-weaning. The propionate pathway is more efficient t</w:t>
      </w:r>
      <w:r w:rsidR="007C0C9D" w:rsidRPr="00B5585E">
        <w:t xml:space="preserve">han acetate, suggesting enhanced </w:t>
      </w:r>
      <w:r w:rsidR="00A73DEE" w:rsidRPr="00B5585E">
        <w:t xml:space="preserve">starch hydrolysis and </w:t>
      </w:r>
      <w:r w:rsidR="007C0C9D" w:rsidRPr="00B5585E">
        <w:t>rumen function</w:t>
      </w:r>
      <w:r w:rsidR="00413FE0" w:rsidRPr="00B5585E">
        <w:t>, however,</w:t>
      </w:r>
      <w:r w:rsidR="008B3CAF" w:rsidRPr="00B5585E">
        <w:t xml:space="preserve"> this effect did not translate into consistent </w:t>
      </w:r>
      <w:r w:rsidR="004F6B35" w:rsidRPr="00B5585E">
        <w:t>improvements</w:t>
      </w:r>
      <w:r w:rsidR="008B3CAF" w:rsidRPr="00B5585E">
        <w:t xml:space="preserve"> </w:t>
      </w:r>
      <w:r w:rsidR="004F6B35" w:rsidRPr="00B5585E">
        <w:t>in</w:t>
      </w:r>
      <w:r w:rsidR="008B3CAF" w:rsidRPr="00B5585E">
        <w:t xml:space="preserve"> feed efficiency</w:t>
      </w:r>
      <w:r w:rsidR="0090448F" w:rsidRPr="00B5585E">
        <w:t xml:space="preserve">. </w:t>
      </w:r>
      <w:r w:rsidR="00EC0548" w:rsidRPr="00B5585E">
        <w:t xml:space="preserve">The VFA profile of </w:t>
      </w:r>
      <w:r w:rsidR="00A74445">
        <w:t>MRF</w:t>
      </w:r>
      <w:r w:rsidR="00EC0548" w:rsidRPr="00B5585E">
        <w:t xml:space="preserve"> calves pre-weaning</w:t>
      </w:r>
      <w:r w:rsidR="0090448F" w:rsidRPr="00B5585E">
        <w:t xml:space="preserve"> indicat</w:t>
      </w:r>
      <w:r w:rsidR="009B1BCB" w:rsidRPr="00B5585E">
        <w:t>es</w:t>
      </w:r>
      <w:r w:rsidR="0090448F" w:rsidRPr="00B5585E">
        <w:t xml:space="preserve"> that the combination of treatments could improve the </w:t>
      </w:r>
      <w:r w:rsidR="009064CD" w:rsidRPr="00B5585E">
        <w:t>capacity of calves to digest</w:t>
      </w:r>
      <w:r w:rsidR="0090448F" w:rsidRPr="00B5585E">
        <w:t xml:space="preserve"> solid feed prior to milk withdrawal</w:t>
      </w:r>
      <w:r w:rsidR="00697B26" w:rsidRPr="00B5585E">
        <w:t xml:space="preserve">. These results show that both Synergen® and Synergen® + </w:t>
      </w:r>
      <w:r w:rsidR="00A74445">
        <w:t>MRF</w:t>
      </w:r>
      <w:r w:rsidR="00697B26" w:rsidRPr="00B5585E">
        <w:t xml:space="preserve"> can positively influence rumen fermentation but at different stages of </w:t>
      </w:r>
      <w:r w:rsidR="005177EC" w:rsidRPr="00B5585E">
        <w:t xml:space="preserve">calf development. </w:t>
      </w:r>
      <w:r w:rsidR="0090448F" w:rsidRPr="00B5585E">
        <w:t xml:space="preserve">Commercial trials using a larger number of calves, in more challenged environments, would reveal if effects </w:t>
      </w:r>
      <w:r w:rsidR="00D9586C" w:rsidRPr="00B5585E">
        <w:t>of</w:t>
      </w:r>
      <w:r w:rsidR="0090448F" w:rsidRPr="00B5585E">
        <w:t xml:space="preserve"> treatments</w:t>
      </w:r>
      <w:r w:rsidR="004B3C8F" w:rsidRPr="00B5585E">
        <w:t xml:space="preserve"> on </w:t>
      </w:r>
      <w:r w:rsidR="00904FB5" w:rsidRPr="00B5585E">
        <w:t>calf performance</w:t>
      </w:r>
      <w:r w:rsidR="0090448F" w:rsidRPr="00B5585E">
        <w:t xml:space="preserve"> are more pronounced than those realised in th</w:t>
      </w:r>
      <w:r w:rsidR="003A494A" w:rsidRPr="00B5585E">
        <w:t>is</w:t>
      </w:r>
      <w:r w:rsidR="0090448F" w:rsidRPr="00B5585E">
        <w:t xml:space="preserve"> study.</w:t>
      </w:r>
    </w:p>
    <w:p w14:paraId="597D96AF" w14:textId="77777777" w:rsidR="009F6918" w:rsidRDefault="009F6918">
      <w:pPr>
        <w:rPr>
          <w:b/>
          <w:bCs/>
        </w:rPr>
      </w:pPr>
    </w:p>
    <w:p w14:paraId="3FA8B945" w14:textId="3929D7ED" w:rsidR="004C7088" w:rsidRPr="00271BBB" w:rsidRDefault="004C7088" w:rsidP="004C7088">
      <w:r>
        <w:rPr>
          <w:b/>
          <w:bCs/>
        </w:rPr>
        <w:t xml:space="preserve">Table 1: </w:t>
      </w:r>
      <w:r>
        <w:t>Mean feed conversion efficiency</w:t>
      </w:r>
      <w:r w:rsidR="00500CED">
        <w:t>, average daily gain</w:t>
      </w:r>
      <w:r>
        <w:t xml:space="preserve"> and starter intake of thirty Holstein Friesian bull calves treated with an </w:t>
      </w:r>
      <w:r>
        <w:rPr>
          <w:i/>
          <w:iCs/>
        </w:rPr>
        <w:t xml:space="preserve">Aspergillus niger </w:t>
      </w:r>
      <w:r>
        <w:t>product alone (SYN), or in combination with a yeast cell wall fraction (</w:t>
      </w:r>
      <w:r w:rsidR="00A74445">
        <w:t>MRF</w:t>
      </w:r>
      <w:r>
        <w:t>).</w:t>
      </w:r>
    </w:p>
    <w:tbl>
      <w:tblPr>
        <w:tblStyle w:val="TableGrid"/>
        <w:tblpPr w:leftFromText="180" w:rightFromText="180" w:vertAnchor="text" w:horzAnchor="page" w:tblpX="817" w:tblpY="16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784"/>
        <w:gridCol w:w="1251"/>
        <w:gridCol w:w="878"/>
        <w:gridCol w:w="1056"/>
        <w:gridCol w:w="1267"/>
        <w:gridCol w:w="1245"/>
        <w:gridCol w:w="98"/>
        <w:gridCol w:w="1695"/>
      </w:tblGrid>
      <w:tr w:rsidR="004C7088" w14:paraId="083727DD" w14:textId="77777777" w:rsidTr="004C7088"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B8DCC31" w14:textId="77777777" w:rsidR="004C7088" w:rsidRPr="00FA15DB" w:rsidRDefault="004C7088" w:rsidP="004C70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FCE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69DF4DA3" w14:textId="77777777" w:rsidR="004C7088" w:rsidRPr="00FA15DB" w:rsidRDefault="004C7088" w:rsidP="004C70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B25E40" w14:textId="77777777" w:rsidR="004C7088" w:rsidRPr="00FA15DB" w:rsidRDefault="004C7088" w:rsidP="004C70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D696A3" w14:textId="77777777" w:rsidR="004C7088" w:rsidRPr="00FA15DB" w:rsidRDefault="004C7088" w:rsidP="004C708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0A5DDFCF" w14:textId="77777777" w:rsidR="004C7088" w:rsidRPr="00A024DB" w:rsidRDefault="004C7088" w:rsidP="004C708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4E5FAD97" w14:textId="77777777" w:rsidR="004C7088" w:rsidRPr="00A024DB" w:rsidRDefault="004C7088" w:rsidP="004C70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345D5" w14:textId="77777777" w:rsidR="004C7088" w:rsidRPr="00A024DB" w:rsidRDefault="004C7088" w:rsidP="004C70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77EADD42" w14:textId="77777777" w:rsidR="004C7088" w:rsidRPr="00A024DB" w:rsidRDefault="004C7088" w:rsidP="004C70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7088" w:rsidRPr="005B1113" w14:paraId="1A002D2C" w14:textId="77777777" w:rsidTr="004C7088">
        <w:tc>
          <w:tcPr>
            <w:tcW w:w="2075" w:type="dxa"/>
            <w:tcBorders>
              <w:bottom w:val="single" w:sz="4" w:space="0" w:color="auto"/>
            </w:tcBorders>
          </w:tcPr>
          <w:p w14:paraId="4700F891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4C9DC2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54CCF1B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1F80E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CTRL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86023C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086C5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SYN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0F1EA4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1742B6" w14:textId="7310EECE" w:rsidR="004C7088" w:rsidRPr="00FA15DB" w:rsidRDefault="00A74445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MRF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1366FE63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Pooled</w:t>
            </w:r>
          </w:p>
          <w:p w14:paraId="7139CD44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51849779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i/>
                <w:iCs/>
                <w:sz w:val="20"/>
                <w:szCs w:val="20"/>
              </w:rPr>
              <w:t>P-</w:t>
            </w:r>
            <w:r w:rsidRPr="00FA15DB">
              <w:rPr>
                <w:rFonts w:ascii="Arial" w:hAnsi="Arial" w:cs="Arial"/>
                <w:sz w:val="20"/>
                <w:szCs w:val="20"/>
              </w:rPr>
              <w:t>value</w:t>
            </w:r>
          </w:p>
          <w:p w14:paraId="66B3DAD7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A15DB">
              <w:rPr>
                <w:rFonts w:ascii="Arial" w:hAnsi="Arial" w:cs="Arial"/>
                <w:sz w:val="20"/>
                <w:szCs w:val="20"/>
              </w:rPr>
              <w:t>reatment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CDF5ACD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15DB">
              <w:rPr>
                <w:rFonts w:ascii="Arial" w:hAnsi="Arial" w:cs="Arial"/>
                <w:i/>
                <w:iCs/>
                <w:sz w:val="20"/>
                <w:szCs w:val="20"/>
              </w:rPr>
              <w:t>P-value</w:t>
            </w:r>
          </w:p>
          <w:p w14:paraId="3FAB2524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A15DB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</w:tcPr>
          <w:p w14:paraId="23BCB889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A15DB">
              <w:rPr>
                <w:rFonts w:ascii="Arial" w:hAnsi="Arial" w:cs="Arial"/>
                <w:sz w:val="20"/>
                <w:szCs w:val="20"/>
              </w:rPr>
              <w:t xml:space="preserve">-value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A15DB">
              <w:rPr>
                <w:rFonts w:ascii="Arial" w:hAnsi="Arial" w:cs="Arial"/>
                <w:sz w:val="20"/>
                <w:szCs w:val="20"/>
              </w:rPr>
              <w:t xml:space="preserve">reatment </w:t>
            </w:r>
            <w:r>
              <w:rPr>
                <w:rFonts w:ascii="Arial" w:hAnsi="Arial" w:cs="Arial"/>
                <w:sz w:val="20"/>
                <w:szCs w:val="20"/>
              </w:rPr>
              <w:t>×</w:t>
            </w:r>
            <w:r w:rsidRPr="00FA15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A15DB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</w:tr>
      <w:tr w:rsidR="004C7088" w:rsidRPr="00E11430" w14:paraId="2BAF6EA2" w14:textId="77777777" w:rsidTr="004C7088">
        <w:tc>
          <w:tcPr>
            <w:tcW w:w="2075" w:type="dxa"/>
            <w:tcBorders>
              <w:top w:val="single" w:sz="4" w:space="0" w:color="auto"/>
            </w:tcBorders>
          </w:tcPr>
          <w:p w14:paraId="13D1BCD1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70454A81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0.64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839FD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0.64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E573F4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0.69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B9E37B2" w14:textId="657170CA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</w:t>
            </w:r>
            <w:r w:rsidR="00B21B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2FCBA29F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0.0171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322A8A73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0.3743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250E2BB4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0.9342</w:t>
            </w:r>
          </w:p>
        </w:tc>
      </w:tr>
      <w:tr w:rsidR="004C7088" w:rsidRPr="00E11430" w14:paraId="2D2ECCAB" w14:textId="77777777" w:rsidTr="004C7088">
        <w:tc>
          <w:tcPr>
            <w:tcW w:w="2075" w:type="dxa"/>
          </w:tcPr>
          <w:p w14:paraId="04341951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14:paraId="5DBBF172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0" w:type="auto"/>
          </w:tcPr>
          <w:p w14:paraId="0E2A8506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0" w:type="auto"/>
          </w:tcPr>
          <w:p w14:paraId="103DEC28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056" w:type="dxa"/>
          </w:tcPr>
          <w:p w14:paraId="32997E1E" w14:textId="4C00E1BB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  <w:tc>
          <w:tcPr>
            <w:tcW w:w="1267" w:type="dxa"/>
          </w:tcPr>
          <w:p w14:paraId="45881898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0.9387</w:t>
            </w:r>
          </w:p>
        </w:tc>
        <w:tc>
          <w:tcPr>
            <w:tcW w:w="1343" w:type="dxa"/>
            <w:gridSpan w:val="2"/>
          </w:tcPr>
          <w:p w14:paraId="112454F1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0.7772</w:t>
            </w:r>
          </w:p>
        </w:tc>
        <w:tc>
          <w:tcPr>
            <w:tcW w:w="1695" w:type="dxa"/>
          </w:tcPr>
          <w:p w14:paraId="39DB4D3C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0.9361</w:t>
            </w:r>
          </w:p>
        </w:tc>
      </w:tr>
      <w:tr w:rsidR="004C7088" w:rsidRPr="00E11430" w14:paraId="599D86F0" w14:textId="77777777" w:rsidTr="004C7088">
        <w:tc>
          <w:tcPr>
            <w:tcW w:w="2075" w:type="dxa"/>
          </w:tcPr>
          <w:p w14:paraId="776E75BD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4" w:type="dxa"/>
          </w:tcPr>
          <w:p w14:paraId="63A7C7A6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0.63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36A30C0A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0.59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2811A238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FA15DB">
              <w:rPr>
                <w:rFonts w:ascii="Arial" w:hAnsi="Arial" w:cs="Arial"/>
                <w:sz w:val="20"/>
                <w:szCs w:val="20"/>
              </w:rPr>
              <w:t>0.60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a,b</w:t>
            </w:r>
            <w:proofErr w:type="gramEnd"/>
          </w:p>
        </w:tc>
        <w:tc>
          <w:tcPr>
            <w:tcW w:w="1056" w:type="dxa"/>
          </w:tcPr>
          <w:p w14:paraId="4788F5DE" w14:textId="58E08F6F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267" w:type="dxa"/>
          </w:tcPr>
          <w:p w14:paraId="6C4D0FFA" w14:textId="63A94D20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343" w:type="dxa"/>
            <w:gridSpan w:val="2"/>
          </w:tcPr>
          <w:p w14:paraId="636ACADA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0.0205</w:t>
            </w:r>
          </w:p>
        </w:tc>
        <w:tc>
          <w:tcPr>
            <w:tcW w:w="1695" w:type="dxa"/>
          </w:tcPr>
          <w:p w14:paraId="12F4EFBB" w14:textId="49591838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0.321</w:t>
            </w:r>
          </w:p>
        </w:tc>
      </w:tr>
      <w:tr w:rsidR="004C7088" w:rsidRPr="00E11430" w14:paraId="7A02CD2F" w14:textId="77777777" w:rsidTr="004C7088">
        <w:tc>
          <w:tcPr>
            <w:tcW w:w="2075" w:type="dxa"/>
          </w:tcPr>
          <w:p w14:paraId="0B4E9343" w14:textId="7A56D4A4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Pre-weaned period</w:t>
            </w:r>
            <w:r w:rsidR="00CE2F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14:paraId="60741E4C" w14:textId="20819EB0" w:rsidR="004C7088" w:rsidRPr="00FA15DB" w:rsidRDefault="0059678D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AE3D0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61BB22D9" w14:textId="35074E8A" w:rsidR="004C7088" w:rsidRPr="00FA15DB" w:rsidRDefault="00AE3D07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0" w:type="auto"/>
          </w:tcPr>
          <w:p w14:paraId="6334C57B" w14:textId="7FF7ED38" w:rsidR="004C7088" w:rsidRPr="00FA15DB" w:rsidRDefault="00AE3D07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056" w:type="dxa"/>
          </w:tcPr>
          <w:p w14:paraId="7A88FA0A" w14:textId="412D3760" w:rsidR="004C7088" w:rsidRPr="00FA15DB" w:rsidRDefault="001D3A8B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  <w:r w:rsidR="00B21B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14:paraId="73ED4339" w14:textId="09FCE54F" w:rsidR="004C7088" w:rsidRPr="00FA15DB" w:rsidRDefault="002D0044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803389">
              <w:rPr>
                <w:rFonts w:ascii="Arial" w:hAnsi="Arial" w:cs="Arial"/>
                <w:sz w:val="20"/>
                <w:szCs w:val="20"/>
              </w:rPr>
              <w:t>2115</w:t>
            </w:r>
          </w:p>
        </w:tc>
        <w:tc>
          <w:tcPr>
            <w:tcW w:w="1343" w:type="dxa"/>
            <w:gridSpan w:val="2"/>
          </w:tcPr>
          <w:p w14:paraId="7038C9A1" w14:textId="65E0F816" w:rsidR="004C7088" w:rsidRPr="00FA15DB" w:rsidRDefault="00803389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695" w:type="dxa"/>
          </w:tcPr>
          <w:p w14:paraId="4D9C234B" w14:textId="0C91BF27" w:rsidR="004C7088" w:rsidRPr="00FA15DB" w:rsidRDefault="00803389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0.023</w:t>
            </w:r>
            <w:r w:rsidR="00DB60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C7088" w:rsidRPr="00E11430" w14:paraId="251DC990" w14:textId="77777777" w:rsidTr="004C7088">
        <w:tc>
          <w:tcPr>
            <w:tcW w:w="2075" w:type="dxa"/>
          </w:tcPr>
          <w:p w14:paraId="58867537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4 &amp; 5</w:t>
            </w:r>
          </w:p>
        </w:tc>
        <w:tc>
          <w:tcPr>
            <w:tcW w:w="784" w:type="dxa"/>
          </w:tcPr>
          <w:p w14:paraId="394BA39C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0" w:type="auto"/>
          </w:tcPr>
          <w:p w14:paraId="25D06F57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0" w:type="auto"/>
          </w:tcPr>
          <w:p w14:paraId="484C2403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056" w:type="dxa"/>
          </w:tcPr>
          <w:p w14:paraId="2C0E64E7" w14:textId="61D2A515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0.02</w:t>
            </w:r>
            <w:r w:rsidR="00B21B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14:paraId="3F41B547" w14:textId="7A030670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0.447</w:t>
            </w:r>
          </w:p>
        </w:tc>
        <w:tc>
          <w:tcPr>
            <w:tcW w:w="1343" w:type="dxa"/>
            <w:gridSpan w:val="2"/>
          </w:tcPr>
          <w:p w14:paraId="56D449F2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695" w:type="dxa"/>
          </w:tcPr>
          <w:p w14:paraId="2925AAFF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0.7038</w:t>
            </w:r>
          </w:p>
        </w:tc>
      </w:tr>
      <w:tr w:rsidR="004C7088" w:rsidRPr="00E11430" w14:paraId="3ADABA06" w14:textId="77777777" w:rsidTr="004C7088">
        <w:tc>
          <w:tcPr>
            <w:tcW w:w="2075" w:type="dxa"/>
          </w:tcPr>
          <w:p w14:paraId="02CA5363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6 &amp; 7</w:t>
            </w:r>
          </w:p>
        </w:tc>
        <w:tc>
          <w:tcPr>
            <w:tcW w:w="784" w:type="dxa"/>
          </w:tcPr>
          <w:p w14:paraId="26EDA7AD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0.34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06465FDC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0.38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54D83464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0.34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6" w:type="dxa"/>
          </w:tcPr>
          <w:p w14:paraId="055EC662" w14:textId="69140479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267" w:type="dxa"/>
          </w:tcPr>
          <w:p w14:paraId="1FED6037" w14:textId="71009E63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  <w:tc>
          <w:tcPr>
            <w:tcW w:w="1343" w:type="dxa"/>
            <w:gridSpan w:val="2"/>
          </w:tcPr>
          <w:p w14:paraId="7090E3D0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695" w:type="dxa"/>
          </w:tcPr>
          <w:p w14:paraId="0180877F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0.1589</w:t>
            </w:r>
          </w:p>
        </w:tc>
      </w:tr>
      <w:tr w:rsidR="004C7088" w:rsidRPr="00E11430" w14:paraId="570D73EB" w14:textId="77777777" w:rsidTr="004C7088">
        <w:tc>
          <w:tcPr>
            <w:tcW w:w="2075" w:type="dxa"/>
          </w:tcPr>
          <w:p w14:paraId="741F5C6F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 xml:space="preserve">8 &amp; 9 </w:t>
            </w:r>
          </w:p>
        </w:tc>
        <w:tc>
          <w:tcPr>
            <w:tcW w:w="784" w:type="dxa"/>
          </w:tcPr>
          <w:p w14:paraId="7229F4F9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0.30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EA7EEF7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FA15DB">
              <w:rPr>
                <w:rFonts w:ascii="Arial" w:hAnsi="Arial" w:cs="Arial"/>
                <w:sz w:val="20"/>
                <w:szCs w:val="20"/>
              </w:rPr>
              <w:t>0.32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a,b</w:t>
            </w:r>
            <w:proofErr w:type="gramEnd"/>
          </w:p>
        </w:tc>
        <w:tc>
          <w:tcPr>
            <w:tcW w:w="0" w:type="auto"/>
          </w:tcPr>
          <w:p w14:paraId="1B8752F9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0.33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56" w:type="dxa"/>
          </w:tcPr>
          <w:p w14:paraId="3186DABF" w14:textId="3FFC7ABC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267" w:type="dxa"/>
          </w:tcPr>
          <w:p w14:paraId="1D82A562" w14:textId="3FC92D08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0.0026</w:t>
            </w:r>
          </w:p>
        </w:tc>
        <w:tc>
          <w:tcPr>
            <w:tcW w:w="1343" w:type="dxa"/>
            <w:gridSpan w:val="2"/>
          </w:tcPr>
          <w:p w14:paraId="380F6BD5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695" w:type="dxa"/>
          </w:tcPr>
          <w:p w14:paraId="42A88BF1" w14:textId="3B9D215F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4C7088" w:rsidRPr="00E11430" w14:paraId="33F607B0" w14:textId="77777777" w:rsidTr="004C7088">
        <w:tc>
          <w:tcPr>
            <w:tcW w:w="2075" w:type="dxa"/>
            <w:tcBorders>
              <w:bottom w:val="single" w:sz="4" w:space="0" w:color="auto"/>
            </w:tcBorders>
          </w:tcPr>
          <w:p w14:paraId="3A24D045" w14:textId="1616A44B" w:rsidR="00E847D3" w:rsidRPr="00FA15DB" w:rsidRDefault="004C7088" w:rsidP="00EA6E6C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Weaned period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3156AF00" w14:textId="21CBC6B8" w:rsidR="004C7088" w:rsidRPr="00FA15DB" w:rsidRDefault="007C7FFC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8454DC" w14:textId="570EDA64" w:rsidR="004C7088" w:rsidRPr="00FA15DB" w:rsidRDefault="007C7FFC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12664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B86F2A" w14:textId="36672601" w:rsidR="004C7088" w:rsidRPr="00FA15DB" w:rsidRDefault="00E47AA1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7C7FF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E8D5FAB" w14:textId="65E573C9" w:rsidR="004C7088" w:rsidRPr="00FA15DB" w:rsidRDefault="0012664F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09C12E9" w14:textId="1DB8B6CE" w:rsidR="004C7088" w:rsidRPr="00FA15DB" w:rsidRDefault="00917A5F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2110C">
              <w:rPr>
                <w:rFonts w:ascii="Arial" w:hAnsi="Arial" w:cs="Arial"/>
                <w:sz w:val="20"/>
                <w:szCs w:val="20"/>
              </w:rPr>
              <w:t>4404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14:paraId="2E8E7526" w14:textId="38C82EE6" w:rsidR="004C7088" w:rsidRPr="00FA15DB" w:rsidRDefault="00C2110C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A30FA10" w14:textId="3C26FA17" w:rsidR="004C7088" w:rsidRPr="00FA15DB" w:rsidRDefault="00C2110C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0.5845</w:t>
            </w:r>
          </w:p>
        </w:tc>
      </w:tr>
      <w:tr w:rsidR="004C7088" w:rsidRPr="00E11430" w14:paraId="792CCC60" w14:textId="77777777" w:rsidTr="004C7088"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0091B68B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Starter intake (g)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7114B089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C560E5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231093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783FBA01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3FCFBA11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1F21E1D7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71E1A967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088" w:rsidRPr="00E11430" w14:paraId="7D3D6C4F" w14:textId="77777777" w:rsidTr="004C7088">
        <w:tc>
          <w:tcPr>
            <w:tcW w:w="2075" w:type="dxa"/>
            <w:tcBorders>
              <w:top w:val="single" w:sz="4" w:space="0" w:color="auto"/>
            </w:tcBorders>
          </w:tcPr>
          <w:p w14:paraId="46A977BC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Pre-weaned</w:t>
            </w:r>
          </w:p>
        </w:tc>
        <w:tc>
          <w:tcPr>
            <w:tcW w:w="784" w:type="dxa"/>
          </w:tcPr>
          <w:p w14:paraId="6E6340AF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360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70B56E29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417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7B500D02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328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6" w:type="dxa"/>
          </w:tcPr>
          <w:p w14:paraId="490FF824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11.52</w:t>
            </w:r>
          </w:p>
        </w:tc>
        <w:tc>
          <w:tcPr>
            <w:tcW w:w="1267" w:type="dxa"/>
          </w:tcPr>
          <w:p w14:paraId="04AF6502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1343" w:type="dxa"/>
            <w:gridSpan w:val="2"/>
          </w:tcPr>
          <w:p w14:paraId="57C2AEBB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695" w:type="dxa"/>
          </w:tcPr>
          <w:p w14:paraId="62B60DD4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0.9695</w:t>
            </w:r>
          </w:p>
        </w:tc>
      </w:tr>
      <w:tr w:rsidR="004C7088" w:rsidRPr="00E11430" w14:paraId="3759FD52" w14:textId="77777777" w:rsidTr="004C7088">
        <w:tc>
          <w:tcPr>
            <w:tcW w:w="2075" w:type="dxa"/>
            <w:tcBorders>
              <w:bottom w:val="single" w:sz="4" w:space="0" w:color="auto"/>
            </w:tcBorders>
          </w:tcPr>
          <w:p w14:paraId="3870FAED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Weaned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157230C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3155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E8721A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3398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6E3B1D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3203</w:t>
            </w:r>
            <w:r w:rsidRPr="00FA15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65DEC869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50.17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2EBB4E2B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14:paraId="62B2A248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&lt; 0.0001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A089C1D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DB">
              <w:rPr>
                <w:rFonts w:ascii="Arial" w:hAnsi="Arial" w:cs="Arial"/>
                <w:sz w:val="20"/>
                <w:szCs w:val="20"/>
              </w:rPr>
              <w:t>0.0513</w:t>
            </w:r>
          </w:p>
        </w:tc>
      </w:tr>
      <w:tr w:rsidR="004C7088" w:rsidRPr="00E11430" w14:paraId="7D4E9DAC" w14:textId="77777777" w:rsidTr="004C7088"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12580523" w14:textId="016F489A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80DDA">
              <w:rPr>
                <w:rFonts w:ascii="Arial" w:hAnsi="Arial" w:cs="Arial"/>
                <w:sz w:val="20"/>
                <w:szCs w:val="20"/>
              </w:rPr>
              <w:t>DG (g)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14:paraId="55C9DB17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E6F738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A6EE78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7443D" w14:textId="77777777" w:rsidR="004C7088" w:rsidRPr="00FA15DB" w:rsidRDefault="004C708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30A1BF6A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14:paraId="483904AC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4E75190B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088" w:rsidRPr="00E11430" w14:paraId="2724BB29" w14:textId="77777777" w:rsidTr="004C7088">
        <w:tc>
          <w:tcPr>
            <w:tcW w:w="2075" w:type="dxa"/>
            <w:tcBorders>
              <w:top w:val="single" w:sz="4" w:space="0" w:color="auto"/>
            </w:tcBorders>
          </w:tcPr>
          <w:p w14:paraId="4C03D827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Pre-weaned</w:t>
            </w:r>
          </w:p>
        </w:tc>
        <w:tc>
          <w:tcPr>
            <w:tcW w:w="784" w:type="dxa"/>
          </w:tcPr>
          <w:p w14:paraId="4A8835FF" w14:textId="0E763022" w:rsidR="004C7088" w:rsidRPr="00BB364B" w:rsidRDefault="00E31F49" w:rsidP="004C7088">
            <w:pPr>
              <w:spacing w:line="36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0" w:type="auto"/>
          </w:tcPr>
          <w:p w14:paraId="668C4BB4" w14:textId="09A8020E" w:rsidR="004C7088" w:rsidRPr="00BB364B" w:rsidRDefault="00F64835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0" w:type="auto"/>
          </w:tcPr>
          <w:p w14:paraId="2F4130F4" w14:textId="6A558236" w:rsidR="004C7088" w:rsidRPr="006033BF" w:rsidRDefault="00F64835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1056" w:type="dxa"/>
          </w:tcPr>
          <w:p w14:paraId="72FFBE14" w14:textId="2E7B4028" w:rsidR="004C7088" w:rsidRPr="00FA15DB" w:rsidRDefault="00CC0A18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20611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14:paraId="582C035E" w14:textId="55008B8B" w:rsidR="004C7088" w:rsidRPr="00FA15DB" w:rsidRDefault="007F133C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7A10CA">
              <w:rPr>
                <w:rFonts w:ascii="Arial" w:hAnsi="Arial" w:cs="Arial"/>
                <w:sz w:val="20"/>
                <w:szCs w:val="20"/>
              </w:rPr>
              <w:t>6</w:t>
            </w:r>
            <w:r w:rsidR="003B1650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343" w:type="dxa"/>
            <w:gridSpan w:val="2"/>
          </w:tcPr>
          <w:p w14:paraId="2B8A21F7" w14:textId="3C78FB12" w:rsidR="004C7088" w:rsidRPr="00FA15DB" w:rsidRDefault="00D71FE2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  <w:r w:rsidR="003B165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5" w:type="dxa"/>
          </w:tcPr>
          <w:p w14:paraId="6D45BB06" w14:textId="16161A79" w:rsidR="004C7088" w:rsidRPr="00FA15DB" w:rsidRDefault="00D71FE2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3B1650">
              <w:rPr>
                <w:rFonts w:ascii="Arial" w:hAnsi="Arial" w:cs="Arial"/>
                <w:sz w:val="20"/>
                <w:szCs w:val="20"/>
              </w:rPr>
              <w:t>767</w:t>
            </w:r>
          </w:p>
        </w:tc>
      </w:tr>
      <w:tr w:rsidR="004C7088" w:rsidRPr="00E11430" w14:paraId="425E0CEF" w14:textId="77777777" w:rsidTr="004C7088">
        <w:tc>
          <w:tcPr>
            <w:tcW w:w="2075" w:type="dxa"/>
            <w:tcBorders>
              <w:bottom w:val="single" w:sz="4" w:space="0" w:color="auto"/>
            </w:tcBorders>
          </w:tcPr>
          <w:p w14:paraId="472CCF9D" w14:textId="77777777" w:rsidR="004C7088" w:rsidRPr="00FA15DB" w:rsidRDefault="004C7088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Weaned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1D258AF6" w14:textId="1A74D42A" w:rsidR="004C7088" w:rsidRPr="00FA15DB" w:rsidRDefault="00D97F45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50B970" w14:textId="37E33141" w:rsidR="004C7088" w:rsidRPr="00FA15DB" w:rsidRDefault="00D97F45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E6CEC2" w14:textId="02043697" w:rsidR="004C7088" w:rsidRPr="00FA15DB" w:rsidRDefault="0004662F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7F45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1C96D6D9" w14:textId="69D7393D" w:rsidR="004C7088" w:rsidRPr="00FA15DB" w:rsidRDefault="00D97F45" w:rsidP="004C70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47AA1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61BD0BA9" w14:textId="347472FD" w:rsidR="004C7088" w:rsidRPr="00FA15DB" w:rsidRDefault="009F6B9F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F133C">
              <w:rPr>
                <w:rFonts w:ascii="Arial" w:hAnsi="Arial" w:cs="Arial"/>
                <w:sz w:val="20"/>
                <w:szCs w:val="20"/>
              </w:rPr>
              <w:t>.4728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14:paraId="2C754184" w14:textId="5A8B97B9" w:rsidR="004C7088" w:rsidRPr="00FA15DB" w:rsidRDefault="007F133C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5F26BE" w14:textId="094DEF79" w:rsidR="004C7088" w:rsidRPr="00FA15DB" w:rsidRDefault="007F133C" w:rsidP="004C708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0.7276</w:t>
            </w:r>
          </w:p>
        </w:tc>
      </w:tr>
    </w:tbl>
    <w:p w14:paraId="2B56B739" w14:textId="77777777" w:rsidR="009F6918" w:rsidRDefault="009F6918">
      <w:pPr>
        <w:rPr>
          <w:b/>
          <w:bCs/>
        </w:rPr>
      </w:pPr>
    </w:p>
    <w:p w14:paraId="30DC5664" w14:textId="08F7A31A" w:rsidR="00BE6B38" w:rsidRPr="00624A78" w:rsidRDefault="00BE6B38" w:rsidP="00BE6B38">
      <w:pPr>
        <w:rPr>
          <w:rFonts w:ascii="Arial" w:hAnsi="Arial" w:cs="Arial"/>
          <w:sz w:val="20"/>
          <w:szCs w:val="20"/>
        </w:rPr>
      </w:pPr>
      <w:r w:rsidRPr="00886E01">
        <w:rPr>
          <w:rFonts w:ascii="Arial" w:hAnsi="Arial" w:cs="Arial"/>
          <w:sz w:val="20"/>
          <w:szCs w:val="20"/>
        </w:rPr>
        <w:t xml:space="preserve">Abbreviations: </w:t>
      </w:r>
      <w:r>
        <w:rPr>
          <w:rFonts w:ascii="Arial" w:hAnsi="Arial" w:cs="Arial"/>
          <w:sz w:val="20"/>
          <w:szCs w:val="20"/>
        </w:rPr>
        <w:t xml:space="preserve">FCE, feed conversion efficiency; </w:t>
      </w:r>
      <w:r w:rsidR="00681AF1">
        <w:rPr>
          <w:rFonts w:ascii="Arial" w:hAnsi="Arial" w:cs="Arial"/>
          <w:sz w:val="20"/>
          <w:szCs w:val="20"/>
        </w:rPr>
        <w:t xml:space="preserve">ADG, average daily gain; </w:t>
      </w:r>
      <w:r>
        <w:rPr>
          <w:rFonts w:ascii="Arial" w:hAnsi="Arial" w:cs="Arial"/>
          <w:sz w:val="20"/>
          <w:szCs w:val="20"/>
        </w:rPr>
        <w:t>CTRL, control calves; SYN, calves fed 3g/d Synergen</w:t>
      </w:r>
      <w:r w:rsidRPr="00E43B56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; </w:t>
      </w:r>
      <w:r w:rsidR="00A74445">
        <w:rPr>
          <w:rFonts w:ascii="Arial" w:hAnsi="Arial" w:cs="Arial"/>
          <w:sz w:val="20"/>
          <w:szCs w:val="20"/>
        </w:rPr>
        <w:t>MRF</w:t>
      </w:r>
      <w:r>
        <w:rPr>
          <w:rFonts w:ascii="Arial" w:hAnsi="Arial" w:cs="Arial"/>
          <w:sz w:val="20"/>
          <w:szCs w:val="20"/>
        </w:rPr>
        <w:t>, calves fed 3g/d Synergen</w:t>
      </w:r>
      <w:r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 + 2g/d Actigen</w:t>
      </w:r>
      <w:r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>; SE, standard error.</w:t>
      </w:r>
    </w:p>
    <w:p w14:paraId="1659870E" w14:textId="27C51E34" w:rsidR="00BE6B38" w:rsidRPr="0030444C" w:rsidRDefault="00BE6B38">
      <w:pPr>
        <w:rPr>
          <w:rFonts w:ascii="Arial" w:hAnsi="Arial" w:cs="Arial"/>
          <w:sz w:val="20"/>
          <w:szCs w:val="20"/>
        </w:rPr>
      </w:pPr>
      <w:r w:rsidRPr="0030444C">
        <w:rPr>
          <w:rFonts w:ascii="Arial" w:hAnsi="Arial" w:cs="Arial"/>
          <w:sz w:val="20"/>
          <w:szCs w:val="20"/>
        </w:rPr>
        <w:t>Values not sharing a superscript are significantly different (</w:t>
      </w:r>
      <w:r w:rsidRPr="0030444C">
        <w:rPr>
          <w:rFonts w:ascii="Arial" w:hAnsi="Arial" w:cs="Arial"/>
          <w:i/>
          <w:iCs/>
          <w:sz w:val="20"/>
          <w:szCs w:val="20"/>
        </w:rPr>
        <w:t xml:space="preserve">p </w:t>
      </w:r>
      <w:r w:rsidRPr="0030444C">
        <w:rPr>
          <w:rFonts w:ascii="Arial" w:hAnsi="Arial" w:cs="Arial"/>
          <w:sz w:val="20"/>
          <w:szCs w:val="20"/>
        </w:rPr>
        <w:t>&lt; 0.05)</w:t>
      </w:r>
    </w:p>
    <w:p w14:paraId="13B1FD15" w14:textId="77777777" w:rsidR="00055F8F" w:rsidRDefault="00055F8F">
      <w:pPr>
        <w:rPr>
          <w:b/>
          <w:bCs/>
        </w:rPr>
      </w:pPr>
    </w:p>
    <w:p w14:paraId="10D188A6" w14:textId="1AADAC26" w:rsidR="00CB703E" w:rsidRPr="00CC2CC2" w:rsidRDefault="007B30E3">
      <w:pPr>
        <w:rPr>
          <w:b/>
          <w:bCs/>
        </w:rPr>
      </w:pPr>
      <w:r w:rsidRPr="00C40DCD">
        <w:rPr>
          <w:b/>
          <w:bCs/>
        </w:rPr>
        <w:t>References</w:t>
      </w:r>
    </w:p>
    <w:p w14:paraId="1CB1AFD9" w14:textId="77777777" w:rsidR="00EA7CB6" w:rsidRPr="00EA7CB6" w:rsidRDefault="00CB703E" w:rsidP="00EA7CB6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="00EA7CB6" w:rsidRPr="00EA7CB6">
        <w:t xml:space="preserve">BROADWAY, P. R., CARROLL, J. A. &amp; BURDICK SANCHEZ, N. C. 2015. Live yeast and yeast cell wall supplements enhance immune function and performance in food-producing livestock: a review. </w:t>
      </w:r>
      <w:r w:rsidR="00EA7CB6" w:rsidRPr="00EA7CB6">
        <w:rPr>
          <w:i/>
        </w:rPr>
        <w:t>Microorganisms,</w:t>
      </w:r>
      <w:r w:rsidR="00EA7CB6" w:rsidRPr="00EA7CB6">
        <w:t xml:space="preserve"> 3</w:t>
      </w:r>
      <w:r w:rsidR="00EA7CB6" w:rsidRPr="00EA7CB6">
        <w:rPr>
          <w:b/>
        </w:rPr>
        <w:t>,</w:t>
      </w:r>
      <w:r w:rsidR="00EA7CB6" w:rsidRPr="00EA7CB6">
        <w:t xml:space="preserve"> 417-427.</w:t>
      </w:r>
    </w:p>
    <w:p w14:paraId="06C3A2A4" w14:textId="77777777" w:rsidR="00EA7CB6" w:rsidRPr="00EA7CB6" w:rsidRDefault="00EA7CB6" w:rsidP="00EA7CB6">
      <w:pPr>
        <w:pStyle w:val="EndNoteBibliography"/>
        <w:spacing w:after="0"/>
        <w:ind w:left="720" w:hanging="720"/>
      </w:pPr>
      <w:r w:rsidRPr="00EA7CB6">
        <w:t>ERWIN, E., MARCO, G. J. &amp; EMERY, E. 1961. Volatile fatty acid analyses of blood and rumen fluid by gas chromatography.</w:t>
      </w:r>
    </w:p>
    <w:p w14:paraId="2E63627E" w14:textId="77777777" w:rsidR="00EA7CB6" w:rsidRPr="00EA7CB6" w:rsidRDefault="00EA7CB6" w:rsidP="00EA7CB6">
      <w:pPr>
        <w:pStyle w:val="EndNoteBibliography"/>
        <w:spacing w:after="0"/>
        <w:ind w:left="720" w:hanging="720"/>
      </w:pPr>
      <w:r w:rsidRPr="00AB009A">
        <w:rPr>
          <w:lang w:val="it-IT"/>
        </w:rPr>
        <w:t xml:space="preserve">JAUREGUIBERRY, M., REARTE, R., MARCONI, M. J., GIULIODORI, M. J., MADOZ, L. V., PINEDO, F. A. &amp; DE LA SOTA, R. L. 2023. </w:t>
      </w:r>
      <w:r w:rsidRPr="00EA7CB6">
        <w:t xml:space="preserve">A simplified scoring system for the diagnosis of diarrhea and respiratory diseases in dairy calves. </w:t>
      </w:r>
      <w:r w:rsidRPr="00EA7CB6">
        <w:rPr>
          <w:i/>
        </w:rPr>
        <w:t>The Canadian Veterinary Journal,</w:t>
      </w:r>
      <w:r w:rsidRPr="00EA7CB6">
        <w:t xml:space="preserve"> 64</w:t>
      </w:r>
      <w:r w:rsidRPr="00EA7CB6">
        <w:rPr>
          <w:b/>
        </w:rPr>
        <w:t>,</w:t>
      </w:r>
      <w:r w:rsidRPr="00EA7CB6">
        <w:t xml:space="preserve"> 553-557.</w:t>
      </w:r>
    </w:p>
    <w:p w14:paraId="4F464B39" w14:textId="77777777" w:rsidR="00EA7CB6" w:rsidRPr="00EA7CB6" w:rsidRDefault="00EA7CB6" w:rsidP="00EA7CB6">
      <w:pPr>
        <w:pStyle w:val="EndNoteBibliography"/>
        <w:spacing w:after="0"/>
        <w:ind w:left="720" w:hanging="720"/>
      </w:pPr>
      <w:r w:rsidRPr="00EA7CB6">
        <w:t xml:space="preserve">MEALE, S. J., BEAUCHEMIN, K. A., HRISTOV, A. N., CHAVES, A. &amp; MCALLISTER, T. 2014. Board-invited review: opportunities and challenges in using exogenous enzymes to improve ruminant production. </w:t>
      </w:r>
      <w:r w:rsidRPr="00EA7CB6">
        <w:rPr>
          <w:i/>
        </w:rPr>
        <w:t>Journal of animal science,</w:t>
      </w:r>
      <w:r w:rsidRPr="00EA7CB6">
        <w:t xml:space="preserve"> 92</w:t>
      </w:r>
      <w:r w:rsidRPr="00EA7CB6">
        <w:rPr>
          <w:b/>
        </w:rPr>
        <w:t>,</w:t>
      </w:r>
      <w:r w:rsidRPr="00EA7CB6">
        <w:t xml:space="preserve"> 427-442.</w:t>
      </w:r>
    </w:p>
    <w:p w14:paraId="38183A7B" w14:textId="1BA63B5A" w:rsidR="00EA7CB6" w:rsidRPr="00EA7CB6" w:rsidRDefault="00EA7CB6" w:rsidP="00EA7CB6">
      <w:pPr>
        <w:pStyle w:val="EndNoteBibliography"/>
        <w:ind w:left="720" w:hanging="720"/>
      </w:pPr>
      <w:r w:rsidRPr="00EA7CB6">
        <w:t xml:space="preserve">RCORETEAM 2024. R: A Language and Environment for Statistical Computing_. R Foundation for Statistical Computing, Vienna, Austria. </w:t>
      </w:r>
      <w:hyperlink r:id="rId8" w:history="1">
        <w:r w:rsidRPr="00EA7CB6">
          <w:rPr>
            <w:rStyle w:val="Hyperlink"/>
          </w:rPr>
          <w:t>https://www.R-project.org/</w:t>
        </w:r>
      </w:hyperlink>
      <w:r w:rsidRPr="00EA7CB6">
        <w:t xml:space="preserve"> </w:t>
      </w:r>
    </w:p>
    <w:p w14:paraId="4AF7BB87" w14:textId="77777777" w:rsidR="00EA7CB6" w:rsidRPr="00EA7CB6" w:rsidRDefault="00EA7CB6" w:rsidP="00EA7CB6">
      <w:pPr>
        <w:pStyle w:val="EndNoteBibliography"/>
      </w:pPr>
    </w:p>
    <w:p w14:paraId="11FFF535" w14:textId="14884625" w:rsidR="004B242E" w:rsidRPr="007B30E3" w:rsidRDefault="00CB703E">
      <w:pPr>
        <w:rPr>
          <w:b/>
          <w:bCs/>
          <w:lang w:val="en-US"/>
        </w:rPr>
      </w:pPr>
      <w:r>
        <w:rPr>
          <w:b/>
          <w:bCs/>
          <w:lang w:val="en-US"/>
        </w:rPr>
        <w:fldChar w:fldCharType="end"/>
      </w:r>
    </w:p>
    <w:sectPr w:rsidR="004B242E" w:rsidRPr="007B30E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xttxpw8v9e95ev9z25wf0d5rttpstdts5z&quot;&gt;Lit review 2.0 endnote&lt;record-ids&gt;&lt;item&gt;130&lt;/item&gt;&lt;item&gt;210&lt;/item&gt;&lt;item&gt;215&lt;/item&gt;&lt;item&gt;309&lt;/item&gt;&lt;item&gt;315&lt;/item&gt;&lt;/record-ids&gt;&lt;/item&gt;&lt;/Libraries&gt;"/>
  </w:docVars>
  <w:rsids>
    <w:rsidRoot w:val="007B30E3"/>
    <w:rsid w:val="0000005B"/>
    <w:rsid w:val="00006710"/>
    <w:rsid w:val="00013786"/>
    <w:rsid w:val="00013824"/>
    <w:rsid w:val="00031256"/>
    <w:rsid w:val="00032530"/>
    <w:rsid w:val="00043EC6"/>
    <w:rsid w:val="0004662F"/>
    <w:rsid w:val="00055F8F"/>
    <w:rsid w:val="00061428"/>
    <w:rsid w:val="00064FA5"/>
    <w:rsid w:val="0006665F"/>
    <w:rsid w:val="0006740E"/>
    <w:rsid w:val="00067E2D"/>
    <w:rsid w:val="00070506"/>
    <w:rsid w:val="00070CCA"/>
    <w:rsid w:val="00071064"/>
    <w:rsid w:val="00074469"/>
    <w:rsid w:val="000766C5"/>
    <w:rsid w:val="0008003E"/>
    <w:rsid w:val="000838FD"/>
    <w:rsid w:val="000976EF"/>
    <w:rsid w:val="000A05BD"/>
    <w:rsid w:val="000B5320"/>
    <w:rsid w:val="000B56E1"/>
    <w:rsid w:val="000B78DC"/>
    <w:rsid w:val="000B7F20"/>
    <w:rsid w:val="000C77D2"/>
    <w:rsid w:val="000E0B26"/>
    <w:rsid w:val="000E164F"/>
    <w:rsid w:val="000E3309"/>
    <w:rsid w:val="000F19B1"/>
    <w:rsid w:val="000F3BFC"/>
    <w:rsid w:val="000F6D83"/>
    <w:rsid w:val="00111B28"/>
    <w:rsid w:val="00120C13"/>
    <w:rsid w:val="0012664F"/>
    <w:rsid w:val="00130E89"/>
    <w:rsid w:val="00135347"/>
    <w:rsid w:val="00144D3B"/>
    <w:rsid w:val="00145054"/>
    <w:rsid w:val="00146DF0"/>
    <w:rsid w:val="0015175F"/>
    <w:rsid w:val="00164FC9"/>
    <w:rsid w:val="00165ED6"/>
    <w:rsid w:val="0017762E"/>
    <w:rsid w:val="00193ACD"/>
    <w:rsid w:val="001A0500"/>
    <w:rsid w:val="001B0691"/>
    <w:rsid w:val="001B3159"/>
    <w:rsid w:val="001B71E2"/>
    <w:rsid w:val="001C650C"/>
    <w:rsid w:val="001D3A82"/>
    <w:rsid w:val="001D3A8B"/>
    <w:rsid w:val="001E402E"/>
    <w:rsid w:val="001F7768"/>
    <w:rsid w:val="001F7D05"/>
    <w:rsid w:val="00200BF7"/>
    <w:rsid w:val="00203B59"/>
    <w:rsid w:val="00206115"/>
    <w:rsid w:val="002147A0"/>
    <w:rsid w:val="00221B8C"/>
    <w:rsid w:val="00222AE7"/>
    <w:rsid w:val="002273BE"/>
    <w:rsid w:val="00231DC8"/>
    <w:rsid w:val="002457DC"/>
    <w:rsid w:val="002475BD"/>
    <w:rsid w:val="00247710"/>
    <w:rsid w:val="002500FA"/>
    <w:rsid w:val="002573E4"/>
    <w:rsid w:val="002612E6"/>
    <w:rsid w:val="00263214"/>
    <w:rsid w:val="00266490"/>
    <w:rsid w:val="00270D5D"/>
    <w:rsid w:val="0027185E"/>
    <w:rsid w:val="00271BBB"/>
    <w:rsid w:val="00272C34"/>
    <w:rsid w:val="00277E25"/>
    <w:rsid w:val="002854FE"/>
    <w:rsid w:val="00286B88"/>
    <w:rsid w:val="00293DCD"/>
    <w:rsid w:val="002A0304"/>
    <w:rsid w:val="002A115B"/>
    <w:rsid w:val="002A7F95"/>
    <w:rsid w:val="002B1A03"/>
    <w:rsid w:val="002C0B2D"/>
    <w:rsid w:val="002D0044"/>
    <w:rsid w:val="002D00FA"/>
    <w:rsid w:val="002E1A09"/>
    <w:rsid w:val="002E41F3"/>
    <w:rsid w:val="002E4C05"/>
    <w:rsid w:val="002E55DF"/>
    <w:rsid w:val="002F5E0C"/>
    <w:rsid w:val="002F62AF"/>
    <w:rsid w:val="0030444C"/>
    <w:rsid w:val="0031019B"/>
    <w:rsid w:val="00317D4F"/>
    <w:rsid w:val="00320F3E"/>
    <w:rsid w:val="00322AB9"/>
    <w:rsid w:val="00334C34"/>
    <w:rsid w:val="00336C74"/>
    <w:rsid w:val="00343FD9"/>
    <w:rsid w:val="0034714A"/>
    <w:rsid w:val="0035221F"/>
    <w:rsid w:val="003620CE"/>
    <w:rsid w:val="0037019A"/>
    <w:rsid w:val="0038327D"/>
    <w:rsid w:val="00383DCD"/>
    <w:rsid w:val="003856E5"/>
    <w:rsid w:val="00397193"/>
    <w:rsid w:val="003A2A77"/>
    <w:rsid w:val="003A3589"/>
    <w:rsid w:val="003A494A"/>
    <w:rsid w:val="003A7429"/>
    <w:rsid w:val="003B0283"/>
    <w:rsid w:val="003B1650"/>
    <w:rsid w:val="003B4B6B"/>
    <w:rsid w:val="003B6A43"/>
    <w:rsid w:val="003B7687"/>
    <w:rsid w:val="003C19DC"/>
    <w:rsid w:val="003C52A5"/>
    <w:rsid w:val="003C7583"/>
    <w:rsid w:val="003D2832"/>
    <w:rsid w:val="003D4131"/>
    <w:rsid w:val="003D54E4"/>
    <w:rsid w:val="003E2716"/>
    <w:rsid w:val="003E27F9"/>
    <w:rsid w:val="003E6456"/>
    <w:rsid w:val="003E79A0"/>
    <w:rsid w:val="003F4F98"/>
    <w:rsid w:val="003F74EF"/>
    <w:rsid w:val="00402943"/>
    <w:rsid w:val="0040341C"/>
    <w:rsid w:val="00413FE0"/>
    <w:rsid w:val="004227AB"/>
    <w:rsid w:val="004231EA"/>
    <w:rsid w:val="0042650E"/>
    <w:rsid w:val="00441CAC"/>
    <w:rsid w:val="004424A5"/>
    <w:rsid w:val="0044781D"/>
    <w:rsid w:val="00450EF5"/>
    <w:rsid w:val="0045685E"/>
    <w:rsid w:val="004575EF"/>
    <w:rsid w:val="00457877"/>
    <w:rsid w:val="004606EC"/>
    <w:rsid w:val="00460FAA"/>
    <w:rsid w:val="0046606D"/>
    <w:rsid w:val="00467AF1"/>
    <w:rsid w:val="00477693"/>
    <w:rsid w:val="0048681A"/>
    <w:rsid w:val="00491A9B"/>
    <w:rsid w:val="0049343F"/>
    <w:rsid w:val="00496996"/>
    <w:rsid w:val="004A208C"/>
    <w:rsid w:val="004A3F11"/>
    <w:rsid w:val="004B0857"/>
    <w:rsid w:val="004B242E"/>
    <w:rsid w:val="004B2A35"/>
    <w:rsid w:val="004B3C8F"/>
    <w:rsid w:val="004B415C"/>
    <w:rsid w:val="004B5A73"/>
    <w:rsid w:val="004B5E40"/>
    <w:rsid w:val="004C023A"/>
    <w:rsid w:val="004C7088"/>
    <w:rsid w:val="004D0FC3"/>
    <w:rsid w:val="004D10CF"/>
    <w:rsid w:val="004F180C"/>
    <w:rsid w:val="004F6B35"/>
    <w:rsid w:val="004F74FE"/>
    <w:rsid w:val="00500CED"/>
    <w:rsid w:val="00500DCA"/>
    <w:rsid w:val="00501BE4"/>
    <w:rsid w:val="00502191"/>
    <w:rsid w:val="005024D1"/>
    <w:rsid w:val="0051374C"/>
    <w:rsid w:val="005149D3"/>
    <w:rsid w:val="005177EC"/>
    <w:rsid w:val="00517A81"/>
    <w:rsid w:val="00526C95"/>
    <w:rsid w:val="00531215"/>
    <w:rsid w:val="00561777"/>
    <w:rsid w:val="00562ADB"/>
    <w:rsid w:val="00572D6D"/>
    <w:rsid w:val="00575CA7"/>
    <w:rsid w:val="005764BF"/>
    <w:rsid w:val="0058475C"/>
    <w:rsid w:val="0059006C"/>
    <w:rsid w:val="0059057C"/>
    <w:rsid w:val="0059359D"/>
    <w:rsid w:val="00595CD7"/>
    <w:rsid w:val="0059678D"/>
    <w:rsid w:val="005A0EE2"/>
    <w:rsid w:val="005B02B5"/>
    <w:rsid w:val="005B1E01"/>
    <w:rsid w:val="005B32C4"/>
    <w:rsid w:val="005B4093"/>
    <w:rsid w:val="005D2455"/>
    <w:rsid w:val="005D25B5"/>
    <w:rsid w:val="005E75A8"/>
    <w:rsid w:val="006007E0"/>
    <w:rsid w:val="0060139E"/>
    <w:rsid w:val="006016AD"/>
    <w:rsid w:val="006033BF"/>
    <w:rsid w:val="00605687"/>
    <w:rsid w:val="00616079"/>
    <w:rsid w:val="00616BED"/>
    <w:rsid w:val="00623E94"/>
    <w:rsid w:val="00624A78"/>
    <w:rsid w:val="006252BE"/>
    <w:rsid w:val="00625B14"/>
    <w:rsid w:val="0062680A"/>
    <w:rsid w:val="006276B4"/>
    <w:rsid w:val="006552AD"/>
    <w:rsid w:val="006608C5"/>
    <w:rsid w:val="00662E39"/>
    <w:rsid w:val="00664C24"/>
    <w:rsid w:val="00670E7A"/>
    <w:rsid w:val="00677495"/>
    <w:rsid w:val="00680C8C"/>
    <w:rsid w:val="00681AF1"/>
    <w:rsid w:val="00683C50"/>
    <w:rsid w:val="006870AE"/>
    <w:rsid w:val="006913C7"/>
    <w:rsid w:val="00697B26"/>
    <w:rsid w:val="006A0DBF"/>
    <w:rsid w:val="006A1504"/>
    <w:rsid w:val="006A222F"/>
    <w:rsid w:val="006A34D8"/>
    <w:rsid w:val="006A4B7E"/>
    <w:rsid w:val="006A7090"/>
    <w:rsid w:val="006C5EA2"/>
    <w:rsid w:val="006C6825"/>
    <w:rsid w:val="006D3AE5"/>
    <w:rsid w:val="006D604A"/>
    <w:rsid w:val="006E6647"/>
    <w:rsid w:val="006E6C99"/>
    <w:rsid w:val="006F1847"/>
    <w:rsid w:val="00700C4C"/>
    <w:rsid w:val="007037EB"/>
    <w:rsid w:val="007044F0"/>
    <w:rsid w:val="00707520"/>
    <w:rsid w:val="007123C5"/>
    <w:rsid w:val="00713377"/>
    <w:rsid w:val="00721619"/>
    <w:rsid w:val="00725BBD"/>
    <w:rsid w:val="00726025"/>
    <w:rsid w:val="0072616F"/>
    <w:rsid w:val="007312B4"/>
    <w:rsid w:val="00736EF3"/>
    <w:rsid w:val="007411B4"/>
    <w:rsid w:val="00765908"/>
    <w:rsid w:val="00766BE6"/>
    <w:rsid w:val="007706A5"/>
    <w:rsid w:val="00775C8A"/>
    <w:rsid w:val="00775E9A"/>
    <w:rsid w:val="00780DDA"/>
    <w:rsid w:val="007931E5"/>
    <w:rsid w:val="00793B3B"/>
    <w:rsid w:val="0079609D"/>
    <w:rsid w:val="007A10CA"/>
    <w:rsid w:val="007B00E8"/>
    <w:rsid w:val="007B30E3"/>
    <w:rsid w:val="007C0C9D"/>
    <w:rsid w:val="007C0CDB"/>
    <w:rsid w:val="007C62C7"/>
    <w:rsid w:val="007C7FFC"/>
    <w:rsid w:val="007D11C9"/>
    <w:rsid w:val="007D2493"/>
    <w:rsid w:val="007D684A"/>
    <w:rsid w:val="007E005C"/>
    <w:rsid w:val="007F133C"/>
    <w:rsid w:val="007F2C7B"/>
    <w:rsid w:val="007F4BC8"/>
    <w:rsid w:val="00803389"/>
    <w:rsid w:val="00812710"/>
    <w:rsid w:val="008305AD"/>
    <w:rsid w:val="008327E2"/>
    <w:rsid w:val="00837A30"/>
    <w:rsid w:val="008510B5"/>
    <w:rsid w:val="00855CCA"/>
    <w:rsid w:val="00856DED"/>
    <w:rsid w:val="00865D6E"/>
    <w:rsid w:val="00866AEB"/>
    <w:rsid w:val="008672AD"/>
    <w:rsid w:val="00873C6D"/>
    <w:rsid w:val="0088038B"/>
    <w:rsid w:val="0088259B"/>
    <w:rsid w:val="00886E01"/>
    <w:rsid w:val="0088703C"/>
    <w:rsid w:val="00892514"/>
    <w:rsid w:val="008A5329"/>
    <w:rsid w:val="008A55A8"/>
    <w:rsid w:val="008A6419"/>
    <w:rsid w:val="008B03F0"/>
    <w:rsid w:val="008B3CAF"/>
    <w:rsid w:val="008B4B09"/>
    <w:rsid w:val="008B7CB7"/>
    <w:rsid w:val="008C0A07"/>
    <w:rsid w:val="008D41B9"/>
    <w:rsid w:val="008D56A8"/>
    <w:rsid w:val="008D6AA2"/>
    <w:rsid w:val="008E6159"/>
    <w:rsid w:val="008F0D56"/>
    <w:rsid w:val="008F75EA"/>
    <w:rsid w:val="00900AA7"/>
    <w:rsid w:val="0090448F"/>
    <w:rsid w:val="00904FB5"/>
    <w:rsid w:val="009054A9"/>
    <w:rsid w:val="009064CD"/>
    <w:rsid w:val="00907BFC"/>
    <w:rsid w:val="009127B2"/>
    <w:rsid w:val="00917A5F"/>
    <w:rsid w:val="009241D5"/>
    <w:rsid w:val="00924720"/>
    <w:rsid w:val="00933E8C"/>
    <w:rsid w:val="00941620"/>
    <w:rsid w:val="00942B39"/>
    <w:rsid w:val="009453F3"/>
    <w:rsid w:val="00963888"/>
    <w:rsid w:val="009678EB"/>
    <w:rsid w:val="00981564"/>
    <w:rsid w:val="00982366"/>
    <w:rsid w:val="009846E2"/>
    <w:rsid w:val="00984743"/>
    <w:rsid w:val="00990BD8"/>
    <w:rsid w:val="00991FFA"/>
    <w:rsid w:val="0099448E"/>
    <w:rsid w:val="009A7012"/>
    <w:rsid w:val="009B1BCB"/>
    <w:rsid w:val="009B4BA7"/>
    <w:rsid w:val="009B504F"/>
    <w:rsid w:val="009C2035"/>
    <w:rsid w:val="009D11CC"/>
    <w:rsid w:val="009D375A"/>
    <w:rsid w:val="009E14F1"/>
    <w:rsid w:val="009F03EF"/>
    <w:rsid w:val="009F5275"/>
    <w:rsid w:val="009F6918"/>
    <w:rsid w:val="009F6B9F"/>
    <w:rsid w:val="009F7CE2"/>
    <w:rsid w:val="00A0234A"/>
    <w:rsid w:val="00A024DB"/>
    <w:rsid w:val="00A22FCD"/>
    <w:rsid w:val="00A35DC6"/>
    <w:rsid w:val="00A37AA1"/>
    <w:rsid w:val="00A4243A"/>
    <w:rsid w:val="00A43477"/>
    <w:rsid w:val="00A507BB"/>
    <w:rsid w:val="00A51621"/>
    <w:rsid w:val="00A52AC3"/>
    <w:rsid w:val="00A57D6D"/>
    <w:rsid w:val="00A600F1"/>
    <w:rsid w:val="00A614A0"/>
    <w:rsid w:val="00A668C6"/>
    <w:rsid w:val="00A73DEE"/>
    <w:rsid w:val="00A74445"/>
    <w:rsid w:val="00A74971"/>
    <w:rsid w:val="00A7577C"/>
    <w:rsid w:val="00A75D55"/>
    <w:rsid w:val="00A916EA"/>
    <w:rsid w:val="00A91E68"/>
    <w:rsid w:val="00AA5C5D"/>
    <w:rsid w:val="00AA7B81"/>
    <w:rsid w:val="00AB009A"/>
    <w:rsid w:val="00AB6B0D"/>
    <w:rsid w:val="00AB6E06"/>
    <w:rsid w:val="00AD4F29"/>
    <w:rsid w:val="00AD69D0"/>
    <w:rsid w:val="00AE3D07"/>
    <w:rsid w:val="00AF351B"/>
    <w:rsid w:val="00AF48DA"/>
    <w:rsid w:val="00AF7BEA"/>
    <w:rsid w:val="00B037D8"/>
    <w:rsid w:val="00B07317"/>
    <w:rsid w:val="00B11306"/>
    <w:rsid w:val="00B20EE4"/>
    <w:rsid w:val="00B21B79"/>
    <w:rsid w:val="00B3015F"/>
    <w:rsid w:val="00B42CE6"/>
    <w:rsid w:val="00B451A7"/>
    <w:rsid w:val="00B5037C"/>
    <w:rsid w:val="00B52E21"/>
    <w:rsid w:val="00B52E4E"/>
    <w:rsid w:val="00B5585E"/>
    <w:rsid w:val="00B56A48"/>
    <w:rsid w:val="00B67947"/>
    <w:rsid w:val="00B70F4E"/>
    <w:rsid w:val="00B71A82"/>
    <w:rsid w:val="00B7680D"/>
    <w:rsid w:val="00B77695"/>
    <w:rsid w:val="00B77B86"/>
    <w:rsid w:val="00B80B3C"/>
    <w:rsid w:val="00B84848"/>
    <w:rsid w:val="00B85BB9"/>
    <w:rsid w:val="00B877C1"/>
    <w:rsid w:val="00B9398F"/>
    <w:rsid w:val="00B972ED"/>
    <w:rsid w:val="00BB0F43"/>
    <w:rsid w:val="00BB32BA"/>
    <w:rsid w:val="00BB364B"/>
    <w:rsid w:val="00BB370F"/>
    <w:rsid w:val="00BB52DE"/>
    <w:rsid w:val="00BD5198"/>
    <w:rsid w:val="00BE2E6F"/>
    <w:rsid w:val="00BE4B8C"/>
    <w:rsid w:val="00BE6B38"/>
    <w:rsid w:val="00BE7FCC"/>
    <w:rsid w:val="00C043B7"/>
    <w:rsid w:val="00C04909"/>
    <w:rsid w:val="00C13D47"/>
    <w:rsid w:val="00C14D17"/>
    <w:rsid w:val="00C15170"/>
    <w:rsid w:val="00C15BFF"/>
    <w:rsid w:val="00C2110C"/>
    <w:rsid w:val="00C22B8A"/>
    <w:rsid w:val="00C22E53"/>
    <w:rsid w:val="00C32357"/>
    <w:rsid w:val="00C40DCD"/>
    <w:rsid w:val="00C53AE2"/>
    <w:rsid w:val="00C54936"/>
    <w:rsid w:val="00C55FE1"/>
    <w:rsid w:val="00C56AA5"/>
    <w:rsid w:val="00C6107C"/>
    <w:rsid w:val="00C62249"/>
    <w:rsid w:val="00C66A1A"/>
    <w:rsid w:val="00C73DCA"/>
    <w:rsid w:val="00C76B6C"/>
    <w:rsid w:val="00C849AC"/>
    <w:rsid w:val="00C93E5D"/>
    <w:rsid w:val="00C94B4A"/>
    <w:rsid w:val="00C95030"/>
    <w:rsid w:val="00C959CA"/>
    <w:rsid w:val="00C95D28"/>
    <w:rsid w:val="00C97600"/>
    <w:rsid w:val="00CA51DA"/>
    <w:rsid w:val="00CB52E6"/>
    <w:rsid w:val="00CB6ACA"/>
    <w:rsid w:val="00CB703E"/>
    <w:rsid w:val="00CC0A18"/>
    <w:rsid w:val="00CC2CC2"/>
    <w:rsid w:val="00CC59F2"/>
    <w:rsid w:val="00CC5B84"/>
    <w:rsid w:val="00CE2FD3"/>
    <w:rsid w:val="00CE561C"/>
    <w:rsid w:val="00CE61BC"/>
    <w:rsid w:val="00CF0D4A"/>
    <w:rsid w:val="00CF219F"/>
    <w:rsid w:val="00CF2669"/>
    <w:rsid w:val="00D11696"/>
    <w:rsid w:val="00D1190E"/>
    <w:rsid w:val="00D14974"/>
    <w:rsid w:val="00D15662"/>
    <w:rsid w:val="00D22815"/>
    <w:rsid w:val="00D27FBE"/>
    <w:rsid w:val="00D319AC"/>
    <w:rsid w:val="00D3228B"/>
    <w:rsid w:val="00D33F1A"/>
    <w:rsid w:val="00D35E9F"/>
    <w:rsid w:val="00D418B6"/>
    <w:rsid w:val="00D4723A"/>
    <w:rsid w:val="00D52231"/>
    <w:rsid w:val="00D52596"/>
    <w:rsid w:val="00D5418D"/>
    <w:rsid w:val="00D5461A"/>
    <w:rsid w:val="00D619FC"/>
    <w:rsid w:val="00D65597"/>
    <w:rsid w:val="00D65B89"/>
    <w:rsid w:val="00D67535"/>
    <w:rsid w:val="00D71FE2"/>
    <w:rsid w:val="00D81A5D"/>
    <w:rsid w:val="00D8236A"/>
    <w:rsid w:val="00D83997"/>
    <w:rsid w:val="00D847A8"/>
    <w:rsid w:val="00D9229F"/>
    <w:rsid w:val="00D94825"/>
    <w:rsid w:val="00D9586C"/>
    <w:rsid w:val="00D977B0"/>
    <w:rsid w:val="00D97F45"/>
    <w:rsid w:val="00DA2352"/>
    <w:rsid w:val="00DA38A1"/>
    <w:rsid w:val="00DA594D"/>
    <w:rsid w:val="00DB51E5"/>
    <w:rsid w:val="00DB603A"/>
    <w:rsid w:val="00DD21B5"/>
    <w:rsid w:val="00DE0329"/>
    <w:rsid w:val="00DE3D08"/>
    <w:rsid w:val="00DE6D81"/>
    <w:rsid w:val="00DF7D2E"/>
    <w:rsid w:val="00E007C7"/>
    <w:rsid w:val="00E01FFC"/>
    <w:rsid w:val="00E15D62"/>
    <w:rsid w:val="00E27EE6"/>
    <w:rsid w:val="00E313D9"/>
    <w:rsid w:val="00E31F49"/>
    <w:rsid w:val="00E340EC"/>
    <w:rsid w:val="00E41198"/>
    <w:rsid w:val="00E43B56"/>
    <w:rsid w:val="00E458B4"/>
    <w:rsid w:val="00E47AA1"/>
    <w:rsid w:val="00E5141A"/>
    <w:rsid w:val="00E61392"/>
    <w:rsid w:val="00E655AA"/>
    <w:rsid w:val="00E65DFA"/>
    <w:rsid w:val="00E74992"/>
    <w:rsid w:val="00E847D3"/>
    <w:rsid w:val="00E85544"/>
    <w:rsid w:val="00E966CF"/>
    <w:rsid w:val="00E97F05"/>
    <w:rsid w:val="00EA2A4A"/>
    <w:rsid w:val="00EA308A"/>
    <w:rsid w:val="00EA6E6C"/>
    <w:rsid w:val="00EA7CB6"/>
    <w:rsid w:val="00EB2272"/>
    <w:rsid w:val="00EB2EF2"/>
    <w:rsid w:val="00EB483A"/>
    <w:rsid w:val="00EC0548"/>
    <w:rsid w:val="00EC3BAB"/>
    <w:rsid w:val="00EC5990"/>
    <w:rsid w:val="00EC6291"/>
    <w:rsid w:val="00EE45EC"/>
    <w:rsid w:val="00EE71AF"/>
    <w:rsid w:val="00EF0A2E"/>
    <w:rsid w:val="00EF15EC"/>
    <w:rsid w:val="00EF2AFC"/>
    <w:rsid w:val="00EF56FC"/>
    <w:rsid w:val="00F00174"/>
    <w:rsid w:val="00F06044"/>
    <w:rsid w:val="00F076F4"/>
    <w:rsid w:val="00F15622"/>
    <w:rsid w:val="00F17668"/>
    <w:rsid w:val="00F2455F"/>
    <w:rsid w:val="00F317D8"/>
    <w:rsid w:val="00F318A9"/>
    <w:rsid w:val="00F40780"/>
    <w:rsid w:val="00F46EEC"/>
    <w:rsid w:val="00F470D7"/>
    <w:rsid w:val="00F5039B"/>
    <w:rsid w:val="00F55463"/>
    <w:rsid w:val="00F55D7B"/>
    <w:rsid w:val="00F55E23"/>
    <w:rsid w:val="00F61E79"/>
    <w:rsid w:val="00F64835"/>
    <w:rsid w:val="00F73391"/>
    <w:rsid w:val="00F7796F"/>
    <w:rsid w:val="00F834DA"/>
    <w:rsid w:val="00F9637D"/>
    <w:rsid w:val="00F963D0"/>
    <w:rsid w:val="00FA15DB"/>
    <w:rsid w:val="00FA419B"/>
    <w:rsid w:val="00FA64CA"/>
    <w:rsid w:val="00FB0261"/>
    <w:rsid w:val="00FB698C"/>
    <w:rsid w:val="00FC3432"/>
    <w:rsid w:val="00FC4147"/>
    <w:rsid w:val="00FD1281"/>
    <w:rsid w:val="00FD72C2"/>
    <w:rsid w:val="00FE0EBF"/>
    <w:rsid w:val="00FE1382"/>
    <w:rsid w:val="00FE3538"/>
    <w:rsid w:val="00FF0B70"/>
    <w:rsid w:val="00FF0E33"/>
    <w:rsid w:val="00FF3D15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FF3D15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F3D15"/>
    <w:rPr>
      <w:rFonts w:ascii="Aptos" w:hAnsi="Aptos"/>
      <w:noProof/>
      <w:lang w:val="en-US"/>
    </w:rPr>
  </w:style>
  <w:style w:type="table" w:styleId="TableGrid">
    <w:name w:val="Table Grid"/>
    <w:basedOn w:val="TableNormal"/>
    <w:uiPriority w:val="39"/>
    <w:rsid w:val="004B242E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B703E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703E"/>
    <w:rPr>
      <w:rFonts w:ascii="Aptos" w:hAnsi="Aptos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E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C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C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-project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E998D-96EF-4A0A-B53A-07C2AB504375}">
  <ds:schemaRefs>
    <ds:schemaRef ds:uri="563d7928-de39-40eb-aaef-3504eb7eef2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a6522d93-ccde-437d-a793-b289ee708a2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stefan yerby</cp:lastModifiedBy>
  <cp:revision>2</cp:revision>
  <dcterms:created xsi:type="dcterms:W3CDTF">2024-11-15T12:59:00Z</dcterms:created>
  <dcterms:modified xsi:type="dcterms:W3CDTF">2024-11-15T12:59:00Z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