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95545" w14:textId="77777777" w:rsidR="001B150D" w:rsidRPr="00B32AC0" w:rsidRDefault="007B30E3" w:rsidP="001B150D">
      <w:pPr>
        <w:rPr>
          <w:b/>
          <w:bCs/>
        </w:rPr>
      </w:pPr>
      <w:r>
        <w:rPr>
          <w:b/>
          <w:bCs/>
          <w:lang w:val="en-US"/>
        </w:rPr>
        <w:t>Application</w:t>
      </w:r>
      <w:r w:rsidR="001B150D">
        <w:rPr>
          <w:b/>
          <w:bCs/>
          <w:lang w:val="en-US"/>
        </w:rPr>
        <w:t xml:space="preserve"> </w:t>
      </w:r>
      <w:r w:rsidR="001B150D">
        <w:t>C</w:t>
      </w:r>
      <w:r w:rsidR="001B150D" w:rsidRPr="00F67DCA">
        <w:t>omputeri</w:t>
      </w:r>
      <w:r w:rsidR="001B150D">
        <w:t>s</w:t>
      </w:r>
      <w:r w:rsidR="001B150D" w:rsidRPr="00F67DCA">
        <w:t>ed tomography</w:t>
      </w:r>
      <w:r w:rsidR="001B150D" w:rsidRPr="00F67DCA">
        <w:rPr>
          <w:b/>
          <w:bCs/>
        </w:rPr>
        <w:t xml:space="preserve"> </w:t>
      </w:r>
      <w:r w:rsidR="001B150D">
        <w:rPr>
          <w:b/>
          <w:bCs/>
        </w:rPr>
        <w:t>(</w:t>
      </w:r>
      <w:r w:rsidR="001B150D">
        <w:t>CT) scanning of live animals can be used to compare the response of livestock to different nutritional treatments, and can be an alternative to comparative slaughter techniques for estimating carcase weight and tissue proportions in the carcase.</w:t>
      </w:r>
    </w:p>
    <w:p w14:paraId="5E9F33D1" w14:textId="727BB2D9" w:rsidR="007B30E3" w:rsidRDefault="007B30E3">
      <w:pPr>
        <w:rPr>
          <w:b/>
          <w:bCs/>
          <w:lang w:val="en-US"/>
        </w:rPr>
      </w:pPr>
      <w:r>
        <w:rPr>
          <w:b/>
          <w:bCs/>
          <w:lang w:val="en-US"/>
        </w:rPr>
        <w:t>Introduction</w:t>
      </w:r>
      <w:r w:rsidR="001B150D">
        <w:rPr>
          <w:b/>
          <w:bCs/>
          <w:lang w:val="en-US"/>
        </w:rPr>
        <w:t xml:space="preserve"> </w:t>
      </w:r>
      <w:r w:rsidR="001B150D">
        <w:t>Researchers often rely on growth rates to compare the response of livestock to different nutritional treatments, however differences in liveweight gain may not result in marked differences in carcase yield if the dietary effect is mainly on visceral mass (Keogh et al. 2023). CT scanning can be an important research tool for livestock production experiments, providing estimations of carcase fat, muscle, visceral fat, organ size, estimated maturity and allows repeat measurements on the same animal at different time-points, making CT scans a superior methodology to comparative slaughter (Keogh et al. 2024). The derived information can better inform predictive models for animal growth and improve models through more detailed energy transactions than measures of liveweight gain or comparative slaughter data (Oddy et al. 2019, Oddy et al. 2024). Some abattoirs in Australia now provide individual carcase feedback on sheep, including estimates of carcase muscle, fat and bone derived from DEXA, providing similar information to that derived from CT scanning. An advantage of post-slaughter DEXA scans compared with CT-scanning of live animals is that carcases are measured directly and therefore the mass of the animal’s visceral tissues, skin, head and feet do not need to be estimated, resulting in lower risk of estimation errors compounding (Keogh et al. 2023). This paper reports a comparison between carcase weight and composition derived from CT scanning of live lambs and carcase feedback from a commercial abattoir.</w:t>
      </w:r>
    </w:p>
    <w:p w14:paraId="1AF1A833" w14:textId="77777777" w:rsidR="001B150D" w:rsidRDefault="007B30E3" w:rsidP="001B150D">
      <w:r>
        <w:rPr>
          <w:b/>
          <w:bCs/>
          <w:lang w:val="en-US"/>
        </w:rPr>
        <w:t>Materials and Methods</w:t>
      </w:r>
      <w:r w:rsidR="001B150D">
        <w:rPr>
          <w:b/>
          <w:bCs/>
          <w:lang w:val="en-US"/>
        </w:rPr>
        <w:t xml:space="preserve"> </w:t>
      </w:r>
      <w:r w:rsidR="001B150D">
        <w:t>Composite breed lambs (n=48) were drafted to one of three treatments for a 59 day feeding period: Treatment 1. C</w:t>
      </w:r>
      <w:r w:rsidR="001B150D" w:rsidRPr="007141EA">
        <w:t xml:space="preserve">onfined to individual pens and offered ad libitum feeding of either a barley grain-based pellet with a 30% inclusion of lucerne chaff; </w:t>
      </w:r>
      <w:r w:rsidR="001B150D">
        <w:t xml:space="preserve">Treatment </w:t>
      </w:r>
      <w:r w:rsidR="001B150D" w:rsidRPr="007141EA">
        <w:t xml:space="preserve">2. Confined and offered a similar pellet without the inclusion of lucerne chaff, but with lucerne hay offered separately; </w:t>
      </w:r>
      <w:r w:rsidR="001B150D">
        <w:t xml:space="preserve">Treatment </w:t>
      </w:r>
      <w:r w:rsidR="001B150D" w:rsidRPr="007141EA">
        <w:t xml:space="preserve">3. Grazing lucerne pasture as a group in a paddock. </w:t>
      </w:r>
    </w:p>
    <w:p w14:paraId="43CE7A27" w14:textId="77777777" w:rsidR="001B150D" w:rsidRDefault="001B150D" w:rsidP="001B150D">
      <w:r>
        <w:t xml:space="preserve">At the conclusion of the feeding period lambs were weighed and CT scanned after an overnight curfew. They were then </w:t>
      </w:r>
      <w:r w:rsidRPr="000B3459">
        <w:t>put in a paddock as a single group with volunteer grasses and access to straw and water</w:t>
      </w:r>
      <w:r>
        <w:t xml:space="preserve"> for 4 days before being trucked to a commercial abattoir and slaughtered after an overnight curfew. </w:t>
      </w:r>
      <w:r w:rsidRPr="00BA3AA0">
        <w:t>Empty body weight</w:t>
      </w:r>
      <w:r>
        <w:t xml:space="preserve"> and hot carcase weights (HCW) were estimated </w:t>
      </w:r>
      <w:r w:rsidRPr="003F2000">
        <w:t xml:space="preserve">using </w:t>
      </w:r>
      <w:r>
        <w:t xml:space="preserve">actual </w:t>
      </w:r>
      <w:r w:rsidRPr="003F2000">
        <w:t>liveweight, stomach volum</w:t>
      </w:r>
      <w:r>
        <w:t>e</w:t>
      </w:r>
      <w:r w:rsidRPr="003F2000">
        <w:t xml:space="preserve"> </w:t>
      </w:r>
      <w:r>
        <w:t xml:space="preserve">and </w:t>
      </w:r>
      <w:r w:rsidRPr="003F2000">
        <w:t>viscera tissue weights</w:t>
      </w:r>
      <w:r>
        <w:t xml:space="preserve"> derived from CT scans and</w:t>
      </w:r>
      <w:r w:rsidRPr="003F2000">
        <w:t xml:space="preserve"> estimated weight of fleece</w:t>
      </w:r>
      <w:r>
        <w:t xml:space="preserve">, </w:t>
      </w:r>
      <w:r w:rsidRPr="003F2000">
        <w:t>head and fee</w:t>
      </w:r>
      <w:r>
        <w:t>t</w:t>
      </w:r>
      <w:r w:rsidRPr="003F2000">
        <w:t xml:space="preserve"> </w:t>
      </w:r>
      <w:r>
        <w:t xml:space="preserve">(Keogh et al. 2023). </w:t>
      </w:r>
      <w:r w:rsidRPr="000B3459">
        <w:t xml:space="preserve">Measurements at abattoir included </w:t>
      </w:r>
      <w:r>
        <w:t>the</w:t>
      </w:r>
      <w:r w:rsidRPr="000B3459">
        <w:t xml:space="preserve"> percentage bone, muscle and fat (via </w:t>
      </w:r>
      <w:r>
        <w:t xml:space="preserve">hot carcase </w:t>
      </w:r>
      <w:r w:rsidRPr="000B3459">
        <w:t xml:space="preserve">DEXA scans) </w:t>
      </w:r>
      <w:r>
        <w:t>and HCW</w:t>
      </w:r>
      <w:r w:rsidRPr="000B3459">
        <w:t>.</w:t>
      </w:r>
    </w:p>
    <w:p w14:paraId="63310AE6" w14:textId="77777777" w:rsidR="001B150D" w:rsidRDefault="001B150D" w:rsidP="001B150D">
      <w:r w:rsidRPr="007141EA">
        <w:t xml:space="preserve">Data </w:t>
      </w:r>
      <w:r>
        <w:t xml:space="preserve">from the end of the feeding period and post-slaughter </w:t>
      </w:r>
      <w:r w:rsidRPr="007141EA">
        <w:t xml:space="preserve">was analysed by generalised linear models using </w:t>
      </w:r>
      <w:proofErr w:type="spellStart"/>
      <w:r w:rsidRPr="007141EA">
        <w:t>ASRemL</w:t>
      </w:r>
      <w:proofErr w:type="spellEnd"/>
      <w:r w:rsidRPr="007141EA">
        <w:t>. Lamb weights and empty body composition were modelled using a linear univariate model with fixed effect treatment.</w:t>
      </w:r>
    </w:p>
    <w:p w14:paraId="0032442E" w14:textId="77777777" w:rsidR="001B150D" w:rsidRDefault="007B30E3" w:rsidP="001B150D">
      <w:r>
        <w:rPr>
          <w:b/>
          <w:bCs/>
          <w:lang w:val="en-US"/>
        </w:rPr>
        <w:t>Results</w:t>
      </w:r>
      <w:r w:rsidR="001B150D">
        <w:rPr>
          <w:b/>
          <w:bCs/>
          <w:lang w:val="en-US"/>
        </w:rPr>
        <w:t xml:space="preserve"> </w:t>
      </w:r>
      <w:r w:rsidR="001B150D">
        <w:t xml:space="preserve">Lambs in Treatment 1 were heavier than lambs grazing lucerne at the conclusion of the feeding period and were fatter than other treatments; however treatments did not differ in non-visceral empty body mass (Table 1). Lambs grazing lucerne had greater visceral lean than lambs in Treatment 1 (Table 1). </w:t>
      </w:r>
    </w:p>
    <w:p w14:paraId="236E5747" w14:textId="77777777" w:rsidR="001B150D" w:rsidRDefault="001B150D" w:rsidP="001B150D">
      <w:r w:rsidRPr="003F2000">
        <w:t xml:space="preserve">The estimation of </w:t>
      </w:r>
      <w:r>
        <w:t>HCW</w:t>
      </w:r>
      <w:r w:rsidRPr="003F2000">
        <w:t xml:space="preserve"> </w:t>
      </w:r>
      <w:r>
        <w:t>from</w:t>
      </w:r>
      <w:r w:rsidRPr="003F2000">
        <w:t xml:space="preserve"> CT scan</w:t>
      </w:r>
      <w:r>
        <w:t>s</w:t>
      </w:r>
      <w:r w:rsidRPr="003F2000">
        <w:t xml:space="preserve"> showed general agreement with slaughter data</w:t>
      </w:r>
      <w:r>
        <w:t xml:space="preserve"> (R</w:t>
      </w:r>
      <w:r w:rsidRPr="007141EA">
        <w:rPr>
          <w:vertAlign w:val="superscript"/>
        </w:rPr>
        <w:t>2</w:t>
      </w:r>
      <w:r>
        <w:t xml:space="preserve"> = 0.80). Fat and lean from CT scanning were well correlated with DEXA data, with estimates closest when fat content was higher or carcase lean was lower. (Fig. 1). </w:t>
      </w:r>
    </w:p>
    <w:p w14:paraId="5B170BF8" w14:textId="77777777" w:rsidR="001B150D" w:rsidRDefault="001B150D" w:rsidP="001B150D"/>
    <w:p w14:paraId="1E3314C5" w14:textId="77777777" w:rsidR="001B150D" w:rsidRPr="00A10498" w:rsidRDefault="001B150D" w:rsidP="001B150D">
      <w:pPr>
        <w:spacing w:after="200" w:line="240" w:lineRule="auto"/>
        <w:rPr>
          <w:b/>
          <w:iCs/>
          <w:kern w:val="0"/>
          <w:szCs w:val="18"/>
          <w14:ligatures w14:val="none"/>
        </w:rPr>
      </w:pPr>
      <w:r w:rsidRPr="00A10498">
        <w:rPr>
          <w:b/>
          <w:iCs/>
          <w:kern w:val="0"/>
          <w:szCs w:val="18"/>
          <w14:ligatures w14:val="none"/>
        </w:rPr>
        <w:lastRenderedPageBreak/>
        <w:t>Table 1. Liveweight</w:t>
      </w:r>
      <w:r>
        <w:rPr>
          <w:b/>
          <w:iCs/>
          <w:kern w:val="0"/>
          <w:szCs w:val="18"/>
          <w14:ligatures w14:val="none"/>
        </w:rPr>
        <w:t xml:space="preserve"> </w:t>
      </w:r>
      <w:r w:rsidRPr="00A10498">
        <w:rPr>
          <w:b/>
          <w:iCs/>
          <w:kern w:val="0"/>
          <w:szCs w:val="18"/>
          <w14:ligatures w14:val="none"/>
        </w:rPr>
        <w:t xml:space="preserve">and </w:t>
      </w:r>
      <w:r>
        <w:rPr>
          <w:b/>
          <w:iCs/>
          <w:kern w:val="0"/>
          <w:szCs w:val="18"/>
          <w14:ligatures w14:val="none"/>
        </w:rPr>
        <w:t xml:space="preserve">estimated </w:t>
      </w:r>
      <w:r w:rsidRPr="00A10498">
        <w:rPr>
          <w:b/>
          <w:iCs/>
          <w:kern w:val="0"/>
          <w:szCs w:val="18"/>
          <w14:ligatures w14:val="none"/>
        </w:rPr>
        <w:t xml:space="preserve">empty body </w:t>
      </w:r>
      <w:r>
        <w:rPr>
          <w:b/>
          <w:iCs/>
          <w:kern w:val="0"/>
          <w:szCs w:val="18"/>
          <w14:ligatures w14:val="none"/>
        </w:rPr>
        <w:t xml:space="preserve">(EB) </w:t>
      </w:r>
      <w:r w:rsidRPr="00A10498">
        <w:rPr>
          <w:b/>
          <w:iCs/>
          <w:kern w:val="0"/>
          <w:szCs w:val="18"/>
          <w14:ligatures w14:val="none"/>
        </w:rPr>
        <w:t xml:space="preserve">component mass (kg) treatment means (± SE) </w:t>
      </w:r>
      <w:r>
        <w:rPr>
          <w:b/>
          <w:iCs/>
          <w:kern w:val="0"/>
          <w:szCs w:val="18"/>
          <w14:ligatures w14:val="none"/>
        </w:rPr>
        <w:t xml:space="preserve">of lambs </w:t>
      </w:r>
      <w:r w:rsidRPr="00A10498">
        <w:rPr>
          <w:b/>
          <w:iCs/>
          <w:kern w:val="0"/>
          <w:szCs w:val="18"/>
          <w14:ligatures w14:val="none"/>
        </w:rPr>
        <w:t>at end of experimental period</w:t>
      </w:r>
      <w:r>
        <w:rPr>
          <w:b/>
          <w:iCs/>
          <w:kern w:val="0"/>
          <w:szCs w:val="18"/>
          <w14:ligatures w14:val="none"/>
        </w:rPr>
        <w:t xml:space="preserve"> and hot carcase weights (HCW) derived from computerised tomography (estimated) of live lambs or weighed post-slaughter (actual)</w:t>
      </w:r>
      <w:r w:rsidRPr="00A10498">
        <w:rPr>
          <w:b/>
          <w:iCs/>
          <w:kern w:val="0"/>
          <w:szCs w:val="18"/>
          <w14:ligatures w14:val="none"/>
        </w:rPr>
        <w:t>. Different superscripts indicate treatment means differed significantly (P&lt;0.05).</w:t>
      </w:r>
      <w:r w:rsidRPr="00F67DCA">
        <w:rPr>
          <w:bCs/>
          <w:iCs/>
          <w:kern w:val="0"/>
          <w:szCs w:val="18"/>
          <w14:ligatures w14:val="none"/>
        </w:rPr>
        <w:t xml:space="preserve"> (NV = non-viscera)</w:t>
      </w:r>
    </w:p>
    <w:tbl>
      <w:tblPr>
        <w:tblW w:w="4873" w:type="pct"/>
        <w:tblBorders>
          <w:top w:val="single" w:sz="4" w:space="0" w:color="auto"/>
          <w:bottom w:val="single" w:sz="4" w:space="0" w:color="auto"/>
        </w:tblBorders>
        <w:tblLook w:val="04A0" w:firstRow="1" w:lastRow="0" w:firstColumn="1" w:lastColumn="0" w:noHBand="0" w:noVBand="1"/>
      </w:tblPr>
      <w:tblGrid>
        <w:gridCol w:w="2626"/>
        <w:gridCol w:w="1517"/>
        <w:gridCol w:w="1606"/>
        <w:gridCol w:w="1524"/>
        <w:gridCol w:w="1524"/>
      </w:tblGrid>
      <w:tr w:rsidR="001B150D" w:rsidRPr="00A10498" w14:paraId="78A90637" w14:textId="77777777" w:rsidTr="004B3276">
        <w:trPr>
          <w:trHeight w:val="296"/>
        </w:trPr>
        <w:tc>
          <w:tcPr>
            <w:tcW w:w="1493" w:type="pct"/>
            <w:tcBorders>
              <w:top w:val="single" w:sz="4" w:space="0" w:color="auto"/>
              <w:bottom w:val="single" w:sz="4" w:space="0" w:color="auto"/>
            </w:tcBorders>
          </w:tcPr>
          <w:p w14:paraId="28B07DB8" w14:textId="77777777" w:rsidR="001B150D" w:rsidRPr="00A10498" w:rsidRDefault="001B150D" w:rsidP="004B3276">
            <w:pPr>
              <w:spacing w:after="0"/>
              <w:rPr>
                <w:rFonts w:cstheme="minorHAnsi"/>
                <w:kern w:val="0"/>
                <w14:ligatures w14:val="none"/>
              </w:rPr>
            </w:pPr>
          </w:p>
        </w:tc>
        <w:tc>
          <w:tcPr>
            <w:tcW w:w="862" w:type="pct"/>
            <w:tcBorders>
              <w:top w:val="single" w:sz="4" w:space="0" w:color="auto"/>
              <w:bottom w:val="single" w:sz="4" w:space="0" w:color="auto"/>
            </w:tcBorders>
          </w:tcPr>
          <w:p w14:paraId="15D3BF82" w14:textId="77777777" w:rsidR="001B150D" w:rsidRPr="00A10498" w:rsidRDefault="001B150D" w:rsidP="004B3276">
            <w:pPr>
              <w:spacing w:after="0"/>
              <w:jc w:val="center"/>
              <w:rPr>
                <w:rFonts w:cstheme="minorHAnsi"/>
                <w:kern w:val="0"/>
                <w14:ligatures w14:val="none"/>
              </w:rPr>
            </w:pPr>
            <w:r>
              <w:rPr>
                <w:rFonts w:cstheme="minorHAnsi"/>
                <w:kern w:val="0"/>
                <w14:ligatures w14:val="none"/>
              </w:rPr>
              <w:t>Pelleted ration 1</w:t>
            </w:r>
          </w:p>
        </w:tc>
        <w:tc>
          <w:tcPr>
            <w:tcW w:w="913" w:type="pct"/>
            <w:tcBorders>
              <w:top w:val="single" w:sz="4" w:space="0" w:color="auto"/>
              <w:bottom w:val="single" w:sz="4" w:space="0" w:color="auto"/>
            </w:tcBorders>
          </w:tcPr>
          <w:p w14:paraId="77669286" w14:textId="77777777" w:rsidR="001B150D" w:rsidRPr="00A10498" w:rsidRDefault="001B150D" w:rsidP="004B3276">
            <w:pPr>
              <w:spacing w:after="0"/>
              <w:jc w:val="center"/>
              <w:rPr>
                <w:rFonts w:cstheme="minorHAnsi"/>
                <w:kern w:val="0"/>
                <w14:ligatures w14:val="none"/>
              </w:rPr>
            </w:pPr>
            <w:r>
              <w:rPr>
                <w:rFonts w:cstheme="minorHAnsi"/>
                <w:kern w:val="0"/>
                <w14:ligatures w14:val="none"/>
              </w:rPr>
              <w:t>Pelleted ration 2 + grain</w:t>
            </w:r>
          </w:p>
        </w:tc>
        <w:tc>
          <w:tcPr>
            <w:tcW w:w="866" w:type="pct"/>
            <w:tcBorders>
              <w:top w:val="single" w:sz="4" w:space="0" w:color="auto"/>
              <w:bottom w:val="single" w:sz="4" w:space="0" w:color="auto"/>
            </w:tcBorders>
          </w:tcPr>
          <w:p w14:paraId="351016A4" w14:textId="77777777" w:rsidR="001B150D" w:rsidRPr="00A10498" w:rsidRDefault="001B150D" w:rsidP="004B3276">
            <w:pPr>
              <w:spacing w:after="0"/>
              <w:jc w:val="center"/>
              <w:rPr>
                <w:rFonts w:cstheme="minorHAnsi"/>
                <w:kern w:val="0"/>
                <w14:ligatures w14:val="none"/>
              </w:rPr>
            </w:pPr>
            <w:r>
              <w:rPr>
                <w:rFonts w:cstheme="minorHAnsi"/>
                <w:kern w:val="0"/>
                <w14:ligatures w14:val="none"/>
              </w:rPr>
              <w:t>Grazing Lucerne</w:t>
            </w:r>
          </w:p>
        </w:tc>
        <w:tc>
          <w:tcPr>
            <w:tcW w:w="866" w:type="pct"/>
            <w:tcBorders>
              <w:top w:val="single" w:sz="4" w:space="0" w:color="auto"/>
              <w:bottom w:val="single" w:sz="4" w:space="0" w:color="auto"/>
            </w:tcBorders>
          </w:tcPr>
          <w:p w14:paraId="45416413" w14:textId="77777777" w:rsidR="001B150D" w:rsidRDefault="001B150D" w:rsidP="004B3276">
            <w:pPr>
              <w:spacing w:after="0"/>
              <w:jc w:val="center"/>
              <w:rPr>
                <w:rFonts w:cstheme="minorHAnsi"/>
                <w:kern w:val="0"/>
                <w14:ligatures w14:val="none"/>
              </w:rPr>
            </w:pPr>
            <w:r>
              <w:rPr>
                <w:rFonts w:cstheme="minorHAnsi"/>
                <w:kern w:val="0"/>
                <w14:ligatures w14:val="none"/>
              </w:rPr>
              <w:t>p-value</w:t>
            </w:r>
          </w:p>
        </w:tc>
      </w:tr>
      <w:tr w:rsidR="001B150D" w:rsidRPr="00A10498" w14:paraId="5B94A716" w14:textId="77777777" w:rsidTr="004B3276">
        <w:trPr>
          <w:trHeight w:val="278"/>
        </w:trPr>
        <w:tc>
          <w:tcPr>
            <w:tcW w:w="1493" w:type="pct"/>
            <w:tcBorders>
              <w:top w:val="single" w:sz="4" w:space="0" w:color="auto"/>
              <w:bottom w:val="nil"/>
            </w:tcBorders>
          </w:tcPr>
          <w:p w14:paraId="0760599B" w14:textId="77777777" w:rsidR="001B150D" w:rsidRPr="00A10498" w:rsidRDefault="001B150D" w:rsidP="004B3276">
            <w:pPr>
              <w:spacing w:after="0"/>
              <w:rPr>
                <w:rFonts w:cstheme="minorHAnsi"/>
                <w:kern w:val="0"/>
                <w14:ligatures w14:val="none"/>
              </w:rPr>
            </w:pPr>
            <w:r w:rsidRPr="00A10498">
              <w:rPr>
                <w:rFonts w:cstheme="minorHAnsi"/>
                <w:kern w:val="0"/>
                <w14:ligatures w14:val="none"/>
              </w:rPr>
              <w:t>Liveweight</w:t>
            </w:r>
          </w:p>
        </w:tc>
        <w:tc>
          <w:tcPr>
            <w:tcW w:w="862" w:type="pct"/>
            <w:tcBorders>
              <w:top w:val="single" w:sz="4" w:space="0" w:color="auto"/>
              <w:bottom w:val="nil"/>
            </w:tcBorders>
          </w:tcPr>
          <w:p w14:paraId="165A38E6" w14:textId="77777777" w:rsidR="001B150D" w:rsidRPr="00A10498" w:rsidRDefault="001B150D" w:rsidP="004B3276">
            <w:pPr>
              <w:spacing w:after="0"/>
              <w:jc w:val="center"/>
              <w:rPr>
                <w:rFonts w:cstheme="minorHAnsi"/>
                <w:kern w:val="0"/>
                <w:vertAlign w:val="superscript"/>
                <w14:ligatures w14:val="none"/>
              </w:rPr>
            </w:pPr>
            <w:r w:rsidRPr="00A10498">
              <w:rPr>
                <w:rFonts w:cstheme="minorHAnsi"/>
                <w:kern w:val="0"/>
                <w14:ligatures w14:val="none"/>
              </w:rPr>
              <w:t>51.9 ± 1.1</w:t>
            </w:r>
            <w:r w:rsidRPr="00A10498">
              <w:rPr>
                <w:rFonts w:cstheme="minorHAnsi"/>
                <w:kern w:val="0"/>
                <w:vertAlign w:val="superscript"/>
                <w14:ligatures w14:val="none"/>
              </w:rPr>
              <w:t>a</w:t>
            </w:r>
          </w:p>
        </w:tc>
        <w:tc>
          <w:tcPr>
            <w:tcW w:w="913" w:type="pct"/>
            <w:tcBorders>
              <w:top w:val="single" w:sz="4" w:space="0" w:color="auto"/>
              <w:bottom w:val="nil"/>
            </w:tcBorders>
          </w:tcPr>
          <w:p w14:paraId="1E457BC4" w14:textId="77777777" w:rsidR="001B150D" w:rsidRPr="00A10498" w:rsidRDefault="001B150D" w:rsidP="004B3276">
            <w:pPr>
              <w:spacing w:after="0"/>
              <w:jc w:val="center"/>
              <w:rPr>
                <w:rFonts w:cstheme="minorHAnsi"/>
                <w:kern w:val="0"/>
                <w:vertAlign w:val="superscript"/>
                <w14:ligatures w14:val="none"/>
              </w:rPr>
            </w:pPr>
            <w:r w:rsidRPr="00A10498">
              <w:rPr>
                <w:rFonts w:cstheme="minorHAnsi"/>
                <w:kern w:val="0"/>
                <w14:ligatures w14:val="none"/>
              </w:rPr>
              <w:t>50.1 ± 1.1</w:t>
            </w:r>
            <w:r w:rsidRPr="00A10498">
              <w:rPr>
                <w:rFonts w:cstheme="minorHAnsi"/>
                <w:kern w:val="0"/>
                <w:vertAlign w:val="superscript"/>
                <w14:ligatures w14:val="none"/>
              </w:rPr>
              <w:t>ab</w:t>
            </w:r>
          </w:p>
        </w:tc>
        <w:tc>
          <w:tcPr>
            <w:tcW w:w="866" w:type="pct"/>
            <w:tcBorders>
              <w:top w:val="single" w:sz="4" w:space="0" w:color="auto"/>
              <w:bottom w:val="nil"/>
            </w:tcBorders>
          </w:tcPr>
          <w:p w14:paraId="6AA9C81F" w14:textId="77777777" w:rsidR="001B150D" w:rsidRPr="00A10498" w:rsidRDefault="001B150D" w:rsidP="004B3276">
            <w:pPr>
              <w:spacing w:after="0"/>
              <w:jc w:val="center"/>
              <w:rPr>
                <w:rFonts w:cstheme="minorHAnsi"/>
                <w:kern w:val="0"/>
                <w:vertAlign w:val="superscript"/>
                <w14:ligatures w14:val="none"/>
              </w:rPr>
            </w:pPr>
            <w:r w:rsidRPr="00A10498">
              <w:rPr>
                <w:rFonts w:cstheme="minorHAnsi"/>
                <w:kern w:val="0"/>
                <w14:ligatures w14:val="none"/>
              </w:rPr>
              <w:t>48.1 ± 1.1</w:t>
            </w:r>
            <w:r w:rsidRPr="00A10498">
              <w:rPr>
                <w:rFonts w:cstheme="minorHAnsi"/>
                <w:kern w:val="0"/>
                <w:vertAlign w:val="superscript"/>
                <w14:ligatures w14:val="none"/>
              </w:rPr>
              <w:t>b</w:t>
            </w:r>
          </w:p>
        </w:tc>
        <w:tc>
          <w:tcPr>
            <w:tcW w:w="866" w:type="pct"/>
            <w:tcBorders>
              <w:top w:val="single" w:sz="4" w:space="0" w:color="auto"/>
              <w:bottom w:val="nil"/>
            </w:tcBorders>
          </w:tcPr>
          <w:p w14:paraId="0E6F36C4" w14:textId="77777777" w:rsidR="001B150D" w:rsidRPr="00A10498" w:rsidRDefault="001B150D" w:rsidP="004B3276">
            <w:pPr>
              <w:spacing w:after="0"/>
              <w:jc w:val="center"/>
              <w:rPr>
                <w:rFonts w:cstheme="minorHAnsi"/>
                <w:kern w:val="0"/>
                <w14:ligatures w14:val="none"/>
              </w:rPr>
            </w:pPr>
            <w:r>
              <w:rPr>
                <w:rFonts w:cstheme="minorHAnsi"/>
                <w:kern w:val="0"/>
                <w14:ligatures w14:val="none"/>
              </w:rPr>
              <w:t>0.041</w:t>
            </w:r>
          </w:p>
        </w:tc>
      </w:tr>
      <w:tr w:rsidR="001B150D" w:rsidRPr="00A10498" w14:paraId="5837E5AB" w14:textId="77777777" w:rsidTr="004B3276">
        <w:trPr>
          <w:trHeight w:val="278"/>
        </w:trPr>
        <w:tc>
          <w:tcPr>
            <w:tcW w:w="1493" w:type="pct"/>
          </w:tcPr>
          <w:p w14:paraId="70DAE56F" w14:textId="77777777" w:rsidR="001B150D" w:rsidRPr="00773F12" w:rsidRDefault="001B150D" w:rsidP="004B3276">
            <w:pPr>
              <w:spacing w:after="0"/>
              <w:rPr>
                <w:rFonts w:cstheme="minorHAnsi"/>
                <w:kern w:val="0"/>
                <w14:ligatures w14:val="none"/>
              </w:rPr>
            </w:pPr>
            <w:r>
              <w:rPr>
                <w:rFonts w:cstheme="minorHAnsi"/>
                <w:kern w:val="0"/>
                <w14:ligatures w14:val="none"/>
              </w:rPr>
              <w:t>EB</w:t>
            </w:r>
            <w:r w:rsidRPr="00773F12">
              <w:rPr>
                <w:rFonts w:cstheme="minorHAnsi"/>
                <w:kern w:val="0"/>
                <w14:ligatures w14:val="none"/>
              </w:rPr>
              <w:t xml:space="preserve"> weight</w:t>
            </w:r>
          </w:p>
        </w:tc>
        <w:tc>
          <w:tcPr>
            <w:tcW w:w="862" w:type="pct"/>
          </w:tcPr>
          <w:p w14:paraId="18A0C97D" w14:textId="77777777" w:rsidR="001B150D" w:rsidRPr="00773F12" w:rsidRDefault="001B150D" w:rsidP="004B3276">
            <w:pPr>
              <w:spacing w:after="0"/>
              <w:jc w:val="center"/>
              <w:rPr>
                <w:rFonts w:cstheme="minorHAnsi"/>
                <w:kern w:val="0"/>
                <w:vertAlign w:val="superscript"/>
                <w14:ligatures w14:val="none"/>
              </w:rPr>
            </w:pPr>
            <w:r w:rsidRPr="00773F12">
              <w:rPr>
                <w:rFonts w:cstheme="minorHAnsi"/>
                <w:kern w:val="0"/>
                <w14:ligatures w14:val="none"/>
              </w:rPr>
              <w:t>44.6 ± 1.0</w:t>
            </w:r>
          </w:p>
        </w:tc>
        <w:tc>
          <w:tcPr>
            <w:tcW w:w="913" w:type="pct"/>
          </w:tcPr>
          <w:p w14:paraId="6B5E851E" w14:textId="77777777" w:rsidR="001B150D" w:rsidRPr="00773F12" w:rsidRDefault="001B150D" w:rsidP="004B3276">
            <w:pPr>
              <w:spacing w:after="0"/>
              <w:jc w:val="center"/>
              <w:rPr>
                <w:rFonts w:cstheme="minorHAnsi"/>
                <w:kern w:val="0"/>
                <w:vertAlign w:val="superscript"/>
                <w14:ligatures w14:val="none"/>
              </w:rPr>
            </w:pPr>
            <w:r w:rsidRPr="00773F12">
              <w:rPr>
                <w:rFonts w:cstheme="minorHAnsi"/>
                <w:kern w:val="0"/>
                <w14:ligatures w14:val="none"/>
              </w:rPr>
              <w:t>43.0 ± 1.0</w:t>
            </w:r>
          </w:p>
        </w:tc>
        <w:tc>
          <w:tcPr>
            <w:tcW w:w="866" w:type="pct"/>
          </w:tcPr>
          <w:p w14:paraId="2425BF65" w14:textId="77777777" w:rsidR="001B150D" w:rsidRPr="00773F12" w:rsidRDefault="001B150D" w:rsidP="004B3276">
            <w:pPr>
              <w:spacing w:after="0"/>
              <w:jc w:val="center"/>
              <w:rPr>
                <w:rFonts w:cstheme="minorHAnsi"/>
                <w:kern w:val="0"/>
                <w:vertAlign w:val="superscript"/>
                <w14:ligatures w14:val="none"/>
              </w:rPr>
            </w:pPr>
            <w:r w:rsidRPr="00773F12">
              <w:rPr>
                <w:rFonts w:cstheme="minorHAnsi"/>
                <w:kern w:val="0"/>
                <w14:ligatures w14:val="none"/>
              </w:rPr>
              <w:t>41.8 ± 1.0</w:t>
            </w:r>
          </w:p>
        </w:tc>
        <w:tc>
          <w:tcPr>
            <w:tcW w:w="866" w:type="pct"/>
          </w:tcPr>
          <w:p w14:paraId="572C43F5" w14:textId="77777777" w:rsidR="001B150D" w:rsidRPr="00773F12" w:rsidRDefault="001B150D" w:rsidP="004B3276">
            <w:pPr>
              <w:spacing w:after="0"/>
              <w:jc w:val="center"/>
              <w:rPr>
                <w:rFonts w:cstheme="minorHAnsi"/>
                <w:kern w:val="0"/>
                <w14:ligatures w14:val="none"/>
              </w:rPr>
            </w:pPr>
            <w:r>
              <w:rPr>
                <w:rFonts w:cstheme="minorHAnsi"/>
                <w:kern w:val="0"/>
                <w14:ligatures w14:val="none"/>
              </w:rPr>
              <w:t>0.145</w:t>
            </w:r>
          </w:p>
        </w:tc>
      </w:tr>
      <w:tr w:rsidR="001B150D" w:rsidRPr="00A10498" w14:paraId="578667DC" w14:textId="77777777" w:rsidTr="004B3276">
        <w:trPr>
          <w:trHeight w:val="229"/>
        </w:trPr>
        <w:tc>
          <w:tcPr>
            <w:tcW w:w="1493" w:type="pct"/>
          </w:tcPr>
          <w:p w14:paraId="7372BEE3" w14:textId="77777777" w:rsidR="001B150D" w:rsidRPr="00A10498" w:rsidRDefault="001B150D" w:rsidP="004B3276">
            <w:pPr>
              <w:spacing w:after="0"/>
              <w:rPr>
                <w:rFonts w:cstheme="minorHAnsi"/>
                <w:kern w:val="0"/>
                <w14:ligatures w14:val="none"/>
              </w:rPr>
            </w:pPr>
            <w:r w:rsidRPr="00A10498">
              <w:rPr>
                <w:rFonts w:cstheme="minorHAnsi"/>
                <w:kern w:val="0"/>
                <w14:ligatures w14:val="none"/>
              </w:rPr>
              <w:t>Fat mass</w:t>
            </w:r>
          </w:p>
        </w:tc>
        <w:tc>
          <w:tcPr>
            <w:tcW w:w="862" w:type="pct"/>
          </w:tcPr>
          <w:p w14:paraId="14120EA4" w14:textId="77777777" w:rsidR="001B150D" w:rsidRPr="00A10498" w:rsidRDefault="001B150D" w:rsidP="004B3276">
            <w:pPr>
              <w:spacing w:after="0"/>
              <w:jc w:val="center"/>
              <w:rPr>
                <w:rFonts w:cstheme="minorHAnsi"/>
                <w:kern w:val="0"/>
                <w:vertAlign w:val="superscript"/>
                <w14:ligatures w14:val="none"/>
              </w:rPr>
            </w:pPr>
            <w:r w:rsidRPr="00A10498">
              <w:rPr>
                <w:rFonts w:cstheme="minorHAnsi"/>
                <w:kern w:val="0"/>
                <w14:ligatures w14:val="none"/>
              </w:rPr>
              <w:t>14.7 ± 0.7</w:t>
            </w:r>
            <w:r w:rsidRPr="00A10498">
              <w:rPr>
                <w:rFonts w:cstheme="minorHAnsi"/>
                <w:kern w:val="0"/>
                <w:vertAlign w:val="superscript"/>
                <w14:ligatures w14:val="none"/>
              </w:rPr>
              <w:t>a</w:t>
            </w:r>
          </w:p>
        </w:tc>
        <w:tc>
          <w:tcPr>
            <w:tcW w:w="913" w:type="pct"/>
          </w:tcPr>
          <w:p w14:paraId="13C86CF1" w14:textId="77777777" w:rsidR="001B150D" w:rsidRPr="00A10498" w:rsidRDefault="001B150D" w:rsidP="004B3276">
            <w:pPr>
              <w:spacing w:after="0"/>
              <w:jc w:val="center"/>
              <w:rPr>
                <w:rFonts w:cstheme="minorHAnsi"/>
                <w:kern w:val="0"/>
                <w:vertAlign w:val="superscript"/>
                <w14:ligatures w14:val="none"/>
              </w:rPr>
            </w:pPr>
            <w:r w:rsidRPr="00A10498">
              <w:rPr>
                <w:rFonts w:cstheme="minorHAnsi"/>
                <w:kern w:val="0"/>
                <w14:ligatures w14:val="none"/>
              </w:rPr>
              <w:t>13.4 ± 0.7</w:t>
            </w:r>
            <w:r w:rsidRPr="00A10498">
              <w:rPr>
                <w:rFonts w:cstheme="minorHAnsi"/>
                <w:kern w:val="0"/>
                <w:vertAlign w:val="superscript"/>
                <w14:ligatures w14:val="none"/>
              </w:rPr>
              <w:t>ab</w:t>
            </w:r>
          </w:p>
        </w:tc>
        <w:tc>
          <w:tcPr>
            <w:tcW w:w="866" w:type="pct"/>
          </w:tcPr>
          <w:p w14:paraId="0B081858" w14:textId="77777777" w:rsidR="001B150D" w:rsidRPr="00A10498" w:rsidRDefault="001B150D" w:rsidP="004B3276">
            <w:pPr>
              <w:spacing w:after="0"/>
              <w:jc w:val="center"/>
              <w:rPr>
                <w:rFonts w:cstheme="minorHAnsi"/>
                <w:kern w:val="0"/>
                <w:vertAlign w:val="superscript"/>
                <w14:ligatures w14:val="none"/>
              </w:rPr>
            </w:pPr>
            <w:r w:rsidRPr="00A10498">
              <w:rPr>
                <w:rFonts w:cstheme="minorHAnsi"/>
                <w:kern w:val="0"/>
                <w14:ligatures w14:val="none"/>
              </w:rPr>
              <w:t>12.2 ± 0.7</w:t>
            </w:r>
            <w:r w:rsidRPr="00A10498">
              <w:rPr>
                <w:rFonts w:cstheme="minorHAnsi"/>
                <w:kern w:val="0"/>
                <w:vertAlign w:val="superscript"/>
                <w14:ligatures w14:val="none"/>
              </w:rPr>
              <w:t>b</w:t>
            </w:r>
          </w:p>
        </w:tc>
        <w:tc>
          <w:tcPr>
            <w:tcW w:w="866" w:type="pct"/>
          </w:tcPr>
          <w:p w14:paraId="509AA3B0" w14:textId="77777777" w:rsidR="001B150D" w:rsidRPr="00A10498" w:rsidRDefault="001B150D" w:rsidP="004B3276">
            <w:pPr>
              <w:spacing w:after="0"/>
              <w:jc w:val="center"/>
              <w:rPr>
                <w:rFonts w:cstheme="minorHAnsi"/>
                <w:kern w:val="0"/>
                <w14:ligatures w14:val="none"/>
              </w:rPr>
            </w:pPr>
            <w:r>
              <w:rPr>
                <w:rFonts w:cstheme="minorHAnsi"/>
                <w:kern w:val="0"/>
                <w14:ligatures w14:val="none"/>
              </w:rPr>
              <w:t>0.039</w:t>
            </w:r>
          </w:p>
        </w:tc>
      </w:tr>
      <w:tr w:rsidR="001B150D" w:rsidRPr="00A10498" w14:paraId="6853694C" w14:textId="77777777" w:rsidTr="004B3276">
        <w:trPr>
          <w:trHeight w:val="296"/>
        </w:trPr>
        <w:tc>
          <w:tcPr>
            <w:tcW w:w="1493" w:type="pct"/>
          </w:tcPr>
          <w:p w14:paraId="5A4B435A" w14:textId="77777777" w:rsidR="001B150D" w:rsidRPr="00A10498" w:rsidRDefault="001B150D" w:rsidP="004B3276">
            <w:pPr>
              <w:spacing w:after="0"/>
              <w:rPr>
                <w:rFonts w:cstheme="minorHAnsi"/>
                <w:kern w:val="0"/>
                <w14:ligatures w14:val="none"/>
              </w:rPr>
            </w:pPr>
            <w:r w:rsidRPr="00A10498">
              <w:rPr>
                <w:rFonts w:cstheme="minorHAnsi"/>
                <w:kern w:val="0"/>
                <w14:ligatures w14:val="none"/>
              </w:rPr>
              <w:t>Lean mass</w:t>
            </w:r>
          </w:p>
        </w:tc>
        <w:tc>
          <w:tcPr>
            <w:tcW w:w="862" w:type="pct"/>
          </w:tcPr>
          <w:p w14:paraId="1463CB22" w14:textId="77777777" w:rsidR="001B150D" w:rsidRPr="00A10498" w:rsidRDefault="001B150D" w:rsidP="004B3276">
            <w:pPr>
              <w:spacing w:after="0"/>
              <w:jc w:val="center"/>
              <w:rPr>
                <w:rFonts w:cstheme="minorHAnsi"/>
                <w:kern w:val="0"/>
                <w14:ligatures w14:val="none"/>
              </w:rPr>
            </w:pPr>
            <w:r w:rsidRPr="00A10498">
              <w:rPr>
                <w:rFonts w:cstheme="minorHAnsi"/>
                <w:kern w:val="0"/>
                <w14:ligatures w14:val="none"/>
              </w:rPr>
              <w:t>25.5 ± 0.5</w:t>
            </w:r>
          </w:p>
        </w:tc>
        <w:tc>
          <w:tcPr>
            <w:tcW w:w="913" w:type="pct"/>
          </w:tcPr>
          <w:p w14:paraId="53749F5B" w14:textId="77777777" w:rsidR="001B150D" w:rsidRPr="00A10498" w:rsidRDefault="001B150D" w:rsidP="004B3276">
            <w:pPr>
              <w:spacing w:after="0"/>
              <w:jc w:val="center"/>
              <w:rPr>
                <w:rFonts w:cstheme="minorHAnsi"/>
                <w:kern w:val="0"/>
                <w14:ligatures w14:val="none"/>
              </w:rPr>
            </w:pPr>
            <w:r w:rsidRPr="00A10498">
              <w:rPr>
                <w:rFonts w:cstheme="minorHAnsi"/>
                <w:kern w:val="0"/>
                <w14:ligatures w14:val="none"/>
              </w:rPr>
              <w:t>25.3 ± 0.5</w:t>
            </w:r>
          </w:p>
        </w:tc>
        <w:tc>
          <w:tcPr>
            <w:tcW w:w="866" w:type="pct"/>
          </w:tcPr>
          <w:p w14:paraId="3C125541" w14:textId="77777777" w:rsidR="001B150D" w:rsidRPr="00A10498" w:rsidRDefault="001B150D" w:rsidP="004B3276">
            <w:pPr>
              <w:spacing w:after="0"/>
              <w:jc w:val="center"/>
              <w:rPr>
                <w:rFonts w:cstheme="minorHAnsi"/>
                <w:kern w:val="0"/>
                <w14:ligatures w14:val="none"/>
              </w:rPr>
            </w:pPr>
            <w:r w:rsidRPr="00A10498">
              <w:rPr>
                <w:rFonts w:cstheme="minorHAnsi"/>
                <w:kern w:val="0"/>
                <w14:ligatures w14:val="none"/>
              </w:rPr>
              <w:t>25.0 ± 0.5</w:t>
            </w:r>
          </w:p>
        </w:tc>
        <w:tc>
          <w:tcPr>
            <w:tcW w:w="866" w:type="pct"/>
          </w:tcPr>
          <w:p w14:paraId="265D675F" w14:textId="77777777" w:rsidR="001B150D" w:rsidRPr="00A10498" w:rsidRDefault="001B150D" w:rsidP="004B3276">
            <w:pPr>
              <w:spacing w:after="0"/>
              <w:jc w:val="center"/>
              <w:rPr>
                <w:rFonts w:cstheme="minorHAnsi"/>
                <w:kern w:val="0"/>
                <w14:ligatures w14:val="none"/>
              </w:rPr>
            </w:pPr>
            <w:r>
              <w:rPr>
                <w:rFonts w:cstheme="minorHAnsi"/>
                <w:kern w:val="0"/>
                <w14:ligatures w14:val="none"/>
              </w:rPr>
              <w:t>0.817</w:t>
            </w:r>
          </w:p>
        </w:tc>
      </w:tr>
      <w:tr w:rsidR="001B150D" w:rsidRPr="00A10498" w14:paraId="4BD0D874" w14:textId="77777777" w:rsidTr="004B3276">
        <w:trPr>
          <w:trHeight w:val="278"/>
        </w:trPr>
        <w:tc>
          <w:tcPr>
            <w:tcW w:w="1493" w:type="pct"/>
          </w:tcPr>
          <w:p w14:paraId="62FB74E1" w14:textId="77777777" w:rsidR="001B150D" w:rsidRPr="00A10498" w:rsidRDefault="001B150D" w:rsidP="004B3276">
            <w:pPr>
              <w:spacing w:after="0"/>
              <w:ind w:left="227"/>
              <w:rPr>
                <w:rFonts w:cstheme="minorHAnsi"/>
                <w:kern w:val="0"/>
                <w14:ligatures w14:val="none"/>
              </w:rPr>
            </w:pPr>
            <w:r w:rsidRPr="00A10498">
              <w:rPr>
                <w:rFonts w:cstheme="minorHAnsi"/>
                <w:kern w:val="0"/>
                <w14:ligatures w14:val="none"/>
              </w:rPr>
              <w:t>NVEB lean mass</w:t>
            </w:r>
          </w:p>
        </w:tc>
        <w:tc>
          <w:tcPr>
            <w:tcW w:w="862" w:type="pct"/>
          </w:tcPr>
          <w:p w14:paraId="63BFC7A2" w14:textId="77777777" w:rsidR="001B150D" w:rsidRPr="00A10498" w:rsidRDefault="001B150D" w:rsidP="004B3276">
            <w:pPr>
              <w:spacing w:after="0"/>
              <w:jc w:val="center"/>
              <w:rPr>
                <w:rFonts w:cstheme="minorHAnsi"/>
                <w:kern w:val="0"/>
                <w14:ligatures w14:val="none"/>
              </w:rPr>
            </w:pPr>
            <w:r w:rsidRPr="00A10498">
              <w:rPr>
                <w:rFonts w:cstheme="minorHAnsi"/>
                <w:kern w:val="0"/>
                <w14:ligatures w14:val="none"/>
              </w:rPr>
              <w:t>20.2 ± 0.5</w:t>
            </w:r>
          </w:p>
        </w:tc>
        <w:tc>
          <w:tcPr>
            <w:tcW w:w="913" w:type="pct"/>
          </w:tcPr>
          <w:p w14:paraId="4F5A8145" w14:textId="77777777" w:rsidR="001B150D" w:rsidRPr="00A10498" w:rsidRDefault="001B150D" w:rsidP="004B3276">
            <w:pPr>
              <w:spacing w:after="0"/>
              <w:jc w:val="center"/>
              <w:rPr>
                <w:rFonts w:cstheme="minorHAnsi"/>
                <w:kern w:val="0"/>
                <w14:ligatures w14:val="none"/>
              </w:rPr>
            </w:pPr>
            <w:r w:rsidRPr="00A10498">
              <w:rPr>
                <w:rFonts w:cstheme="minorHAnsi"/>
                <w:kern w:val="0"/>
                <w14:ligatures w14:val="none"/>
              </w:rPr>
              <w:t>20.0 ± 0.5</w:t>
            </w:r>
          </w:p>
        </w:tc>
        <w:tc>
          <w:tcPr>
            <w:tcW w:w="866" w:type="pct"/>
          </w:tcPr>
          <w:p w14:paraId="5E1E11BA" w14:textId="77777777" w:rsidR="001B150D" w:rsidRPr="00A10498" w:rsidRDefault="001B150D" w:rsidP="004B3276">
            <w:pPr>
              <w:spacing w:after="0"/>
              <w:jc w:val="center"/>
              <w:rPr>
                <w:rFonts w:cstheme="minorHAnsi"/>
                <w:kern w:val="0"/>
                <w14:ligatures w14:val="none"/>
              </w:rPr>
            </w:pPr>
            <w:r w:rsidRPr="00A10498">
              <w:rPr>
                <w:rFonts w:cstheme="minorHAnsi"/>
                <w:kern w:val="0"/>
                <w14:ligatures w14:val="none"/>
              </w:rPr>
              <w:t>19.3 ± 0.5</w:t>
            </w:r>
          </w:p>
        </w:tc>
        <w:tc>
          <w:tcPr>
            <w:tcW w:w="866" w:type="pct"/>
          </w:tcPr>
          <w:p w14:paraId="429AE85C" w14:textId="77777777" w:rsidR="001B150D" w:rsidRPr="00A10498" w:rsidRDefault="001B150D" w:rsidP="004B3276">
            <w:pPr>
              <w:spacing w:after="0"/>
              <w:jc w:val="center"/>
              <w:rPr>
                <w:rFonts w:cstheme="minorHAnsi"/>
                <w:kern w:val="0"/>
                <w14:ligatures w14:val="none"/>
              </w:rPr>
            </w:pPr>
            <w:r>
              <w:rPr>
                <w:rFonts w:cstheme="minorHAnsi"/>
                <w:kern w:val="0"/>
                <w14:ligatures w14:val="none"/>
              </w:rPr>
              <w:t>0.379</w:t>
            </w:r>
          </w:p>
        </w:tc>
      </w:tr>
      <w:tr w:rsidR="001B150D" w:rsidRPr="00A10498" w14:paraId="42D70B05" w14:textId="77777777" w:rsidTr="004B3276">
        <w:trPr>
          <w:trHeight w:val="79"/>
        </w:trPr>
        <w:tc>
          <w:tcPr>
            <w:tcW w:w="1493" w:type="pct"/>
          </w:tcPr>
          <w:p w14:paraId="260CBB79" w14:textId="77777777" w:rsidR="001B150D" w:rsidRPr="00A10498" w:rsidRDefault="001B150D" w:rsidP="004B3276">
            <w:pPr>
              <w:spacing w:after="0"/>
              <w:ind w:left="227"/>
              <w:rPr>
                <w:rFonts w:cstheme="minorHAnsi"/>
                <w:kern w:val="0"/>
                <w14:ligatures w14:val="none"/>
              </w:rPr>
            </w:pPr>
            <w:r w:rsidRPr="00A10498">
              <w:rPr>
                <w:rFonts w:cstheme="minorHAnsi"/>
                <w:kern w:val="0"/>
                <w14:ligatures w14:val="none"/>
              </w:rPr>
              <w:t>Viscera lean mass</w:t>
            </w:r>
          </w:p>
        </w:tc>
        <w:tc>
          <w:tcPr>
            <w:tcW w:w="862" w:type="pct"/>
          </w:tcPr>
          <w:p w14:paraId="5180E8EC" w14:textId="77777777" w:rsidR="001B150D" w:rsidRPr="00A10498" w:rsidRDefault="001B150D" w:rsidP="004B3276">
            <w:pPr>
              <w:spacing w:after="0"/>
              <w:jc w:val="center"/>
              <w:rPr>
                <w:rFonts w:cstheme="minorHAnsi"/>
                <w:kern w:val="0"/>
                <w:vertAlign w:val="superscript"/>
                <w14:ligatures w14:val="none"/>
              </w:rPr>
            </w:pPr>
            <w:r w:rsidRPr="00A10498">
              <w:rPr>
                <w:rFonts w:cstheme="minorHAnsi"/>
                <w:kern w:val="0"/>
                <w14:ligatures w14:val="none"/>
              </w:rPr>
              <w:t>5.3 ± 0.1</w:t>
            </w:r>
            <w:r w:rsidRPr="000F5E57">
              <w:rPr>
                <w:rFonts w:cstheme="minorHAnsi"/>
                <w:kern w:val="0"/>
                <w:vertAlign w:val="superscript"/>
                <w14:ligatures w14:val="none"/>
              </w:rPr>
              <w:t>a</w:t>
            </w:r>
          </w:p>
        </w:tc>
        <w:tc>
          <w:tcPr>
            <w:tcW w:w="913" w:type="pct"/>
          </w:tcPr>
          <w:p w14:paraId="59748903" w14:textId="77777777" w:rsidR="001B150D" w:rsidRPr="00A10498" w:rsidRDefault="001B150D" w:rsidP="004B3276">
            <w:pPr>
              <w:spacing w:after="0"/>
              <w:jc w:val="center"/>
              <w:rPr>
                <w:rFonts w:cstheme="minorHAnsi"/>
                <w:kern w:val="0"/>
                <w:vertAlign w:val="superscript"/>
                <w14:ligatures w14:val="none"/>
              </w:rPr>
            </w:pPr>
            <w:r w:rsidRPr="00A10498">
              <w:rPr>
                <w:rFonts w:cstheme="minorHAnsi"/>
                <w:kern w:val="0"/>
                <w14:ligatures w14:val="none"/>
              </w:rPr>
              <w:t>5.4 ± 0.1</w:t>
            </w:r>
            <w:r w:rsidRPr="00A10498">
              <w:rPr>
                <w:rFonts w:cstheme="minorHAnsi"/>
                <w:kern w:val="0"/>
                <w:vertAlign w:val="superscript"/>
                <w14:ligatures w14:val="none"/>
              </w:rPr>
              <w:t>ab</w:t>
            </w:r>
          </w:p>
        </w:tc>
        <w:tc>
          <w:tcPr>
            <w:tcW w:w="866" w:type="pct"/>
          </w:tcPr>
          <w:p w14:paraId="66B92BC7" w14:textId="77777777" w:rsidR="001B150D" w:rsidRPr="000F5E57" w:rsidRDefault="001B150D" w:rsidP="004B3276">
            <w:pPr>
              <w:spacing w:after="0"/>
              <w:jc w:val="center"/>
              <w:rPr>
                <w:rFonts w:cstheme="minorHAnsi"/>
                <w:kern w:val="0"/>
                <w:vertAlign w:val="superscript"/>
                <w14:ligatures w14:val="none"/>
              </w:rPr>
            </w:pPr>
            <w:r w:rsidRPr="00A10498">
              <w:rPr>
                <w:rFonts w:cstheme="minorHAnsi"/>
                <w:kern w:val="0"/>
                <w14:ligatures w14:val="none"/>
              </w:rPr>
              <w:t>5.7 ± 0.1</w:t>
            </w:r>
            <w:r>
              <w:rPr>
                <w:rFonts w:cstheme="minorHAnsi"/>
                <w:kern w:val="0"/>
                <w:vertAlign w:val="superscript"/>
                <w14:ligatures w14:val="none"/>
              </w:rPr>
              <w:t>b</w:t>
            </w:r>
          </w:p>
        </w:tc>
        <w:tc>
          <w:tcPr>
            <w:tcW w:w="866" w:type="pct"/>
          </w:tcPr>
          <w:p w14:paraId="68D15C83" w14:textId="77777777" w:rsidR="001B150D" w:rsidRPr="00A10498" w:rsidRDefault="001B150D" w:rsidP="004B3276">
            <w:pPr>
              <w:spacing w:after="0"/>
              <w:jc w:val="center"/>
              <w:rPr>
                <w:rFonts w:cstheme="minorHAnsi"/>
                <w:kern w:val="0"/>
                <w14:ligatures w14:val="none"/>
              </w:rPr>
            </w:pPr>
            <w:r>
              <w:rPr>
                <w:rFonts w:cstheme="minorHAnsi"/>
                <w:kern w:val="0"/>
                <w14:ligatures w14:val="none"/>
              </w:rPr>
              <w:t>0.042</w:t>
            </w:r>
          </w:p>
        </w:tc>
      </w:tr>
      <w:tr w:rsidR="001B150D" w:rsidRPr="00A10498" w14:paraId="127F8B5C" w14:textId="77777777" w:rsidTr="004B3276">
        <w:trPr>
          <w:trHeight w:val="79"/>
        </w:trPr>
        <w:tc>
          <w:tcPr>
            <w:tcW w:w="1493" w:type="pct"/>
          </w:tcPr>
          <w:p w14:paraId="4ECE9B34" w14:textId="77777777" w:rsidR="001B150D" w:rsidRPr="00A10498" w:rsidRDefault="001B150D" w:rsidP="004B3276">
            <w:pPr>
              <w:spacing w:after="0"/>
              <w:rPr>
                <w:rFonts w:cstheme="minorHAnsi"/>
                <w:kern w:val="0"/>
                <w14:ligatures w14:val="none"/>
              </w:rPr>
            </w:pPr>
            <w:r>
              <w:rPr>
                <w:rFonts w:cstheme="minorHAnsi"/>
                <w:kern w:val="0"/>
                <w14:ligatures w14:val="none"/>
              </w:rPr>
              <w:t>HCW (estimated)</w:t>
            </w:r>
          </w:p>
        </w:tc>
        <w:tc>
          <w:tcPr>
            <w:tcW w:w="862" w:type="pct"/>
          </w:tcPr>
          <w:p w14:paraId="6724F24E" w14:textId="77777777" w:rsidR="001B150D" w:rsidRPr="00A10498" w:rsidRDefault="001B150D" w:rsidP="004B3276">
            <w:pPr>
              <w:spacing w:after="0"/>
              <w:jc w:val="center"/>
              <w:rPr>
                <w:rFonts w:cstheme="minorHAnsi"/>
                <w:kern w:val="0"/>
                <w14:ligatures w14:val="none"/>
              </w:rPr>
            </w:pPr>
            <w:r>
              <w:rPr>
                <w:rFonts w:cstheme="minorHAnsi"/>
                <w:kern w:val="0"/>
                <w14:ligatures w14:val="none"/>
              </w:rPr>
              <w:t xml:space="preserve">27.8 </w:t>
            </w:r>
            <w:r w:rsidRPr="00A10498">
              <w:rPr>
                <w:rFonts w:cstheme="minorHAnsi"/>
                <w:kern w:val="0"/>
                <w14:ligatures w14:val="none"/>
              </w:rPr>
              <w:t>± 0.7</w:t>
            </w:r>
          </w:p>
        </w:tc>
        <w:tc>
          <w:tcPr>
            <w:tcW w:w="913" w:type="pct"/>
          </w:tcPr>
          <w:p w14:paraId="0F708111" w14:textId="77777777" w:rsidR="001B150D" w:rsidRPr="00A10498" w:rsidRDefault="001B150D" w:rsidP="004B3276">
            <w:pPr>
              <w:spacing w:after="0"/>
              <w:jc w:val="center"/>
              <w:rPr>
                <w:rFonts w:cstheme="minorHAnsi"/>
                <w:kern w:val="0"/>
                <w14:ligatures w14:val="none"/>
              </w:rPr>
            </w:pPr>
            <w:r>
              <w:rPr>
                <w:rFonts w:cstheme="minorHAnsi"/>
                <w:kern w:val="0"/>
                <w14:ligatures w14:val="none"/>
              </w:rPr>
              <w:t xml:space="preserve">26.7 </w:t>
            </w:r>
            <w:r w:rsidRPr="00A10498">
              <w:rPr>
                <w:rFonts w:cstheme="minorHAnsi"/>
                <w:kern w:val="0"/>
                <w14:ligatures w14:val="none"/>
              </w:rPr>
              <w:t>± 0.7</w:t>
            </w:r>
          </w:p>
        </w:tc>
        <w:tc>
          <w:tcPr>
            <w:tcW w:w="866" w:type="pct"/>
          </w:tcPr>
          <w:p w14:paraId="6A141DC6" w14:textId="77777777" w:rsidR="001B150D" w:rsidRPr="00A10498" w:rsidRDefault="001B150D" w:rsidP="004B3276">
            <w:pPr>
              <w:spacing w:after="0"/>
              <w:jc w:val="center"/>
              <w:rPr>
                <w:rFonts w:cstheme="minorHAnsi"/>
                <w:kern w:val="0"/>
                <w14:ligatures w14:val="none"/>
              </w:rPr>
            </w:pPr>
            <w:r>
              <w:rPr>
                <w:rFonts w:cstheme="minorHAnsi"/>
                <w:kern w:val="0"/>
                <w14:ligatures w14:val="none"/>
              </w:rPr>
              <w:t xml:space="preserve">25.8 </w:t>
            </w:r>
            <w:r w:rsidRPr="00A10498">
              <w:rPr>
                <w:rFonts w:cstheme="minorHAnsi"/>
                <w:kern w:val="0"/>
                <w14:ligatures w14:val="none"/>
              </w:rPr>
              <w:t>± 0.7</w:t>
            </w:r>
          </w:p>
        </w:tc>
        <w:tc>
          <w:tcPr>
            <w:tcW w:w="866" w:type="pct"/>
          </w:tcPr>
          <w:p w14:paraId="20C72267" w14:textId="77777777" w:rsidR="001B150D" w:rsidRDefault="001B150D" w:rsidP="004B3276">
            <w:pPr>
              <w:spacing w:after="0"/>
              <w:jc w:val="center"/>
              <w:rPr>
                <w:rFonts w:cstheme="minorHAnsi"/>
                <w:kern w:val="0"/>
                <w14:ligatures w14:val="none"/>
              </w:rPr>
            </w:pPr>
            <w:r>
              <w:rPr>
                <w:rFonts w:cstheme="minorHAnsi"/>
                <w:kern w:val="0"/>
                <w14:ligatures w14:val="none"/>
              </w:rPr>
              <w:t>0.108</w:t>
            </w:r>
          </w:p>
        </w:tc>
      </w:tr>
      <w:tr w:rsidR="001B150D" w:rsidRPr="00A10498" w14:paraId="395E286B" w14:textId="77777777" w:rsidTr="004B3276">
        <w:trPr>
          <w:trHeight w:val="79"/>
        </w:trPr>
        <w:tc>
          <w:tcPr>
            <w:tcW w:w="1493" w:type="pct"/>
          </w:tcPr>
          <w:p w14:paraId="4211F5E7" w14:textId="77777777" w:rsidR="001B150D" w:rsidRDefault="001B150D" w:rsidP="004B3276">
            <w:pPr>
              <w:spacing w:after="0"/>
              <w:rPr>
                <w:rFonts w:cstheme="minorHAnsi"/>
                <w:kern w:val="0"/>
                <w14:ligatures w14:val="none"/>
              </w:rPr>
            </w:pPr>
            <w:r>
              <w:rPr>
                <w:rFonts w:cstheme="minorHAnsi"/>
                <w:kern w:val="0"/>
                <w14:ligatures w14:val="none"/>
              </w:rPr>
              <w:t>HCW (actual)</w:t>
            </w:r>
          </w:p>
        </w:tc>
        <w:tc>
          <w:tcPr>
            <w:tcW w:w="862" w:type="pct"/>
          </w:tcPr>
          <w:p w14:paraId="46138293" w14:textId="77777777" w:rsidR="001B150D" w:rsidRDefault="001B150D" w:rsidP="004B3276">
            <w:pPr>
              <w:spacing w:after="0"/>
              <w:jc w:val="center"/>
              <w:rPr>
                <w:rFonts w:cstheme="minorHAnsi"/>
                <w:kern w:val="0"/>
                <w14:ligatures w14:val="none"/>
              </w:rPr>
            </w:pPr>
            <w:r>
              <w:rPr>
                <w:rFonts w:cstheme="minorHAnsi"/>
                <w:kern w:val="0"/>
                <w14:ligatures w14:val="none"/>
              </w:rPr>
              <w:t xml:space="preserve">27.1 </w:t>
            </w:r>
            <w:r w:rsidRPr="00A10498">
              <w:rPr>
                <w:rFonts w:cstheme="minorHAnsi"/>
                <w:kern w:val="0"/>
                <w14:ligatures w14:val="none"/>
              </w:rPr>
              <w:t>± 0.7</w:t>
            </w:r>
            <w:r w:rsidRPr="000F5E57">
              <w:rPr>
                <w:rFonts w:cstheme="minorHAnsi"/>
                <w:kern w:val="0"/>
                <w:vertAlign w:val="superscript"/>
                <w14:ligatures w14:val="none"/>
              </w:rPr>
              <w:t xml:space="preserve"> a</w:t>
            </w:r>
          </w:p>
        </w:tc>
        <w:tc>
          <w:tcPr>
            <w:tcW w:w="913" w:type="pct"/>
          </w:tcPr>
          <w:p w14:paraId="75850B34" w14:textId="77777777" w:rsidR="001B150D" w:rsidRDefault="001B150D" w:rsidP="004B3276">
            <w:pPr>
              <w:spacing w:after="0"/>
              <w:jc w:val="center"/>
              <w:rPr>
                <w:rFonts w:cstheme="minorHAnsi"/>
                <w:kern w:val="0"/>
                <w14:ligatures w14:val="none"/>
              </w:rPr>
            </w:pPr>
            <w:r>
              <w:rPr>
                <w:rFonts w:cstheme="minorHAnsi"/>
                <w:kern w:val="0"/>
                <w14:ligatures w14:val="none"/>
              </w:rPr>
              <w:t xml:space="preserve">26.2 </w:t>
            </w:r>
            <w:r w:rsidRPr="00A10498">
              <w:rPr>
                <w:rFonts w:cstheme="minorHAnsi"/>
                <w:kern w:val="0"/>
                <w14:ligatures w14:val="none"/>
              </w:rPr>
              <w:t>± 0.7</w:t>
            </w:r>
            <w:r w:rsidRPr="00A10498">
              <w:rPr>
                <w:rFonts w:cstheme="minorHAnsi"/>
                <w:kern w:val="0"/>
                <w:vertAlign w:val="superscript"/>
                <w14:ligatures w14:val="none"/>
              </w:rPr>
              <w:t xml:space="preserve"> ab</w:t>
            </w:r>
          </w:p>
        </w:tc>
        <w:tc>
          <w:tcPr>
            <w:tcW w:w="866" w:type="pct"/>
          </w:tcPr>
          <w:p w14:paraId="0C0BC6E0" w14:textId="77777777" w:rsidR="001B150D" w:rsidRDefault="001B150D" w:rsidP="004B3276">
            <w:pPr>
              <w:spacing w:after="0"/>
              <w:jc w:val="center"/>
              <w:rPr>
                <w:rFonts w:cstheme="minorHAnsi"/>
                <w:kern w:val="0"/>
                <w14:ligatures w14:val="none"/>
              </w:rPr>
            </w:pPr>
            <w:r>
              <w:rPr>
                <w:rFonts w:cstheme="minorHAnsi"/>
                <w:kern w:val="0"/>
                <w14:ligatures w14:val="none"/>
              </w:rPr>
              <w:t xml:space="preserve">24.7 </w:t>
            </w:r>
            <w:r w:rsidRPr="00A10498">
              <w:rPr>
                <w:rFonts w:cstheme="minorHAnsi"/>
                <w:kern w:val="0"/>
                <w14:ligatures w14:val="none"/>
              </w:rPr>
              <w:t>± 0.7</w:t>
            </w:r>
            <w:r>
              <w:rPr>
                <w:rFonts w:cstheme="minorHAnsi"/>
                <w:kern w:val="0"/>
                <w:vertAlign w:val="superscript"/>
                <w14:ligatures w14:val="none"/>
              </w:rPr>
              <w:t xml:space="preserve"> b</w:t>
            </w:r>
          </w:p>
        </w:tc>
        <w:tc>
          <w:tcPr>
            <w:tcW w:w="866" w:type="pct"/>
          </w:tcPr>
          <w:p w14:paraId="3AD931F4" w14:textId="77777777" w:rsidR="001B150D" w:rsidRDefault="001B150D" w:rsidP="004B3276">
            <w:pPr>
              <w:spacing w:after="0"/>
              <w:jc w:val="center"/>
              <w:rPr>
                <w:rFonts w:cstheme="minorHAnsi"/>
                <w:kern w:val="0"/>
                <w14:ligatures w14:val="none"/>
              </w:rPr>
            </w:pPr>
            <w:r>
              <w:rPr>
                <w:rFonts w:cstheme="minorHAnsi"/>
                <w:kern w:val="0"/>
                <w14:ligatures w14:val="none"/>
              </w:rPr>
              <w:t>0.041</w:t>
            </w:r>
          </w:p>
        </w:tc>
      </w:tr>
    </w:tbl>
    <w:p w14:paraId="6C417559" w14:textId="77777777" w:rsidR="001B150D" w:rsidRDefault="001B150D" w:rsidP="001B150D">
      <w:r>
        <w:t xml:space="preserve"> </w:t>
      </w:r>
    </w:p>
    <w:p w14:paraId="263FC76D" w14:textId="77777777" w:rsidR="001B150D" w:rsidRPr="000B3459" w:rsidRDefault="001B150D" w:rsidP="001B150D">
      <w:pPr>
        <w:rPr>
          <w:kern w:val="0"/>
          <w14:ligatures w14:val="none"/>
        </w:rPr>
      </w:pPr>
      <w:r w:rsidRPr="000B3459">
        <w:rPr>
          <w:noProof/>
          <w:kern w:val="0"/>
          <w:lang w:eastAsia="en-AU"/>
          <w14:ligatures w14:val="none"/>
        </w:rPr>
        <w:drawing>
          <wp:inline distT="0" distB="0" distL="0" distR="0" wp14:anchorId="42A31DD5" wp14:editId="06BC43F5">
            <wp:extent cx="4572000" cy="2743200"/>
            <wp:effectExtent l="0" t="0" r="0" b="0"/>
            <wp:docPr id="227" name="Chart 22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7D2703E" w14:textId="77777777" w:rsidR="001B150D" w:rsidRPr="000B3459" w:rsidRDefault="001B150D" w:rsidP="001B150D">
      <w:pPr>
        <w:spacing w:after="200" w:line="240" w:lineRule="auto"/>
        <w:rPr>
          <w:rFonts w:cstheme="minorHAnsi"/>
          <w:b/>
          <w:iCs/>
          <w:kern w:val="0"/>
          <w14:ligatures w14:val="none"/>
        </w:rPr>
      </w:pPr>
      <w:r w:rsidRPr="000B3459">
        <w:rPr>
          <w:rFonts w:cstheme="minorHAnsi"/>
          <w:b/>
          <w:iCs/>
          <w:kern w:val="0"/>
          <w14:ligatures w14:val="none"/>
        </w:rPr>
        <w:t xml:space="preserve">Figure </w:t>
      </w:r>
      <w:r>
        <w:rPr>
          <w:rFonts w:cstheme="minorHAnsi"/>
          <w:b/>
          <w:iCs/>
          <w:kern w:val="0"/>
          <w14:ligatures w14:val="none"/>
        </w:rPr>
        <w:t>2</w:t>
      </w:r>
      <w:r w:rsidRPr="000B3459">
        <w:rPr>
          <w:rFonts w:cstheme="minorHAnsi"/>
          <w:b/>
          <w:iCs/>
          <w:kern w:val="0"/>
          <w14:ligatures w14:val="none"/>
        </w:rPr>
        <w:t xml:space="preserve">. Comparison of the CT scan estimated proportion of fat and lean tissue in the </w:t>
      </w:r>
      <w:r>
        <w:rPr>
          <w:rFonts w:cstheme="minorHAnsi"/>
          <w:b/>
          <w:iCs/>
          <w:kern w:val="0"/>
          <w14:ligatures w14:val="none"/>
        </w:rPr>
        <w:t xml:space="preserve">lamb </w:t>
      </w:r>
      <w:r w:rsidRPr="000B3459">
        <w:rPr>
          <w:rFonts w:cstheme="minorHAnsi"/>
          <w:b/>
          <w:iCs/>
          <w:kern w:val="0"/>
          <w14:ligatures w14:val="none"/>
        </w:rPr>
        <w:t>carcas</w:t>
      </w:r>
      <w:r>
        <w:rPr>
          <w:rFonts w:cstheme="minorHAnsi"/>
          <w:b/>
          <w:iCs/>
          <w:kern w:val="0"/>
          <w14:ligatures w14:val="none"/>
        </w:rPr>
        <w:t>e</w:t>
      </w:r>
      <w:r w:rsidRPr="000B3459">
        <w:rPr>
          <w:rFonts w:cstheme="minorHAnsi"/>
          <w:b/>
          <w:iCs/>
          <w:kern w:val="0"/>
          <w14:ligatures w14:val="none"/>
        </w:rPr>
        <w:t xml:space="preserve"> and tissue proportions determined by DEXA scans </w:t>
      </w:r>
      <w:r>
        <w:rPr>
          <w:rFonts w:cstheme="minorHAnsi"/>
          <w:b/>
          <w:iCs/>
          <w:kern w:val="0"/>
          <w14:ligatures w14:val="none"/>
        </w:rPr>
        <w:t>of carcases after</w:t>
      </w:r>
      <w:r w:rsidRPr="000B3459">
        <w:rPr>
          <w:rFonts w:cstheme="minorHAnsi"/>
          <w:b/>
          <w:iCs/>
          <w:kern w:val="0"/>
          <w14:ligatures w14:val="none"/>
        </w:rPr>
        <w:t xml:space="preserve"> slaughter</w:t>
      </w:r>
    </w:p>
    <w:p w14:paraId="2C62A334" w14:textId="77777777" w:rsidR="001B150D" w:rsidRDefault="007B30E3" w:rsidP="001B150D">
      <w:r>
        <w:rPr>
          <w:b/>
          <w:bCs/>
          <w:lang w:val="en-US"/>
        </w:rPr>
        <w:t>Conclusions</w:t>
      </w:r>
      <w:r w:rsidR="001B150D">
        <w:rPr>
          <w:b/>
          <w:bCs/>
          <w:lang w:val="en-US"/>
        </w:rPr>
        <w:t xml:space="preserve"> </w:t>
      </w:r>
      <w:r w:rsidR="001B150D">
        <w:t>Heavier liveweight at slaughter does not always result in greater non-visceral lean mass. Estimates of body composition on live lambs from CT scanning correlate well with DEXA measurements on carcasses post-slaughter.  CT scanning may therefore be a useful method for comparing treatments in lamb production experiments as it enables the prediction of carcase weights at multiple timepoints whilst accounting for the effects of diverse nutritional treatments on gut fill and visceral organ mass.</w:t>
      </w:r>
    </w:p>
    <w:p w14:paraId="5F1BCF71" w14:textId="77777777" w:rsidR="001B150D" w:rsidRDefault="001B150D" w:rsidP="001B150D">
      <w:r w:rsidRPr="00394013">
        <w:rPr>
          <w:b/>
          <w:bCs/>
        </w:rPr>
        <w:t>Acknowledgements</w:t>
      </w:r>
      <w:r>
        <w:t>. Research was funded by Charles Sturt University and MLA Donor Company. We thank A. Reid, P. Orchard and C. Draper for technical assistance and Gundagai Meat Processors for facilitating data collection at the abattoir.</w:t>
      </w:r>
    </w:p>
    <w:p w14:paraId="41A3C7EB" w14:textId="77777777" w:rsidR="007B30E3" w:rsidRDefault="007B30E3">
      <w:pPr>
        <w:rPr>
          <w:b/>
          <w:bCs/>
          <w:lang w:val="en-US"/>
        </w:rPr>
      </w:pPr>
    </w:p>
    <w:p w14:paraId="17321709" w14:textId="77777777" w:rsidR="001B150D" w:rsidRDefault="001B150D">
      <w:pPr>
        <w:rPr>
          <w:b/>
          <w:bCs/>
          <w:lang w:val="en-US"/>
        </w:rPr>
      </w:pPr>
    </w:p>
    <w:p w14:paraId="0ADB320F" w14:textId="4210BD11" w:rsidR="007B30E3" w:rsidRDefault="007B30E3">
      <w:pPr>
        <w:rPr>
          <w:b/>
          <w:bCs/>
          <w:lang w:val="en-US"/>
        </w:rPr>
      </w:pPr>
      <w:r>
        <w:rPr>
          <w:b/>
          <w:bCs/>
          <w:lang w:val="en-US"/>
        </w:rPr>
        <w:lastRenderedPageBreak/>
        <w:t>References</w:t>
      </w:r>
    </w:p>
    <w:p w14:paraId="4D862BF2" w14:textId="77777777" w:rsidR="001B150D" w:rsidRDefault="001B150D" w:rsidP="001B150D">
      <w:pPr>
        <w:rPr>
          <w:kern w:val="0"/>
          <w14:ligatures w14:val="none"/>
        </w:rPr>
      </w:pPr>
      <w:r w:rsidRPr="000C7F42">
        <w:rPr>
          <w:kern w:val="0"/>
          <w14:ligatures w14:val="none"/>
        </w:rPr>
        <w:t xml:space="preserve">Keogh, T.P., McGrath, S.R., Allworth, M.B., &amp; Oddy, V.H. 2023. </w:t>
      </w:r>
      <w:r w:rsidRPr="000C7F42">
        <w:rPr>
          <w:i/>
          <w:iCs/>
          <w:kern w:val="0"/>
          <w14:ligatures w14:val="none"/>
        </w:rPr>
        <w:t>Journal of Animal Science</w:t>
      </w:r>
      <w:r w:rsidRPr="000C7F42">
        <w:rPr>
          <w:kern w:val="0"/>
          <w14:ligatures w14:val="none"/>
        </w:rPr>
        <w:t>, </w:t>
      </w:r>
      <w:r w:rsidRPr="000C7F42">
        <w:rPr>
          <w:i/>
          <w:iCs/>
          <w:kern w:val="0"/>
          <w14:ligatures w14:val="none"/>
        </w:rPr>
        <w:t>101</w:t>
      </w:r>
      <w:r w:rsidRPr="000C7F42">
        <w:rPr>
          <w:kern w:val="0"/>
          <w14:ligatures w14:val="none"/>
        </w:rPr>
        <w:t>, skad095.</w:t>
      </w:r>
    </w:p>
    <w:p w14:paraId="2F50AED1" w14:textId="77777777" w:rsidR="001B150D" w:rsidRDefault="001B150D" w:rsidP="001B150D">
      <w:pPr>
        <w:rPr>
          <w:kern w:val="0"/>
          <w14:ligatures w14:val="none"/>
        </w:rPr>
      </w:pPr>
      <w:r w:rsidRPr="008B21B4">
        <w:rPr>
          <w:kern w:val="0"/>
          <w14:ligatures w14:val="none"/>
        </w:rPr>
        <w:t xml:space="preserve">Keogh, T.P., McGrath, S.R., Allworth, M.B., &amp; Oddy, V.H. 2024. </w:t>
      </w:r>
      <w:r w:rsidRPr="008B21B4">
        <w:rPr>
          <w:i/>
          <w:iCs/>
          <w:kern w:val="0"/>
          <w14:ligatures w14:val="none"/>
        </w:rPr>
        <w:t>Journal of Animal Science</w:t>
      </w:r>
      <w:r w:rsidRPr="008B21B4">
        <w:rPr>
          <w:kern w:val="0"/>
          <w14:ligatures w14:val="none"/>
        </w:rPr>
        <w:t>, </w:t>
      </w:r>
      <w:r w:rsidRPr="008B21B4">
        <w:rPr>
          <w:i/>
          <w:iCs/>
          <w:kern w:val="0"/>
          <w14:ligatures w14:val="none"/>
        </w:rPr>
        <w:t>102</w:t>
      </w:r>
      <w:r w:rsidRPr="008B21B4">
        <w:rPr>
          <w:kern w:val="0"/>
          <w14:ligatures w14:val="none"/>
        </w:rPr>
        <w:t>, skae216.</w:t>
      </w:r>
    </w:p>
    <w:p w14:paraId="454F61D7" w14:textId="77777777" w:rsidR="001B150D" w:rsidRPr="00B32AC0" w:rsidRDefault="001B150D" w:rsidP="001B150D">
      <w:pPr>
        <w:rPr>
          <w:kern w:val="0"/>
          <w14:ligatures w14:val="none"/>
        </w:rPr>
      </w:pPr>
      <w:r w:rsidRPr="00483708">
        <w:rPr>
          <w:kern w:val="0"/>
          <w14:ligatures w14:val="none"/>
        </w:rPr>
        <w:t xml:space="preserve">Oddy, V.H., Dougherty, J.C., Evered, M., Clayton, E.H., &amp; </w:t>
      </w:r>
      <w:proofErr w:type="spellStart"/>
      <w:r w:rsidRPr="00483708">
        <w:rPr>
          <w:kern w:val="0"/>
          <w14:ligatures w14:val="none"/>
        </w:rPr>
        <w:t>Oltjen</w:t>
      </w:r>
      <w:proofErr w:type="spellEnd"/>
      <w:r w:rsidRPr="00483708">
        <w:rPr>
          <w:kern w:val="0"/>
          <w14:ligatures w14:val="none"/>
        </w:rPr>
        <w:t>, J.W. 2024. </w:t>
      </w:r>
      <w:r w:rsidRPr="00483708">
        <w:rPr>
          <w:i/>
          <w:iCs/>
          <w:kern w:val="0"/>
          <w14:ligatures w14:val="none"/>
        </w:rPr>
        <w:t>Journal of Animal Science</w:t>
      </w:r>
      <w:r w:rsidRPr="00483708">
        <w:rPr>
          <w:kern w:val="0"/>
          <w14:ligatures w14:val="none"/>
        </w:rPr>
        <w:t>, </w:t>
      </w:r>
      <w:r w:rsidRPr="00483708">
        <w:rPr>
          <w:i/>
          <w:iCs/>
          <w:kern w:val="0"/>
          <w14:ligatures w14:val="none"/>
        </w:rPr>
        <w:t>102</w:t>
      </w:r>
      <w:r w:rsidRPr="00483708">
        <w:rPr>
          <w:kern w:val="0"/>
          <w14:ligatures w14:val="none"/>
        </w:rPr>
        <w:t>, skad403.</w:t>
      </w:r>
    </w:p>
    <w:p w14:paraId="611A6AF5" w14:textId="11694DC0" w:rsidR="001B150D" w:rsidRPr="007B30E3" w:rsidRDefault="001B150D" w:rsidP="001B150D">
      <w:pPr>
        <w:rPr>
          <w:b/>
          <w:bCs/>
          <w:lang w:val="en-US"/>
        </w:rPr>
      </w:pPr>
      <w:r w:rsidRPr="00454456">
        <w:rPr>
          <w:kern w:val="0"/>
          <w14:ligatures w14:val="none"/>
        </w:rPr>
        <w:t xml:space="preserve">Oddy, V.H., Dougherty, H.C., &amp; </w:t>
      </w:r>
      <w:proofErr w:type="spellStart"/>
      <w:r w:rsidRPr="00454456">
        <w:rPr>
          <w:kern w:val="0"/>
          <w14:ligatures w14:val="none"/>
        </w:rPr>
        <w:t>Oltjen</w:t>
      </w:r>
      <w:proofErr w:type="spellEnd"/>
      <w:r w:rsidRPr="00454456">
        <w:rPr>
          <w:kern w:val="0"/>
          <w14:ligatures w14:val="none"/>
        </w:rPr>
        <w:t>, J.W. 2019</w:t>
      </w:r>
      <w:r>
        <w:rPr>
          <w:kern w:val="0"/>
          <w14:ligatures w14:val="none"/>
        </w:rPr>
        <w:t xml:space="preserve">. </w:t>
      </w:r>
      <w:r w:rsidRPr="00454456">
        <w:rPr>
          <w:kern w:val="0"/>
          <w14:ligatures w14:val="none"/>
        </w:rPr>
        <w:t> </w:t>
      </w:r>
      <w:r w:rsidRPr="00454456">
        <w:rPr>
          <w:i/>
          <w:iCs/>
          <w:kern w:val="0"/>
          <w14:ligatures w14:val="none"/>
        </w:rPr>
        <w:t>Animal Production Science</w:t>
      </w:r>
      <w:r w:rsidRPr="00454456">
        <w:rPr>
          <w:kern w:val="0"/>
          <w14:ligatures w14:val="none"/>
        </w:rPr>
        <w:t>, </w:t>
      </w:r>
      <w:r w:rsidRPr="00454456">
        <w:rPr>
          <w:i/>
          <w:iCs/>
          <w:kern w:val="0"/>
          <w14:ligatures w14:val="none"/>
        </w:rPr>
        <w:t>59</w:t>
      </w:r>
      <w:r w:rsidRPr="00454456">
        <w:rPr>
          <w:kern w:val="0"/>
          <w14:ligatures w14:val="none"/>
        </w:rPr>
        <w:t>(11), 1970-1979.</w:t>
      </w:r>
    </w:p>
    <w:sectPr w:rsidR="001B150D" w:rsidRPr="007B30E3"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1890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E3"/>
    <w:rsid w:val="001B150D"/>
    <w:rsid w:val="00383DCD"/>
    <w:rsid w:val="00397193"/>
    <w:rsid w:val="00625B14"/>
    <w:rsid w:val="007B30E3"/>
    <w:rsid w:val="00933E8C"/>
    <w:rsid w:val="00B52E4E"/>
    <w:rsid w:val="00C53AE2"/>
    <w:rsid w:val="00C95030"/>
    <w:rsid w:val="00DD21B5"/>
    <w:rsid w:val="00E2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Users\tkeogh04\Documents\PHD\Grass%20v%20feedlot%20trial\Slaughter%20comparis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tx>
            <c:strRef>
              <c:f>Sheet1!$V$1</c:f>
              <c:strCache>
                <c:ptCount val="1"/>
                <c:pt idx="0">
                  <c:v>Fat</c:v>
                </c:pt>
              </c:strCache>
            </c:strRef>
          </c:tx>
          <c:spPr>
            <a:ln w="19050" cap="rnd">
              <a:noFill/>
              <a:round/>
            </a:ln>
            <a:effectLst/>
          </c:spPr>
          <c:marker>
            <c:symbol val="circle"/>
            <c:size val="5"/>
            <c:spPr>
              <a:noFill/>
              <a:ln w="9525">
                <a:solidFill>
                  <a:schemeClr val="tx1"/>
                </a:solidFill>
              </a:ln>
              <a:effectLst/>
            </c:spPr>
          </c:marker>
          <c:trendline>
            <c:spPr>
              <a:ln w="19050" cap="rnd">
                <a:noFill/>
                <a:prstDash val="sysDot"/>
              </a:ln>
              <a:effectLst/>
            </c:spPr>
            <c:trendlineType val="linear"/>
            <c:dispRSqr val="0"/>
            <c:dispEq val="0"/>
          </c:trendline>
          <c:trendline>
            <c:name>Fat</c:name>
            <c:spPr>
              <a:ln w="19050" cap="rnd">
                <a:solidFill>
                  <a:schemeClr val="tx1"/>
                </a:solidFill>
                <a:prstDash val="sysDot"/>
              </a:ln>
              <a:effectLst/>
            </c:spPr>
            <c:trendlineType val="linear"/>
            <c:forward val="5"/>
            <c:backward val="5"/>
            <c:dispRSqr val="1"/>
            <c:dispEq val="1"/>
            <c:trendlineLbl>
              <c:layout>
                <c:manualLayout>
                  <c:x val="7.8658355205599356E-2"/>
                  <c:y val="0.18963363954505688"/>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rendlineLbl>
          </c:trendline>
          <c:xVal>
            <c:numRef>
              <c:f>Sheet1!$U$2:$U$49</c:f>
              <c:numCache>
                <c:formatCode>General</c:formatCode>
                <c:ptCount val="48"/>
                <c:pt idx="0">
                  <c:v>29.080488894766344</c:v>
                </c:pt>
                <c:pt idx="1">
                  <c:v>30.751172853108272</c:v>
                </c:pt>
                <c:pt idx="2">
                  <c:v>35.391354691068635</c:v>
                </c:pt>
                <c:pt idx="3">
                  <c:v>35.058635796928947</c:v>
                </c:pt>
                <c:pt idx="4">
                  <c:v>32.157307413028484</c:v>
                </c:pt>
                <c:pt idx="5">
                  <c:v>32.441959737404389</c:v>
                </c:pt>
                <c:pt idx="6">
                  <c:v>33.162441550363731</c:v>
                </c:pt>
                <c:pt idx="7">
                  <c:v>31.52795373655951</c:v>
                </c:pt>
                <c:pt idx="8">
                  <c:v>40.905345844007194</c:v>
                </c:pt>
                <c:pt idx="9">
                  <c:v>29.355868829686059</c:v>
                </c:pt>
                <c:pt idx="10">
                  <c:v>34.937345571924233</c:v>
                </c:pt>
                <c:pt idx="11">
                  <c:v>28.852679642274904</c:v>
                </c:pt>
                <c:pt idx="12">
                  <c:v>35.858848154468205</c:v>
                </c:pt>
                <c:pt idx="13">
                  <c:v>29.531704372322366</c:v>
                </c:pt>
                <c:pt idx="14">
                  <c:v>33.086095131950401</c:v>
                </c:pt>
                <c:pt idx="15">
                  <c:v>28.110018750075387</c:v>
                </c:pt>
                <c:pt idx="16">
                  <c:v>37.665076668125444</c:v>
                </c:pt>
                <c:pt idx="17">
                  <c:v>34.283164665127742</c:v>
                </c:pt>
                <c:pt idx="18">
                  <c:v>27.470375235212487</c:v>
                </c:pt>
                <c:pt idx="19">
                  <c:v>28.949208488164768</c:v>
                </c:pt>
                <c:pt idx="20">
                  <c:v>30.920079416912422</c:v>
                </c:pt>
                <c:pt idx="21">
                  <c:v>31.93122496434686</c:v>
                </c:pt>
                <c:pt idx="22">
                  <c:v>32.879851902175432</c:v>
                </c:pt>
                <c:pt idx="23">
                  <c:v>36.514278017751813</c:v>
                </c:pt>
                <c:pt idx="24">
                  <c:v>32.629569212887702</c:v>
                </c:pt>
                <c:pt idx="25">
                  <c:v>39.731429918978861</c:v>
                </c:pt>
                <c:pt idx="26">
                  <c:v>33.20400789983276</c:v>
                </c:pt>
                <c:pt idx="27">
                  <c:v>31.618623031454085</c:v>
                </c:pt>
                <c:pt idx="28">
                  <c:v>24.733509216540348</c:v>
                </c:pt>
                <c:pt idx="29">
                  <c:v>39.262445879937538</c:v>
                </c:pt>
                <c:pt idx="30">
                  <c:v>24.296122075053464</c:v>
                </c:pt>
                <c:pt idx="31">
                  <c:v>23.757488824610441</c:v>
                </c:pt>
                <c:pt idx="32">
                  <c:v>38.955356268412316</c:v>
                </c:pt>
                <c:pt idx="33">
                  <c:v>35.359118104534367</c:v>
                </c:pt>
                <c:pt idx="34">
                  <c:v>21.02650265814577</c:v>
                </c:pt>
                <c:pt idx="35">
                  <c:v>33.117900131338828</c:v>
                </c:pt>
                <c:pt idx="36">
                  <c:v>37.871339542649984</c:v>
                </c:pt>
                <c:pt idx="37">
                  <c:v>27.314789509779825</c:v>
                </c:pt>
                <c:pt idx="38">
                  <c:v>29.667869026458725</c:v>
                </c:pt>
                <c:pt idx="39">
                  <c:v>26.272521024020772</c:v>
                </c:pt>
                <c:pt idx="40">
                  <c:v>26.528195122139952</c:v>
                </c:pt>
                <c:pt idx="41">
                  <c:v>32.962432227996615</c:v>
                </c:pt>
                <c:pt idx="42">
                  <c:v>29.985357086388355</c:v>
                </c:pt>
                <c:pt idx="43">
                  <c:v>25.021595667267626</c:v>
                </c:pt>
                <c:pt idx="44">
                  <c:v>30.931177000018049</c:v>
                </c:pt>
                <c:pt idx="45">
                  <c:v>24.315899732059176</c:v>
                </c:pt>
                <c:pt idx="46">
                  <c:v>37.768922596993107</c:v>
                </c:pt>
                <c:pt idx="47">
                  <c:v>19.968037927262436</c:v>
                </c:pt>
              </c:numCache>
            </c:numRef>
          </c:xVal>
          <c:yVal>
            <c:numRef>
              <c:f>Sheet1!$V$2:$V$49</c:f>
              <c:numCache>
                <c:formatCode>General</c:formatCode>
                <c:ptCount val="48"/>
                <c:pt idx="0">
                  <c:v>30.6</c:v>
                </c:pt>
                <c:pt idx="1">
                  <c:v>33.299999999999997</c:v>
                </c:pt>
                <c:pt idx="2">
                  <c:v>36</c:v>
                </c:pt>
                <c:pt idx="3">
                  <c:v>37.4</c:v>
                </c:pt>
                <c:pt idx="4">
                  <c:v>35.200000000000003</c:v>
                </c:pt>
                <c:pt idx="5">
                  <c:v>34.799999999999997</c:v>
                </c:pt>
                <c:pt idx="6">
                  <c:v>35.9</c:v>
                </c:pt>
                <c:pt idx="7">
                  <c:v>34.200000000000003</c:v>
                </c:pt>
                <c:pt idx="8">
                  <c:v>40.1</c:v>
                </c:pt>
                <c:pt idx="9">
                  <c:v>34.299999999999997</c:v>
                </c:pt>
                <c:pt idx="10">
                  <c:v>35.4</c:v>
                </c:pt>
                <c:pt idx="11">
                  <c:v>31.9</c:v>
                </c:pt>
                <c:pt idx="12">
                  <c:v>35.9</c:v>
                </c:pt>
                <c:pt idx="13">
                  <c:v>31.6</c:v>
                </c:pt>
                <c:pt idx="14">
                  <c:v>35.4</c:v>
                </c:pt>
                <c:pt idx="15">
                  <c:v>32.6</c:v>
                </c:pt>
                <c:pt idx="16">
                  <c:v>38</c:v>
                </c:pt>
                <c:pt idx="17">
                  <c:v>37.1</c:v>
                </c:pt>
                <c:pt idx="18">
                  <c:v>32.4</c:v>
                </c:pt>
                <c:pt idx="19">
                  <c:v>34</c:v>
                </c:pt>
                <c:pt idx="20">
                  <c:v>34.5</c:v>
                </c:pt>
                <c:pt idx="21">
                  <c:v>36</c:v>
                </c:pt>
                <c:pt idx="22">
                  <c:v>35.700000000000003</c:v>
                </c:pt>
                <c:pt idx="23">
                  <c:v>33.4</c:v>
                </c:pt>
                <c:pt idx="24">
                  <c:v>34.6</c:v>
                </c:pt>
                <c:pt idx="25">
                  <c:v>37.799999999999997</c:v>
                </c:pt>
                <c:pt idx="26">
                  <c:v>35.200000000000003</c:v>
                </c:pt>
                <c:pt idx="27">
                  <c:v>34</c:v>
                </c:pt>
                <c:pt idx="28">
                  <c:v>32.5</c:v>
                </c:pt>
                <c:pt idx="29">
                  <c:v>37.9</c:v>
                </c:pt>
                <c:pt idx="30">
                  <c:v>33.299999999999997</c:v>
                </c:pt>
                <c:pt idx="31">
                  <c:v>31.2</c:v>
                </c:pt>
                <c:pt idx="32">
                  <c:v>37.9</c:v>
                </c:pt>
                <c:pt idx="33">
                  <c:v>35.1</c:v>
                </c:pt>
                <c:pt idx="34">
                  <c:v>30.3</c:v>
                </c:pt>
                <c:pt idx="35">
                  <c:v>35.6</c:v>
                </c:pt>
                <c:pt idx="36">
                  <c:v>37.200000000000003</c:v>
                </c:pt>
                <c:pt idx="37">
                  <c:v>30.1</c:v>
                </c:pt>
                <c:pt idx="38">
                  <c:v>34.5</c:v>
                </c:pt>
                <c:pt idx="39">
                  <c:v>29.6</c:v>
                </c:pt>
                <c:pt idx="40">
                  <c:v>30.8</c:v>
                </c:pt>
                <c:pt idx="41">
                  <c:v>35.6</c:v>
                </c:pt>
                <c:pt idx="42">
                  <c:v>34</c:v>
                </c:pt>
                <c:pt idx="43">
                  <c:v>31.5</c:v>
                </c:pt>
                <c:pt idx="44">
                  <c:v>33.4</c:v>
                </c:pt>
                <c:pt idx="45">
                  <c:v>27.8</c:v>
                </c:pt>
                <c:pt idx="46">
                  <c:v>36.700000000000003</c:v>
                </c:pt>
                <c:pt idx="47">
                  <c:v>27</c:v>
                </c:pt>
              </c:numCache>
            </c:numRef>
          </c:yVal>
          <c:smooth val="0"/>
          <c:extLst>
            <c:ext xmlns:c16="http://schemas.microsoft.com/office/drawing/2014/chart" uri="{C3380CC4-5D6E-409C-BE32-E72D297353CC}">
              <c16:uniqueId val="{00000002-4F76-4E5D-8AAD-0C50B72DD6DE}"/>
            </c:ext>
          </c:extLst>
        </c:ser>
        <c:ser>
          <c:idx val="1"/>
          <c:order val="1"/>
          <c:tx>
            <c:strRef>
              <c:f>Sheet1!$Z$1</c:f>
              <c:strCache>
                <c:ptCount val="1"/>
                <c:pt idx="0">
                  <c:v>Lean</c:v>
                </c:pt>
              </c:strCache>
            </c:strRef>
          </c:tx>
          <c:spPr>
            <a:ln w="25400" cap="rnd">
              <a:noFill/>
              <a:round/>
            </a:ln>
            <a:effectLst/>
          </c:spPr>
          <c:marker>
            <c:symbol val="circle"/>
            <c:size val="5"/>
            <c:spPr>
              <a:solidFill>
                <a:schemeClr val="tx1"/>
              </a:solidFill>
              <a:ln w="9525">
                <a:solidFill>
                  <a:schemeClr val="tx1"/>
                </a:solidFill>
              </a:ln>
              <a:effectLst/>
            </c:spPr>
          </c:marker>
          <c:trendline>
            <c:spPr>
              <a:ln w="19050" cap="rnd">
                <a:solidFill>
                  <a:schemeClr val="tx1"/>
                </a:solidFill>
                <a:prstDash val="solid"/>
              </a:ln>
              <a:effectLst/>
            </c:spPr>
            <c:trendlineType val="linear"/>
            <c:forward val="5"/>
            <c:backward val="5"/>
            <c:dispRSqr val="1"/>
            <c:dispEq val="1"/>
            <c:trendlineLbl>
              <c:layout>
                <c:manualLayout>
                  <c:x val="0.14214173228346458"/>
                  <c:y val="0.1478740157480315"/>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rendlineLbl>
          </c:trendline>
          <c:xVal>
            <c:numRef>
              <c:f>Sheet1!$Y$2:$Y$49</c:f>
              <c:numCache>
                <c:formatCode>General</c:formatCode>
                <c:ptCount val="48"/>
                <c:pt idx="0">
                  <c:v>57.504566531346846</c:v>
                </c:pt>
                <c:pt idx="1">
                  <c:v>55.732992642309107</c:v>
                </c:pt>
                <c:pt idx="2">
                  <c:v>52.50185747875863</c:v>
                </c:pt>
                <c:pt idx="3">
                  <c:v>52.88455220300137</c:v>
                </c:pt>
                <c:pt idx="4">
                  <c:v>55.127230641521365</c:v>
                </c:pt>
                <c:pt idx="5">
                  <c:v>55.008894540603357</c:v>
                </c:pt>
                <c:pt idx="6">
                  <c:v>54.515311854446978</c:v>
                </c:pt>
                <c:pt idx="7">
                  <c:v>54.381862823112613</c:v>
                </c:pt>
                <c:pt idx="8">
                  <c:v>47.114951743164454</c:v>
                </c:pt>
                <c:pt idx="9">
                  <c:v>57.451366664226313</c:v>
                </c:pt>
                <c:pt idx="10">
                  <c:v>53.364127394952767</c:v>
                </c:pt>
                <c:pt idx="11">
                  <c:v>57.718265973564996</c:v>
                </c:pt>
                <c:pt idx="12">
                  <c:v>52.579846055914913</c:v>
                </c:pt>
                <c:pt idx="13">
                  <c:v>56.407629353447184</c:v>
                </c:pt>
                <c:pt idx="14">
                  <c:v>54.540829191884477</c:v>
                </c:pt>
                <c:pt idx="15">
                  <c:v>59.136332400827563</c:v>
                </c:pt>
                <c:pt idx="16">
                  <c:v>50.153459492221316</c:v>
                </c:pt>
                <c:pt idx="17">
                  <c:v>54.159241157665214</c:v>
                </c:pt>
                <c:pt idx="18">
                  <c:v>58.999457272988742</c:v>
                </c:pt>
                <c:pt idx="19">
                  <c:v>58.972749097833443</c:v>
                </c:pt>
                <c:pt idx="20">
                  <c:v>57.768480148765313</c:v>
                </c:pt>
                <c:pt idx="21">
                  <c:v>55.985999276579015</c:v>
                </c:pt>
                <c:pt idx="22">
                  <c:v>50.222324619492596</c:v>
                </c:pt>
                <c:pt idx="23">
                  <c:v>51.414991233077266</c:v>
                </c:pt>
                <c:pt idx="24">
                  <c:v>55.045008389111331</c:v>
                </c:pt>
                <c:pt idx="25">
                  <c:v>48.148877014865924</c:v>
                </c:pt>
                <c:pt idx="26">
                  <c:v>54.920089682962384</c:v>
                </c:pt>
                <c:pt idx="27">
                  <c:v>55.683165312117801</c:v>
                </c:pt>
                <c:pt idx="28">
                  <c:v>61.486636289742258</c:v>
                </c:pt>
                <c:pt idx="29">
                  <c:v>48.755084321028406</c:v>
                </c:pt>
                <c:pt idx="30">
                  <c:v>62.993032988482547</c:v>
                </c:pt>
                <c:pt idx="31">
                  <c:v>63.294780249630854</c:v>
                </c:pt>
                <c:pt idx="32">
                  <c:v>48.625273191609104</c:v>
                </c:pt>
                <c:pt idx="33">
                  <c:v>52.093728519623582</c:v>
                </c:pt>
                <c:pt idx="34">
                  <c:v>65.003260413044202</c:v>
                </c:pt>
                <c:pt idx="35">
                  <c:v>54.264258406123659</c:v>
                </c:pt>
                <c:pt idx="36">
                  <c:v>50.511938076051642</c:v>
                </c:pt>
                <c:pt idx="37">
                  <c:v>58.911883804208642</c:v>
                </c:pt>
                <c:pt idx="38">
                  <c:v>57.642846778002834</c:v>
                </c:pt>
                <c:pt idx="39">
                  <c:v>60.322013575416335</c:v>
                </c:pt>
                <c:pt idx="40">
                  <c:v>59.792736878477882</c:v>
                </c:pt>
                <c:pt idx="41">
                  <c:v>55.011576473042723</c:v>
                </c:pt>
                <c:pt idx="42">
                  <c:v>56.839981594722623</c:v>
                </c:pt>
                <c:pt idx="43">
                  <c:v>61.60552732388642</c:v>
                </c:pt>
                <c:pt idx="44">
                  <c:v>56.652983608288267</c:v>
                </c:pt>
                <c:pt idx="45">
                  <c:v>61.865769176121496</c:v>
                </c:pt>
                <c:pt idx="46">
                  <c:v>50.063782748068576</c:v>
                </c:pt>
                <c:pt idx="47">
                  <c:v>64.899864831777265</c:v>
                </c:pt>
              </c:numCache>
            </c:numRef>
          </c:xVal>
          <c:yVal>
            <c:numRef>
              <c:f>Sheet1!$Z$2:$Z$49</c:f>
              <c:numCache>
                <c:formatCode>General</c:formatCode>
                <c:ptCount val="48"/>
                <c:pt idx="0">
                  <c:v>55.3</c:v>
                </c:pt>
                <c:pt idx="1">
                  <c:v>53.3</c:v>
                </c:pt>
                <c:pt idx="2">
                  <c:v>51.4</c:v>
                </c:pt>
                <c:pt idx="3">
                  <c:v>50.5</c:v>
                </c:pt>
                <c:pt idx="4">
                  <c:v>51.9</c:v>
                </c:pt>
                <c:pt idx="5">
                  <c:v>52.4</c:v>
                </c:pt>
                <c:pt idx="6">
                  <c:v>51.7</c:v>
                </c:pt>
                <c:pt idx="7">
                  <c:v>52.6</c:v>
                </c:pt>
                <c:pt idx="8">
                  <c:v>48.6</c:v>
                </c:pt>
                <c:pt idx="9">
                  <c:v>52.6</c:v>
                </c:pt>
                <c:pt idx="10">
                  <c:v>51.9</c:v>
                </c:pt>
                <c:pt idx="11">
                  <c:v>54.2</c:v>
                </c:pt>
                <c:pt idx="12">
                  <c:v>51.5</c:v>
                </c:pt>
                <c:pt idx="13">
                  <c:v>54.4</c:v>
                </c:pt>
                <c:pt idx="14">
                  <c:v>51.7</c:v>
                </c:pt>
                <c:pt idx="15">
                  <c:v>54</c:v>
                </c:pt>
                <c:pt idx="16">
                  <c:v>50.1</c:v>
                </c:pt>
                <c:pt idx="17">
                  <c:v>50.8</c:v>
                </c:pt>
                <c:pt idx="18">
                  <c:v>54.1</c:v>
                </c:pt>
                <c:pt idx="19">
                  <c:v>53</c:v>
                </c:pt>
                <c:pt idx="20">
                  <c:v>52.4</c:v>
                </c:pt>
                <c:pt idx="21">
                  <c:v>51.5</c:v>
                </c:pt>
                <c:pt idx="22">
                  <c:v>49.7</c:v>
                </c:pt>
                <c:pt idx="23">
                  <c:v>53.2</c:v>
                </c:pt>
                <c:pt idx="24">
                  <c:v>52.4</c:v>
                </c:pt>
                <c:pt idx="25">
                  <c:v>50.2</c:v>
                </c:pt>
                <c:pt idx="26">
                  <c:v>51.9</c:v>
                </c:pt>
                <c:pt idx="27">
                  <c:v>52.9</c:v>
                </c:pt>
                <c:pt idx="28">
                  <c:v>53.9</c:v>
                </c:pt>
                <c:pt idx="29">
                  <c:v>50.2</c:v>
                </c:pt>
                <c:pt idx="30">
                  <c:v>53.7</c:v>
                </c:pt>
                <c:pt idx="31">
                  <c:v>55.1</c:v>
                </c:pt>
                <c:pt idx="32">
                  <c:v>49.9</c:v>
                </c:pt>
                <c:pt idx="33">
                  <c:v>52.1</c:v>
                </c:pt>
                <c:pt idx="34">
                  <c:v>55.7</c:v>
                </c:pt>
                <c:pt idx="35">
                  <c:v>51.8</c:v>
                </c:pt>
                <c:pt idx="36">
                  <c:v>50.7</c:v>
                </c:pt>
                <c:pt idx="37">
                  <c:v>55.4</c:v>
                </c:pt>
                <c:pt idx="38">
                  <c:v>52.6</c:v>
                </c:pt>
                <c:pt idx="39">
                  <c:v>55.9</c:v>
                </c:pt>
                <c:pt idx="40">
                  <c:v>55.2</c:v>
                </c:pt>
                <c:pt idx="41">
                  <c:v>51.4</c:v>
                </c:pt>
                <c:pt idx="42">
                  <c:v>52.8</c:v>
                </c:pt>
                <c:pt idx="43">
                  <c:v>54.8</c:v>
                </c:pt>
                <c:pt idx="44">
                  <c:v>53.3</c:v>
                </c:pt>
                <c:pt idx="45">
                  <c:v>57.3</c:v>
                </c:pt>
                <c:pt idx="46">
                  <c:v>50.9</c:v>
                </c:pt>
                <c:pt idx="47">
                  <c:v>57.8</c:v>
                </c:pt>
              </c:numCache>
            </c:numRef>
          </c:yVal>
          <c:smooth val="0"/>
          <c:extLst>
            <c:ext xmlns:c16="http://schemas.microsoft.com/office/drawing/2014/chart" uri="{C3380CC4-5D6E-409C-BE32-E72D297353CC}">
              <c16:uniqueId val="{00000004-4F76-4E5D-8AAD-0C50B72DD6DE}"/>
            </c:ext>
          </c:extLst>
        </c:ser>
        <c:dLbls>
          <c:showLegendKey val="0"/>
          <c:showVal val="0"/>
          <c:showCatName val="0"/>
          <c:showSerName val="0"/>
          <c:showPercent val="0"/>
          <c:showBubbleSize val="0"/>
        </c:dLbls>
        <c:axId val="553965920"/>
        <c:axId val="553966704"/>
      </c:scatterChart>
      <c:valAx>
        <c:axId val="55396592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AU">
                    <a:solidFill>
                      <a:sysClr val="windowText" lastClr="000000"/>
                    </a:solidFill>
                  </a:rPr>
                  <a:t>CT scan estimated carcass tissue proportion</a:t>
                </a:r>
                <a:r>
                  <a:rPr lang="en-AU" baseline="0">
                    <a:solidFill>
                      <a:sysClr val="windowText" lastClr="000000"/>
                    </a:solidFill>
                  </a:rPr>
                  <a:t> </a:t>
                </a:r>
                <a:r>
                  <a:rPr lang="en-AU">
                    <a:solidFill>
                      <a:sysClr val="windowText" lastClr="000000"/>
                    </a:solidFill>
                  </a:rPr>
                  <a:t>(%)</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53966704"/>
        <c:crosses val="autoZero"/>
        <c:crossBetween val="midCat"/>
      </c:valAx>
      <c:valAx>
        <c:axId val="5539667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solidFill>
                      <a:sysClr val="windowText" lastClr="000000"/>
                    </a:solidFill>
                  </a:rPr>
                  <a:t>DEXA carcass</a:t>
                </a:r>
                <a:r>
                  <a:rPr lang="en-AU" baseline="0">
                    <a:solidFill>
                      <a:sysClr val="windowText" lastClr="000000"/>
                    </a:solidFill>
                  </a:rPr>
                  <a:t> tissue proportion (%)</a:t>
                </a:r>
                <a:endParaRPr lang="en-AU">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53965920"/>
        <c:crosses val="autoZero"/>
        <c:crossBetween val="midCat"/>
      </c:valAx>
      <c:spPr>
        <a:noFill/>
        <a:ln>
          <a:noFill/>
        </a:ln>
        <a:effectLst/>
      </c:spPr>
    </c:plotArea>
    <c:legend>
      <c:legendPos val="r"/>
      <c:legendEntry>
        <c:idx val="2"/>
        <c:delete val="1"/>
      </c:legendEntry>
      <c:legendEntry>
        <c:idx val="3"/>
        <c:delete val="1"/>
      </c:legendEntry>
      <c:legendEntry>
        <c:idx val="4"/>
        <c:delete val="1"/>
      </c:legendEntry>
      <c:layout>
        <c:manualLayout>
          <c:xMode val="edge"/>
          <c:yMode val="edge"/>
          <c:x val="0.82446784776902893"/>
          <c:y val="0.53761519393409163"/>
          <c:w val="0.12275437445319336"/>
          <c:h val="0.16088072324292796"/>
        </c:manualLayout>
      </c:layout>
      <c:overlay val="1"/>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Props1.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3.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 ds:uri="563d7928-de39-40eb-aaef-3504eb7eef23"/>
    <ds:schemaRef ds:uri="a6522d93-ccde-437d-a793-b289ee708a2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887</Words>
  <Characters>5056</Characters>
  <Application>Microsoft Office Word</Application>
  <DocSecurity>0</DocSecurity>
  <Lines>42</Lines>
  <Paragraphs>11</Paragraphs>
  <ScaleCrop>false</ScaleCrop>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McGrath, Shawn</cp:lastModifiedBy>
  <cp:revision>2</cp:revision>
  <dcterms:created xsi:type="dcterms:W3CDTF">2024-11-18T10:36:00Z</dcterms:created>
  <dcterms:modified xsi:type="dcterms:W3CDTF">2024-11-18T10:36:00Z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ies>
</file>