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C79B" w14:textId="2D62BF00" w:rsidR="007B30E3" w:rsidRDefault="007B30E3">
      <w:pPr>
        <w:rPr>
          <w:b/>
          <w:bCs/>
          <w:lang w:val="en-US"/>
        </w:rPr>
      </w:pPr>
      <w:r>
        <w:rPr>
          <w:b/>
          <w:bCs/>
          <w:lang w:val="en-US"/>
        </w:rPr>
        <w:t>Application</w:t>
      </w:r>
    </w:p>
    <w:p w14:paraId="18C8C4F8" w14:textId="29BAD68A" w:rsidR="00640D10" w:rsidRPr="00783A03" w:rsidRDefault="00640D10" w:rsidP="00640D10">
      <w:pPr>
        <w:rPr>
          <w:rFonts w:ascii="Times New Roman" w:hAnsi="Times New Roman" w:cs="Times New Roman"/>
        </w:rPr>
      </w:pPr>
      <w:r>
        <w:rPr>
          <w:rFonts w:ascii="Times New Roman" w:hAnsi="Times New Roman" w:cs="Times New Roman"/>
        </w:rPr>
        <w:t>All monogastric species are affected by mycotoxins, produced by moulds found in feedstuffs and bedding. Clay based mycotoxin binders are</w:t>
      </w:r>
      <w:r w:rsidR="00071952">
        <w:rPr>
          <w:rFonts w:ascii="Times New Roman" w:hAnsi="Times New Roman" w:cs="Times New Roman"/>
        </w:rPr>
        <w:t xml:space="preserve"> commonly</w:t>
      </w:r>
      <w:r>
        <w:rPr>
          <w:rFonts w:ascii="Times New Roman" w:hAnsi="Times New Roman" w:cs="Times New Roman"/>
        </w:rPr>
        <w:t xml:space="preserve"> a low inclusion solution to mitigate the risk and effects on production and health. </w:t>
      </w:r>
    </w:p>
    <w:p w14:paraId="07C9ECB3" w14:textId="77777777" w:rsidR="007B30E3" w:rsidRDefault="007B30E3">
      <w:pPr>
        <w:rPr>
          <w:b/>
          <w:bCs/>
          <w:lang w:val="en-US"/>
        </w:rPr>
      </w:pPr>
    </w:p>
    <w:p w14:paraId="5E9F33D1" w14:textId="5CDACFAB" w:rsidR="007B30E3" w:rsidRDefault="007B30E3">
      <w:pPr>
        <w:rPr>
          <w:b/>
          <w:bCs/>
          <w:lang w:val="en-US"/>
        </w:rPr>
      </w:pPr>
      <w:r>
        <w:rPr>
          <w:b/>
          <w:bCs/>
          <w:lang w:val="en-US"/>
        </w:rPr>
        <w:t>Introduction</w:t>
      </w:r>
    </w:p>
    <w:p w14:paraId="06CE2711" w14:textId="2B38258D" w:rsidR="00071952" w:rsidRDefault="00640D10" w:rsidP="00640D10">
      <w:pPr>
        <w:rPr>
          <w:rFonts w:ascii="Times New Roman" w:hAnsi="Times New Roman" w:cs="Times New Roman"/>
        </w:rPr>
      </w:pPr>
      <w:r>
        <w:rPr>
          <w:rFonts w:ascii="Times New Roman" w:hAnsi="Times New Roman" w:cs="Times New Roman"/>
        </w:rPr>
        <w:t>Mycotoxins are the secondary metabolites of fungi and with the effects of climate change</w:t>
      </w:r>
      <w:r w:rsidR="00D12619">
        <w:rPr>
          <w:rFonts w:ascii="Times New Roman" w:hAnsi="Times New Roman" w:cs="Times New Roman"/>
        </w:rPr>
        <w:t xml:space="preserve"> </w:t>
      </w:r>
      <w:r w:rsidR="00D12619">
        <w:rPr>
          <w:rFonts w:ascii="Times New Roman" w:hAnsi="Times New Roman" w:cs="Times New Roman"/>
        </w:rPr>
        <w:t xml:space="preserve">(Hajnal </w:t>
      </w:r>
      <w:r w:rsidR="00D12619" w:rsidRPr="00230CB1">
        <w:rPr>
          <w:rFonts w:ascii="Times New Roman" w:hAnsi="Times New Roman" w:cs="Times New Roman"/>
          <w:i/>
          <w:iCs/>
        </w:rPr>
        <w:t>et al.,</w:t>
      </w:r>
      <w:r w:rsidR="00D12619">
        <w:rPr>
          <w:rFonts w:ascii="Times New Roman" w:hAnsi="Times New Roman" w:cs="Times New Roman"/>
        </w:rPr>
        <w:t xml:space="preserve"> 2023)</w:t>
      </w:r>
      <w:r>
        <w:rPr>
          <w:rFonts w:ascii="Times New Roman" w:hAnsi="Times New Roman" w:cs="Times New Roman"/>
        </w:rPr>
        <w:t xml:space="preserve"> are becoming increasingly prevalent in feed grains. In monogastrics, the effects of mycotoxin consumption include performance losses, damage to intestinal integrity, increased incidence of </w:t>
      </w:r>
      <w:r w:rsidR="00071952">
        <w:rPr>
          <w:rFonts w:ascii="Times New Roman" w:hAnsi="Times New Roman" w:cs="Times New Roman"/>
        </w:rPr>
        <w:t xml:space="preserve">uterine </w:t>
      </w:r>
      <w:r>
        <w:rPr>
          <w:rFonts w:ascii="Times New Roman" w:hAnsi="Times New Roman" w:cs="Times New Roman"/>
        </w:rPr>
        <w:t>prolapse and substantial increases in mortality</w:t>
      </w:r>
      <w:r w:rsidR="00071952">
        <w:rPr>
          <w:rFonts w:ascii="Times New Roman" w:hAnsi="Times New Roman" w:cs="Times New Roman"/>
        </w:rPr>
        <w:t>, leading to reduced overall health and animal performance.</w:t>
      </w:r>
    </w:p>
    <w:p w14:paraId="3280FB7A" w14:textId="4AA649C8" w:rsidR="00640D10" w:rsidRPr="00783A03" w:rsidRDefault="00640D10" w:rsidP="00640D10">
      <w:pPr>
        <w:rPr>
          <w:rFonts w:ascii="Times New Roman" w:hAnsi="Times New Roman" w:cs="Times New Roman"/>
        </w:rPr>
      </w:pPr>
      <w:r>
        <w:rPr>
          <w:rFonts w:ascii="Times New Roman" w:hAnsi="Times New Roman" w:cs="Times New Roman"/>
        </w:rPr>
        <w:t xml:space="preserve">With the impact of climate change it has been suggested that mycotoxin contamination is increasing (Hajnal </w:t>
      </w:r>
      <w:r w:rsidRPr="00230CB1">
        <w:rPr>
          <w:rFonts w:ascii="Times New Roman" w:hAnsi="Times New Roman" w:cs="Times New Roman"/>
          <w:i/>
          <w:iCs/>
        </w:rPr>
        <w:t>et al.,</w:t>
      </w:r>
      <w:r>
        <w:rPr>
          <w:rFonts w:ascii="Times New Roman" w:hAnsi="Times New Roman" w:cs="Times New Roman"/>
        </w:rPr>
        <w:t xml:space="preserve"> 2023), so identifying and implementing effective solutions is essential for sustainable animal </w:t>
      </w:r>
      <w:r w:rsidR="00071952">
        <w:rPr>
          <w:rFonts w:ascii="Times New Roman" w:hAnsi="Times New Roman" w:cs="Times New Roman"/>
        </w:rPr>
        <w:t xml:space="preserve">health and </w:t>
      </w:r>
      <w:r>
        <w:rPr>
          <w:rFonts w:ascii="Times New Roman" w:hAnsi="Times New Roman" w:cs="Times New Roman"/>
        </w:rPr>
        <w:t xml:space="preserve">production. </w:t>
      </w:r>
      <w:r w:rsidR="00071952">
        <w:rPr>
          <w:rFonts w:ascii="Times New Roman" w:hAnsi="Times New Roman" w:cs="Times New Roman"/>
        </w:rPr>
        <w:t>In-feed m</w:t>
      </w:r>
      <w:r w:rsidRPr="00783A03">
        <w:rPr>
          <w:rFonts w:ascii="Times New Roman" w:hAnsi="Times New Roman" w:cs="Times New Roman"/>
        </w:rPr>
        <w:t>ycotoxin binders are a viable and cost-effective strategy for limiting animal exposure to mycotoxins. To assess the efficacy of different</w:t>
      </w:r>
      <w:r w:rsidR="00071952">
        <w:rPr>
          <w:rFonts w:ascii="Times New Roman" w:hAnsi="Times New Roman" w:cs="Times New Roman"/>
        </w:rPr>
        <w:t xml:space="preserve"> types of</w:t>
      </w:r>
      <w:r w:rsidR="00D12619">
        <w:rPr>
          <w:rFonts w:ascii="Times New Roman" w:hAnsi="Times New Roman" w:cs="Times New Roman"/>
        </w:rPr>
        <w:t xml:space="preserve"> proprietary clay-based</w:t>
      </w:r>
      <w:r w:rsidRPr="00783A03">
        <w:rPr>
          <w:rFonts w:ascii="Times New Roman" w:hAnsi="Times New Roman" w:cs="Times New Roman"/>
        </w:rPr>
        <w:t xml:space="preserve"> mycotoxin binders</w:t>
      </w:r>
      <w:r w:rsidR="00D12619">
        <w:rPr>
          <w:rFonts w:ascii="Times New Roman" w:hAnsi="Times New Roman" w:cs="Times New Roman"/>
        </w:rPr>
        <w:t xml:space="preserve"> in comparison to a commercially available bentonite</w:t>
      </w:r>
      <w:r w:rsidRPr="00783A03">
        <w:rPr>
          <w:rFonts w:ascii="Times New Roman" w:hAnsi="Times New Roman" w:cs="Times New Roman"/>
        </w:rPr>
        <w:t xml:space="preserve">, an </w:t>
      </w:r>
      <w:r w:rsidRPr="00783A03">
        <w:rPr>
          <w:rFonts w:ascii="Times New Roman" w:hAnsi="Times New Roman" w:cs="Times New Roman"/>
          <w:i/>
          <w:iCs/>
        </w:rPr>
        <w:t>in vitro</w:t>
      </w:r>
      <w:r w:rsidRPr="00783A03">
        <w:rPr>
          <w:rFonts w:ascii="Times New Roman" w:hAnsi="Times New Roman" w:cs="Times New Roman"/>
        </w:rPr>
        <w:t xml:space="preserve"> binding capacity study was performed. </w:t>
      </w:r>
    </w:p>
    <w:p w14:paraId="167B5498" w14:textId="77777777" w:rsidR="007B30E3" w:rsidRDefault="007B30E3">
      <w:pPr>
        <w:rPr>
          <w:b/>
          <w:bCs/>
          <w:lang w:val="en-US"/>
        </w:rPr>
      </w:pPr>
    </w:p>
    <w:p w14:paraId="1F63B1C6" w14:textId="70D2D108" w:rsidR="007B30E3" w:rsidRDefault="007B30E3">
      <w:pPr>
        <w:rPr>
          <w:b/>
          <w:bCs/>
          <w:lang w:val="en-US"/>
        </w:rPr>
      </w:pPr>
      <w:r>
        <w:rPr>
          <w:b/>
          <w:bCs/>
          <w:lang w:val="en-US"/>
        </w:rPr>
        <w:t>Materials and Methods</w:t>
      </w:r>
    </w:p>
    <w:p w14:paraId="54787A4D" w14:textId="3E2A0113" w:rsidR="00640D10" w:rsidRPr="00783A03" w:rsidRDefault="00640D10" w:rsidP="00640D10">
      <w:pPr>
        <w:jc w:val="both"/>
        <w:rPr>
          <w:rFonts w:ascii="Times New Roman" w:hAnsi="Times New Roman" w:cs="Times New Roman"/>
        </w:rPr>
      </w:pPr>
      <w:r>
        <w:rPr>
          <w:rFonts w:ascii="Times New Roman" w:hAnsi="Times New Roman" w:cs="Times New Roman"/>
        </w:rPr>
        <w:t>Three</w:t>
      </w:r>
      <w:r w:rsidR="00D12619">
        <w:rPr>
          <w:rFonts w:ascii="Times New Roman" w:hAnsi="Times New Roman" w:cs="Times New Roman"/>
        </w:rPr>
        <w:t xml:space="preserve"> </w:t>
      </w:r>
      <w:r w:rsidR="00D12619">
        <w:rPr>
          <w:rFonts w:ascii="Times New Roman" w:hAnsi="Times New Roman" w:cs="Times New Roman"/>
        </w:rPr>
        <w:t>proprietary</w:t>
      </w:r>
      <w:r>
        <w:rPr>
          <w:rFonts w:ascii="Times New Roman" w:hAnsi="Times New Roman" w:cs="Times New Roman"/>
        </w:rPr>
        <w:t xml:space="preserve"> </w:t>
      </w:r>
      <w:r w:rsidR="00D12619">
        <w:rPr>
          <w:rFonts w:ascii="Times New Roman" w:hAnsi="Times New Roman" w:cs="Times New Roman"/>
        </w:rPr>
        <w:t>clay-based</w:t>
      </w:r>
      <w:r>
        <w:rPr>
          <w:rFonts w:ascii="Times New Roman" w:hAnsi="Times New Roman" w:cs="Times New Roman"/>
        </w:rPr>
        <w:t xml:space="preserve"> mycotoxin binders (Anpro (AN), Anpro-UB (AUB), Anpro-NT (ANT) (Anpario plc)) and a commercially available bentonite</w:t>
      </w:r>
      <w:r w:rsidR="00071952">
        <w:rPr>
          <w:rFonts w:ascii="Times New Roman" w:hAnsi="Times New Roman" w:cs="Times New Roman"/>
        </w:rPr>
        <w:t xml:space="preserve"> (UK and EU approved 1m558)</w:t>
      </w:r>
      <w:r>
        <w:rPr>
          <w:rFonts w:ascii="Times New Roman" w:hAnsi="Times New Roman" w:cs="Times New Roman"/>
        </w:rPr>
        <w:t xml:space="preserve"> as a</w:t>
      </w:r>
      <w:r w:rsidR="00071952">
        <w:rPr>
          <w:rFonts w:ascii="Times New Roman" w:hAnsi="Times New Roman" w:cs="Times New Roman"/>
        </w:rPr>
        <w:t xml:space="preserve"> commercially relevant</w:t>
      </w:r>
      <w:r>
        <w:rPr>
          <w:rFonts w:ascii="Times New Roman" w:hAnsi="Times New Roman" w:cs="Times New Roman"/>
        </w:rPr>
        <w:t xml:space="preserve"> control (CTRL) were analysed</w:t>
      </w:r>
      <w:r w:rsidR="00071952">
        <w:rPr>
          <w:rFonts w:ascii="Times New Roman" w:hAnsi="Times New Roman" w:cs="Times New Roman"/>
        </w:rPr>
        <w:t xml:space="preserve"> in </w:t>
      </w:r>
      <w:r>
        <w:rPr>
          <w:rFonts w:ascii="Times New Roman" w:hAnsi="Times New Roman" w:cs="Times New Roman"/>
        </w:rPr>
        <w:t>blind at an independent European laboratory</w:t>
      </w:r>
      <w:r w:rsidR="00071952">
        <w:rPr>
          <w:rFonts w:ascii="Times New Roman" w:hAnsi="Times New Roman" w:cs="Times New Roman"/>
        </w:rPr>
        <w:t xml:space="preserve"> as part of a larger study. </w:t>
      </w:r>
      <w:r w:rsidR="00D12619">
        <w:rPr>
          <w:rFonts w:ascii="Times New Roman" w:hAnsi="Times New Roman" w:cs="Times New Roman"/>
        </w:rPr>
        <w:t>Four replicates of o</w:t>
      </w:r>
      <w:r w:rsidRPr="006253DF">
        <w:rPr>
          <w:rFonts w:ascii="Times New Roman" w:hAnsi="Times New Roman" w:cs="Times New Roman"/>
        </w:rPr>
        <w:t xml:space="preserve">ne concentration </w:t>
      </w:r>
      <w:r>
        <w:rPr>
          <w:rFonts w:ascii="Times New Roman" w:hAnsi="Times New Roman" w:cs="Times New Roman"/>
        </w:rPr>
        <w:t>(0.25</w:t>
      </w:r>
      <w:r w:rsidRPr="00F9611C">
        <w:rPr>
          <w:rFonts w:ascii="Times New Roman" w:hAnsi="Times New Roman" w:cs="Times New Roman"/>
          <w:color w:val="FF0000"/>
        </w:rPr>
        <w:t xml:space="preserve"> </w:t>
      </w:r>
      <w:r>
        <w:rPr>
          <w:rFonts w:ascii="Times New Roman" w:hAnsi="Times New Roman" w:cs="Times New Roman"/>
        </w:rPr>
        <w:t>g/L),</w:t>
      </w:r>
      <w:r w:rsidR="00071952">
        <w:rPr>
          <w:rFonts w:ascii="Times New Roman" w:hAnsi="Times New Roman" w:cs="Times New Roman"/>
        </w:rPr>
        <w:t xml:space="preserve"> and one pH level (2.5) are reported here for brevity. The binders were tested</w:t>
      </w:r>
      <w:r>
        <w:rPr>
          <w:rFonts w:ascii="Times New Roman" w:hAnsi="Times New Roman" w:cs="Times New Roman"/>
        </w:rPr>
        <w:t xml:space="preserve"> against six</w:t>
      </w:r>
      <w:r w:rsidR="00071952">
        <w:rPr>
          <w:rFonts w:ascii="Times New Roman" w:hAnsi="Times New Roman" w:cs="Times New Roman"/>
        </w:rPr>
        <w:t xml:space="preserve"> common</w:t>
      </w:r>
      <w:r>
        <w:rPr>
          <w:rFonts w:ascii="Times New Roman" w:hAnsi="Times New Roman" w:cs="Times New Roman"/>
        </w:rPr>
        <w:t xml:space="preserve"> mycotoxins at </w:t>
      </w:r>
      <w:r w:rsidR="00071952">
        <w:rPr>
          <w:rFonts w:ascii="Times New Roman" w:hAnsi="Times New Roman" w:cs="Times New Roman"/>
        </w:rPr>
        <w:t>the following</w:t>
      </w:r>
      <w:r w:rsidRPr="006253DF">
        <w:rPr>
          <w:rFonts w:ascii="Times New Roman" w:hAnsi="Times New Roman" w:cs="Times New Roman"/>
        </w:rPr>
        <w:t xml:space="preserve"> concentrations </w:t>
      </w:r>
      <w:r w:rsidR="00071952">
        <w:rPr>
          <w:rFonts w:ascii="Times New Roman" w:hAnsi="Times New Roman" w:cs="Times New Roman"/>
        </w:rPr>
        <w:t xml:space="preserve">(aflatoxin (AfB1), 10 µg/L, ochratoxin (OTA), 50 µg/L, zearalenone (ZEA), 100 µg/L, </w:t>
      </w:r>
      <w:r w:rsidR="00071952" w:rsidRPr="006253DF">
        <w:rPr>
          <w:rFonts w:ascii="Times New Roman" w:hAnsi="Times New Roman" w:cs="Times New Roman"/>
        </w:rPr>
        <w:t>deoxynivalenol (DON)</w:t>
      </w:r>
      <w:r w:rsidR="00071952">
        <w:rPr>
          <w:rFonts w:ascii="Times New Roman" w:hAnsi="Times New Roman" w:cs="Times New Roman"/>
        </w:rPr>
        <w:t>, 100 µg/L,</w:t>
      </w:r>
      <w:r w:rsidR="00071952">
        <w:rPr>
          <w:rFonts w:ascii="Times New Roman" w:hAnsi="Times New Roman" w:cs="Times New Roman"/>
          <w:color w:val="FF0000"/>
        </w:rPr>
        <w:t xml:space="preserve"> </w:t>
      </w:r>
      <w:r w:rsidR="00071952" w:rsidRPr="006574A9">
        <w:rPr>
          <w:rFonts w:ascii="Times New Roman" w:hAnsi="Times New Roman" w:cs="Times New Roman"/>
        </w:rPr>
        <w:t>fumonisin B1</w:t>
      </w:r>
      <w:r w:rsidR="00071952">
        <w:rPr>
          <w:rFonts w:ascii="Times New Roman" w:hAnsi="Times New Roman" w:cs="Times New Roman"/>
        </w:rPr>
        <w:t xml:space="preserve"> (FumB1)</w:t>
      </w:r>
      <w:r w:rsidR="00071952" w:rsidRPr="006574A9">
        <w:rPr>
          <w:rFonts w:ascii="Times New Roman" w:hAnsi="Times New Roman" w:cs="Times New Roman"/>
        </w:rPr>
        <w:t>,</w:t>
      </w:r>
      <w:r w:rsidR="00071952">
        <w:rPr>
          <w:rFonts w:ascii="Times New Roman" w:hAnsi="Times New Roman" w:cs="Times New Roman"/>
        </w:rPr>
        <w:t xml:space="preserve"> 100 µg/L,</w:t>
      </w:r>
      <w:r w:rsidR="00071952" w:rsidRPr="006574A9">
        <w:rPr>
          <w:rFonts w:ascii="Times New Roman" w:hAnsi="Times New Roman" w:cs="Times New Roman"/>
        </w:rPr>
        <w:t xml:space="preserve"> and T2</w:t>
      </w:r>
      <w:r w:rsidR="00071952">
        <w:rPr>
          <w:rFonts w:ascii="Times New Roman" w:hAnsi="Times New Roman" w:cs="Times New Roman"/>
        </w:rPr>
        <w:t>, 100 µg/L</w:t>
      </w:r>
      <w:r w:rsidR="00071952" w:rsidRPr="006574A9">
        <w:rPr>
          <w:rFonts w:ascii="Times New Roman" w:hAnsi="Times New Roman" w:cs="Times New Roman"/>
        </w:rPr>
        <w:t>)</w:t>
      </w:r>
      <w:r w:rsidR="00071952" w:rsidRPr="00144C57">
        <w:rPr>
          <w:rFonts w:ascii="Times New Roman" w:hAnsi="Times New Roman" w:cs="Times New Roman"/>
        </w:rPr>
        <w:t xml:space="preserve">. </w:t>
      </w:r>
      <w:r w:rsidRPr="00783A03">
        <w:rPr>
          <w:rFonts w:ascii="Times New Roman" w:hAnsi="Times New Roman" w:cs="Times New Roman"/>
        </w:rPr>
        <w:t xml:space="preserve">Each binder was mixed with the toxin solution or buffer to yield the required inclusion rate. The suspension of products was mixed then shaken for 90 min at 37 °C and 250 rpm. The suspension was transferred into </w:t>
      </w:r>
      <w:r>
        <w:rPr>
          <w:rFonts w:ascii="Times New Roman" w:hAnsi="Times New Roman" w:cs="Times New Roman"/>
        </w:rPr>
        <w:t>E</w:t>
      </w:r>
      <w:r w:rsidRPr="00783A03">
        <w:rPr>
          <w:rFonts w:ascii="Times New Roman" w:hAnsi="Times New Roman" w:cs="Times New Roman"/>
        </w:rPr>
        <w:t xml:space="preserve">ppendorf tubes and centrifuged at 14,000 rpm for 20 min at 25 °C. The supernatants were filtered by regenerated-cellulose filters or PTFE filters (0.2 μm) and analysed for toxin content by high performance liquid chromatography (HPLC). The amount of mycotoxin bound to the materials, expressed as percent of adsorption, was calculated as the difference between the amount of mycotoxin in the supernatant of the blank tube (without a binder) and the amount found in the supernatant of the experimental tube (containing a binder), at the end of the test. Data was analysed using ANOVA in IBM SPSS. </w:t>
      </w:r>
    </w:p>
    <w:p w14:paraId="31DE43A2" w14:textId="77777777" w:rsidR="007B30E3" w:rsidRDefault="007B30E3">
      <w:pPr>
        <w:rPr>
          <w:b/>
          <w:bCs/>
          <w:lang w:val="en-US"/>
        </w:rPr>
      </w:pPr>
    </w:p>
    <w:p w14:paraId="35CAF992" w14:textId="43ABAA1F" w:rsidR="007B30E3" w:rsidRDefault="007B30E3">
      <w:pPr>
        <w:rPr>
          <w:b/>
          <w:bCs/>
          <w:lang w:val="en-US"/>
        </w:rPr>
      </w:pPr>
      <w:r>
        <w:rPr>
          <w:b/>
          <w:bCs/>
          <w:lang w:val="en-US"/>
        </w:rPr>
        <w:t>Results</w:t>
      </w:r>
    </w:p>
    <w:p w14:paraId="61A54AE4" w14:textId="5297F7BB" w:rsidR="00071952" w:rsidRDefault="00D12619" w:rsidP="00071952">
      <w:pPr>
        <w:rPr>
          <w:rFonts w:ascii="Times New Roman" w:hAnsi="Times New Roman" w:cs="Times New Roman"/>
        </w:rPr>
      </w:pPr>
      <w:r>
        <w:rPr>
          <w:rFonts w:ascii="Times New Roman" w:hAnsi="Times New Roman" w:cs="Times New Roman"/>
        </w:rPr>
        <w:t>The proprietary blends (</w:t>
      </w:r>
      <w:r w:rsidR="00071952">
        <w:rPr>
          <w:rFonts w:ascii="Times New Roman" w:hAnsi="Times New Roman" w:cs="Times New Roman"/>
        </w:rPr>
        <w:t>AN, AUB and ANT</w:t>
      </w:r>
      <w:r>
        <w:rPr>
          <w:rFonts w:ascii="Times New Roman" w:hAnsi="Times New Roman" w:cs="Times New Roman"/>
        </w:rPr>
        <w:t>)</w:t>
      </w:r>
      <w:r w:rsidR="00071952">
        <w:rPr>
          <w:rFonts w:ascii="Times New Roman" w:hAnsi="Times New Roman" w:cs="Times New Roman"/>
        </w:rPr>
        <w:t xml:space="preserve"> bound significantly more AfB1 compared to the CTRL (P&lt;0.001)</w:t>
      </w:r>
      <w:r>
        <w:rPr>
          <w:rFonts w:ascii="Times New Roman" w:hAnsi="Times New Roman" w:cs="Times New Roman"/>
        </w:rPr>
        <w:t xml:space="preserve"> (Table 1).</w:t>
      </w:r>
      <w:r w:rsidR="00071952">
        <w:rPr>
          <w:rFonts w:ascii="Times New Roman" w:hAnsi="Times New Roman" w:cs="Times New Roman"/>
        </w:rPr>
        <w:t xml:space="preserve"> There was no statistical difference in binding capacity between treatments and CTRL for DON, FumB1, and T2. AN and ANT bound significantly more OTA than AUB (P&lt;0.001) and AN, AUB and ANT bound significantly more OTA than CTRL (P&lt;0.001). All treatments (AN, AUB and ANT) bound significantly more ZEA than CTRL (P&lt;0.001) with AN giving the highest binding capacity at 55.17%. AfB1 was the toxin bound most effectively by all treatments (over 90% of free toxin bound), whereas none of the binders tested had a large binding capacity for DON (&lt;5% of free toxin bound). All products were able to bind OTA and FumB1 between 50% and 81% effectively. </w:t>
      </w:r>
    </w:p>
    <w:p w14:paraId="44E79BAC" w14:textId="77F26C92" w:rsidR="00640D10" w:rsidRDefault="00640D10" w:rsidP="00640D10">
      <w:pPr>
        <w:rPr>
          <w:rFonts w:ascii="Times New Roman" w:hAnsi="Times New Roman" w:cs="Times New Roman"/>
        </w:rPr>
      </w:pPr>
      <w:r>
        <w:rPr>
          <w:rFonts w:ascii="Times New Roman" w:hAnsi="Times New Roman" w:cs="Times New Roman"/>
          <w:b/>
          <w:bCs/>
        </w:rPr>
        <w:lastRenderedPageBreak/>
        <w:t>Table</w:t>
      </w:r>
      <w:r w:rsidRPr="006F422B">
        <w:rPr>
          <w:rFonts w:ascii="Times New Roman" w:hAnsi="Times New Roman" w:cs="Times New Roman"/>
          <w:b/>
          <w:bCs/>
        </w:rPr>
        <w:t xml:space="preserve"> 1</w:t>
      </w:r>
      <w:r>
        <w:rPr>
          <w:rFonts w:ascii="Times New Roman" w:hAnsi="Times New Roman" w:cs="Times New Roman"/>
        </w:rPr>
        <w:t xml:space="preserve"> Mycotoxin adsorption capacity at pH 2.5 </w:t>
      </w:r>
      <w:r w:rsidR="00471DFA">
        <w:rPr>
          <w:rFonts w:ascii="Times New Roman" w:hAnsi="Times New Roman" w:cs="Times New Roman"/>
        </w:rPr>
        <w:t>(0.2</w:t>
      </w:r>
      <w:r>
        <w:rPr>
          <w:rFonts w:ascii="Times New Roman" w:hAnsi="Times New Roman" w:cs="Times New Roman"/>
        </w:rPr>
        <w:t>5 g/L</w:t>
      </w:r>
      <w:r w:rsidR="00471DFA">
        <w:rPr>
          <w:rFonts w:ascii="Times New Roman" w:hAnsi="Times New Roman" w:cs="Times New Roman"/>
        </w:rPr>
        <w:t>)</w:t>
      </w:r>
      <w:r>
        <w:rPr>
          <w:rFonts w:ascii="Times New Roman" w:hAnsi="Times New Roman" w:cs="Times New Roman"/>
        </w:rPr>
        <w:t xml:space="preserve"> of product, displayed as a percentage </w:t>
      </w:r>
    </w:p>
    <w:tbl>
      <w:tblPr>
        <w:tblW w:w="9026" w:type="dxa"/>
        <w:tblLook w:val="04A0" w:firstRow="1" w:lastRow="0" w:firstColumn="1" w:lastColumn="0" w:noHBand="0" w:noVBand="1"/>
      </w:tblPr>
      <w:tblGrid>
        <w:gridCol w:w="1334"/>
        <w:gridCol w:w="1270"/>
        <w:gridCol w:w="1270"/>
        <w:gridCol w:w="1270"/>
        <w:gridCol w:w="1270"/>
        <w:gridCol w:w="1342"/>
        <w:gridCol w:w="1270"/>
      </w:tblGrid>
      <w:tr w:rsidR="00640D10" w:rsidRPr="00EC79C1" w14:paraId="17F5D734" w14:textId="77777777" w:rsidTr="00E54A31">
        <w:trPr>
          <w:trHeight w:val="301"/>
        </w:trPr>
        <w:tc>
          <w:tcPr>
            <w:tcW w:w="9026" w:type="dxa"/>
            <w:gridSpan w:val="7"/>
            <w:tcBorders>
              <w:top w:val="single" w:sz="4" w:space="0" w:color="auto"/>
              <w:left w:val="nil"/>
              <w:bottom w:val="single" w:sz="4" w:space="0" w:color="auto"/>
              <w:right w:val="nil"/>
            </w:tcBorders>
          </w:tcPr>
          <w:p w14:paraId="1E32A522" w14:textId="77777777" w:rsidR="00640D10" w:rsidRPr="00EC79C1" w:rsidRDefault="00640D10" w:rsidP="00E54A31">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Binder product (% of free toxin bound)</w:t>
            </w:r>
          </w:p>
        </w:tc>
      </w:tr>
      <w:tr w:rsidR="00640D10" w:rsidRPr="00EC79C1" w14:paraId="28595E97" w14:textId="77777777" w:rsidTr="00E54A31">
        <w:trPr>
          <w:trHeight w:val="301"/>
        </w:trPr>
        <w:tc>
          <w:tcPr>
            <w:tcW w:w="1334" w:type="dxa"/>
            <w:tcBorders>
              <w:top w:val="nil"/>
              <w:left w:val="nil"/>
              <w:bottom w:val="single" w:sz="4" w:space="0" w:color="auto"/>
              <w:right w:val="nil"/>
            </w:tcBorders>
            <w:shd w:val="clear" w:color="auto" w:fill="auto"/>
            <w:noWrap/>
            <w:vAlign w:val="center"/>
            <w:hideMark/>
          </w:tcPr>
          <w:p w14:paraId="4D4DB52A" w14:textId="77777777" w:rsidR="00640D10" w:rsidRPr="00EC79C1" w:rsidRDefault="00640D10" w:rsidP="00E54A31">
            <w:pPr>
              <w:spacing w:after="0" w:line="240" w:lineRule="auto"/>
              <w:jc w:val="center"/>
              <w:rPr>
                <w:rFonts w:ascii="Times New Roman" w:eastAsia="Times New Roman" w:hAnsi="Times New Roman" w:cs="Times New Roman"/>
                <w:kern w:val="0"/>
                <w:lang w:eastAsia="en-GB"/>
                <w14:ligatures w14:val="none"/>
              </w:rPr>
            </w:pPr>
            <w:r w:rsidRPr="00A42B48">
              <w:rPr>
                <w:rFonts w:ascii="Times New Roman" w:eastAsia="Times New Roman" w:hAnsi="Times New Roman" w:cs="Times New Roman"/>
                <w:kern w:val="0"/>
                <w:lang w:eastAsia="en-GB"/>
                <w14:ligatures w14:val="none"/>
              </w:rPr>
              <w:t>Mycotoxin</w:t>
            </w:r>
          </w:p>
        </w:tc>
        <w:tc>
          <w:tcPr>
            <w:tcW w:w="1270" w:type="dxa"/>
            <w:tcBorders>
              <w:top w:val="nil"/>
              <w:left w:val="nil"/>
              <w:bottom w:val="single" w:sz="4" w:space="0" w:color="auto"/>
              <w:right w:val="nil"/>
            </w:tcBorders>
            <w:vAlign w:val="center"/>
          </w:tcPr>
          <w:p w14:paraId="392BECD7" w14:textId="6C7803D3" w:rsidR="00640D10" w:rsidRDefault="00640D10" w:rsidP="00E54A31">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CTRL</w:t>
            </w:r>
            <w:r w:rsidR="00D12619" w:rsidRPr="00D12619">
              <w:rPr>
                <w:rFonts w:ascii="Times New Roman" w:eastAsia="Times New Roman" w:hAnsi="Times New Roman" w:cs="Times New Roman"/>
                <w:color w:val="000000"/>
                <w:kern w:val="0"/>
                <w:vertAlign w:val="superscript"/>
                <w:lang w:eastAsia="en-GB"/>
                <w14:ligatures w14:val="none"/>
              </w:rPr>
              <w:t>1</w:t>
            </w:r>
          </w:p>
        </w:tc>
        <w:tc>
          <w:tcPr>
            <w:tcW w:w="1270" w:type="dxa"/>
            <w:tcBorders>
              <w:top w:val="nil"/>
              <w:left w:val="nil"/>
              <w:bottom w:val="single" w:sz="4" w:space="0" w:color="auto"/>
              <w:right w:val="nil"/>
            </w:tcBorders>
            <w:shd w:val="clear" w:color="auto" w:fill="auto"/>
            <w:noWrap/>
            <w:vAlign w:val="center"/>
            <w:hideMark/>
          </w:tcPr>
          <w:p w14:paraId="6529D31D" w14:textId="77777777" w:rsidR="00640D10" w:rsidRPr="00EC79C1" w:rsidRDefault="00640D10" w:rsidP="00E54A31">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AN</w:t>
            </w:r>
          </w:p>
        </w:tc>
        <w:tc>
          <w:tcPr>
            <w:tcW w:w="1270" w:type="dxa"/>
            <w:tcBorders>
              <w:top w:val="nil"/>
              <w:left w:val="nil"/>
              <w:bottom w:val="single" w:sz="4" w:space="0" w:color="auto"/>
              <w:right w:val="nil"/>
            </w:tcBorders>
            <w:shd w:val="clear" w:color="auto" w:fill="auto"/>
            <w:noWrap/>
            <w:vAlign w:val="center"/>
            <w:hideMark/>
          </w:tcPr>
          <w:p w14:paraId="1094E5AA" w14:textId="77777777" w:rsidR="00640D10" w:rsidRPr="00EC79C1" w:rsidRDefault="00640D10" w:rsidP="00E54A31">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A</w:t>
            </w:r>
            <w:r w:rsidRPr="00EC79C1">
              <w:rPr>
                <w:rFonts w:ascii="Times New Roman" w:eastAsia="Times New Roman" w:hAnsi="Times New Roman" w:cs="Times New Roman"/>
                <w:color w:val="000000"/>
                <w:kern w:val="0"/>
                <w:lang w:eastAsia="en-GB"/>
                <w14:ligatures w14:val="none"/>
              </w:rPr>
              <w:t>UB</w:t>
            </w:r>
          </w:p>
        </w:tc>
        <w:tc>
          <w:tcPr>
            <w:tcW w:w="1270" w:type="dxa"/>
            <w:tcBorders>
              <w:top w:val="nil"/>
              <w:left w:val="nil"/>
              <w:bottom w:val="single" w:sz="4" w:space="0" w:color="auto"/>
              <w:right w:val="nil"/>
            </w:tcBorders>
            <w:shd w:val="clear" w:color="auto" w:fill="auto"/>
            <w:noWrap/>
            <w:vAlign w:val="center"/>
            <w:hideMark/>
          </w:tcPr>
          <w:p w14:paraId="3B3B7457" w14:textId="77777777" w:rsidR="00640D10" w:rsidRPr="00EC79C1" w:rsidRDefault="00640D10" w:rsidP="00E54A31">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ANT</w:t>
            </w:r>
          </w:p>
        </w:tc>
        <w:tc>
          <w:tcPr>
            <w:tcW w:w="1342" w:type="dxa"/>
            <w:tcBorders>
              <w:top w:val="nil"/>
              <w:left w:val="nil"/>
              <w:bottom w:val="single" w:sz="4" w:space="0" w:color="auto"/>
              <w:right w:val="nil"/>
            </w:tcBorders>
            <w:shd w:val="clear" w:color="auto" w:fill="auto"/>
            <w:noWrap/>
            <w:vAlign w:val="center"/>
            <w:hideMark/>
          </w:tcPr>
          <w:p w14:paraId="72EAEF51" w14:textId="434EF633" w:rsidR="00640D10" w:rsidRPr="00EC79C1" w:rsidRDefault="00640D10" w:rsidP="00E54A31">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SEM</w:t>
            </w:r>
            <w:r w:rsidR="00D12619" w:rsidRPr="00D12619">
              <w:rPr>
                <w:rFonts w:ascii="Times New Roman" w:eastAsia="Times New Roman" w:hAnsi="Times New Roman" w:cs="Times New Roman"/>
                <w:color w:val="000000"/>
                <w:kern w:val="0"/>
                <w:vertAlign w:val="superscript"/>
                <w:lang w:eastAsia="en-GB"/>
                <w14:ligatures w14:val="none"/>
              </w:rPr>
              <w:t>2</w:t>
            </w:r>
          </w:p>
        </w:tc>
        <w:tc>
          <w:tcPr>
            <w:tcW w:w="1270" w:type="dxa"/>
            <w:tcBorders>
              <w:top w:val="nil"/>
              <w:left w:val="nil"/>
              <w:bottom w:val="single" w:sz="4" w:space="0" w:color="auto"/>
              <w:right w:val="nil"/>
            </w:tcBorders>
            <w:shd w:val="clear" w:color="auto" w:fill="auto"/>
            <w:noWrap/>
            <w:vAlign w:val="center"/>
            <w:hideMark/>
          </w:tcPr>
          <w:p w14:paraId="39EBDBBB" w14:textId="77777777" w:rsidR="00640D10" w:rsidRPr="00EC79C1" w:rsidRDefault="00640D10" w:rsidP="00E54A31">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P-</w:t>
            </w:r>
            <w:r w:rsidRPr="00EC79C1">
              <w:rPr>
                <w:rFonts w:ascii="Times New Roman" w:eastAsia="Times New Roman" w:hAnsi="Times New Roman" w:cs="Times New Roman"/>
                <w:color w:val="000000"/>
                <w:kern w:val="0"/>
                <w:lang w:eastAsia="en-GB"/>
                <w14:ligatures w14:val="none"/>
              </w:rPr>
              <w:t>value</w:t>
            </w:r>
            <w:r>
              <w:rPr>
                <w:rFonts w:ascii="Times New Roman" w:eastAsia="Times New Roman" w:hAnsi="Times New Roman" w:cs="Times New Roman"/>
                <w:color w:val="000000"/>
                <w:kern w:val="0"/>
                <w:lang w:eastAsia="en-GB"/>
                <w14:ligatures w14:val="none"/>
              </w:rPr>
              <w:t xml:space="preserve"> treatment</w:t>
            </w:r>
          </w:p>
        </w:tc>
      </w:tr>
      <w:tr w:rsidR="00640D10" w:rsidRPr="00EC79C1" w14:paraId="26B8C8DE" w14:textId="77777777" w:rsidTr="00D12619">
        <w:trPr>
          <w:trHeight w:val="301"/>
        </w:trPr>
        <w:tc>
          <w:tcPr>
            <w:tcW w:w="1334" w:type="dxa"/>
            <w:tcBorders>
              <w:top w:val="single" w:sz="4" w:space="0" w:color="auto"/>
              <w:left w:val="nil"/>
              <w:bottom w:val="nil"/>
              <w:right w:val="nil"/>
            </w:tcBorders>
            <w:shd w:val="clear" w:color="auto" w:fill="auto"/>
            <w:noWrap/>
            <w:vAlign w:val="bottom"/>
            <w:hideMark/>
          </w:tcPr>
          <w:p w14:paraId="078E8F8A" w14:textId="77777777" w:rsidR="00640D10" w:rsidRPr="00EC79C1" w:rsidRDefault="00640D10" w:rsidP="00E54A31">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AfB1</w:t>
            </w:r>
          </w:p>
        </w:tc>
        <w:tc>
          <w:tcPr>
            <w:tcW w:w="1270" w:type="dxa"/>
            <w:tcBorders>
              <w:top w:val="single" w:sz="4" w:space="0" w:color="auto"/>
              <w:left w:val="nil"/>
              <w:bottom w:val="nil"/>
              <w:right w:val="nil"/>
            </w:tcBorders>
            <w:vAlign w:val="center"/>
          </w:tcPr>
          <w:p w14:paraId="03255BF5"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81.8</w:t>
            </w:r>
            <w:r w:rsidRPr="008235A2">
              <w:rPr>
                <w:rFonts w:ascii="Times New Roman" w:eastAsia="Times New Roman" w:hAnsi="Times New Roman" w:cs="Times New Roman"/>
                <w:color w:val="000000"/>
                <w:kern w:val="0"/>
                <w:vertAlign w:val="superscript"/>
                <w:lang w:eastAsia="en-GB"/>
                <w14:ligatures w14:val="none"/>
              </w:rPr>
              <w:t>a</w:t>
            </w:r>
          </w:p>
        </w:tc>
        <w:tc>
          <w:tcPr>
            <w:tcW w:w="1270" w:type="dxa"/>
            <w:tcBorders>
              <w:top w:val="single" w:sz="4" w:space="0" w:color="auto"/>
              <w:left w:val="nil"/>
              <w:bottom w:val="nil"/>
              <w:right w:val="nil"/>
            </w:tcBorders>
            <w:shd w:val="clear" w:color="auto" w:fill="auto"/>
            <w:noWrap/>
            <w:vAlign w:val="center"/>
            <w:hideMark/>
          </w:tcPr>
          <w:p w14:paraId="4B4569AB"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90.44</w:t>
            </w:r>
            <w:r w:rsidRPr="008235A2">
              <w:rPr>
                <w:rFonts w:ascii="Times New Roman" w:eastAsia="Times New Roman" w:hAnsi="Times New Roman" w:cs="Times New Roman"/>
                <w:color w:val="000000"/>
                <w:kern w:val="0"/>
                <w:vertAlign w:val="superscript"/>
                <w:lang w:eastAsia="en-GB"/>
                <w14:ligatures w14:val="none"/>
              </w:rPr>
              <w:t>b</w:t>
            </w:r>
          </w:p>
        </w:tc>
        <w:tc>
          <w:tcPr>
            <w:tcW w:w="1270" w:type="dxa"/>
            <w:tcBorders>
              <w:top w:val="single" w:sz="4" w:space="0" w:color="auto"/>
              <w:left w:val="nil"/>
              <w:bottom w:val="nil"/>
              <w:right w:val="nil"/>
            </w:tcBorders>
            <w:shd w:val="clear" w:color="auto" w:fill="auto"/>
            <w:noWrap/>
            <w:vAlign w:val="center"/>
            <w:hideMark/>
          </w:tcPr>
          <w:p w14:paraId="40F3B0A5"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90.08</w:t>
            </w:r>
            <w:r w:rsidRPr="008235A2">
              <w:rPr>
                <w:rFonts w:ascii="Times New Roman" w:eastAsia="Times New Roman" w:hAnsi="Times New Roman" w:cs="Times New Roman"/>
                <w:color w:val="000000"/>
                <w:kern w:val="0"/>
                <w:vertAlign w:val="superscript"/>
                <w:lang w:eastAsia="en-GB"/>
                <w14:ligatures w14:val="none"/>
              </w:rPr>
              <w:t>b</w:t>
            </w:r>
          </w:p>
        </w:tc>
        <w:tc>
          <w:tcPr>
            <w:tcW w:w="1270" w:type="dxa"/>
            <w:tcBorders>
              <w:top w:val="single" w:sz="4" w:space="0" w:color="auto"/>
              <w:left w:val="nil"/>
              <w:bottom w:val="nil"/>
              <w:right w:val="nil"/>
            </w:tcBorders>
            <w:shd w:val="clear" w:color="auto" w:fill="auto"/>
            <w:noWrap/>
            <w:vAlign w:val="center"/>
            <w:hideMark/>
          </w:tcPr>
          <w:p w14:paraId="5FCC8D85"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90.20</w:t>
            </w:r>
            <w:r w:rsidRPr="008235A2">
              <w:rPr>
                <w:rFonts w:ascii="Times New Roman" w:eastAsia="Times New Roman" w:hAnsi="Times New Roman" w:cs="Times New Roman"/>
                <w:color w:val="000000"/>
                <w:kern w:val="0"/>
                <w:vertAlign w:val="superscript"/>
                <w:lang w:eastAsia="en-GB"/>
                <w14:ligatures w14:val="none"/>
              </w:rPr>
              <w:t>b</w:t>
            </w:r>
          </w:p>
        </w:tc>
        <w:tc>
          <w:tcPr>
            <w:tcW w:w="1342" w:type="dxa"/>
            <w:tcBorders>
              <w:top w:val="single" w:sz="4" w:space="0" w:color="auto"/>
              <w:left w:val="nil"/>
              <w:bottom w:val="nil"/>
              <w:right w:val="nil"/>
            </w:tcBorders>
            <w:shd w:val="clear" w:color="auto" w:fill="auto"/>
            <w:noWrap/>
            <w:vAlign w:val="center"/>
          </w:tcPr>
          <w:p w14:paraId="455E1084"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640D10">
              <w:rPr>
                <w:rFonts w:ascii="Times New Roman" w:eastAsia="Times New Roman" w:hAnsi="Times New Roman" w:cs="Times New Roman"/>
                <w:color w:val="000000"/>
                <w:kern w:val="0"/>
                <w:lang w:eastAsia="en-GB"/>
                <w14:ligatures w14:val="none"/>
              </w:rPr>
              <w:t>0.695</w:t>
            </w:r>
          </w:p>
        </w:tc>
        <w:tc>
          <w:tcPr>
            <w:tcW w:w="1270" w:type="dxa"/>
            <w:tcBorders>
              <w:top w:val="single" w:sz="4" w:space="0" w:color="auto"/>
              <w:left w:val="nil"/>
              <w:bottom w:val="nil"/>
              <w:right w:val="nil"/>
            </w:tcBorders>
            <w:shd w:val="clear" w:color="auto" w:fill="auto"/>
            <w:noWrap/>
            <w:vAlign w:val="center"/>
          </w:tcPr>
          <w:p w14:paraId="44AC72B1" w14:textId="77777777" w:rsidR="00640D10" w:rsidRPr="008235A2" w:rsidRDefault="00640D10" w:rsidP="00E54A31">
            <w:pPr>
              <w:spacing w:after="0" w:line="240" w:lineRule="auto"/>
              <w:jc w:val="center"/>
              <w:rPr>
                <w:rFonts w:ascii="Times New Roman" w:eastAsia="Times New Roman" w:hAnsi="Times New Roman" w:cs="Times New Roman"/>
                <w:b/>
                <w:bCs/>
                <w:color w:val="000000"/>
                <w:kern w:val="0"/>
                <w:lang w:eastAsia="en-GB"/>
                <w14:ligatures w14:val="none"/>
              </w:rPr>
            </w:pPr>
            <w:r w:rsidRPr="008235A2">
              <w:rPr>
                <w:rFonts w:ascii="Times New Roman" w:eastAsia="Times New Roman" w:hAnsi="Times New Roman" w:cs="Times New Roman"/>
                <w:b/>
                <w:bCs/>
                <w:color w:val="000000"/>
                <w:kern w:val="0"/>
                <w:lang w:eastAsia="en-GB"/>
                <w14:ligatures w14:val="none"/>
              </w:rPr>
              <w:t>&lt;0.001</w:t>
            </w:r>
          </w:p>
        </w:tc>
      </w:tr>
      <w:tr w:rsidR="00640D10" w:rsidRPr="00EC79C1" w14:paraId="37290281" w14:textId="77777777" w:rsidTr="00D12619">
        <w:trPr>
          <w:trHeight w:val="301"/>
        </w:trPr>
        <w:tc>
          <w:tcPr>
            <w:tcW w:w="1334" w:type="dxa"/>
            <w:tcBorders>
              <w:top w:val="nil"/>
              <w:left w:val="nil"/>
              <w:bottom w:val="nil"/>
              <w:right w:val="nil"/>
            </w:tcBorders>
            <w:shd w:val="clear" w:color="auto" w:fill="auto"/>
            <w:noWrap/>
            <w:vAlign w:val="bottom"/>
            <w:hideMark/>
          </w:tcPr>
          <w:p w14:paraId="19FEBAF3" w14:textId="77777777" w:rsidR="00640D10" w:rsidRPr="00EC79C1" w:rsidRDefault="00640D10" w:rsidP="00E54A31">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OTA</w:t>
            </w:r>
          </w:p>
        </w:tc>
        <w:tc>
          <w:tcPr>
            <w:tcW w:w="1270" w:type="dxa"/>
            <w:tcBorders>
              <w:top w:val="nil"/>
              <w:left w:val="nil"/>
              <w:bottom w:val="nil"/>
              <w:right w:val="nil"/>
            </w:tcBorders>
            <w:vAlign w:val="center"/>
          </w:tcPr>
          <w:p w14:paraId="5C56CEFF"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21.4</w:t>
            </w:r>
            <w:r w:rsidRPr="008235A2">
              <w:rPr>
                <w:rFonts w:ascii="Times New Roman" w:eastAsia="Times New Roman" w:hAnsi="Times New Roman" w:cs="Times New Roman"/>
                <w:color w:val="000000"/>
                <w:kern w:val="0"/>
                <w:vertAlign w:val="superscript"/>
                <w:lang w:eastAsia="en-GB"/>
                <w14:ligatures w14:val="none"/>
              </w:rPr>
              <w:t>a</w:t>
            </w:r>
          </w:p>
        </w:tc>
        <w:tc>
          <w:tcPr>
            <w:tcW w:w="1270" w:type="dxa"/>
            <w:tcBorders>
              <w:top w:val="nil"/>
              <w:left w:val="nil"/>
              <w:bottom w:val="nil"/>
              <w:right w:val="nil"/>
            </w:tcBorders>
            <w:shd w:val="clear" w:color="auto" w:fill="auto"/>
            <w:noWrap/>
            <w:vAlign w:val="center"/>
            <w:hideMark/>
          </w:tcPr>
          <w:p w14:paraId="094FFADC"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79.72</w:t>
            </w:r>
            <w:r w:rsidRPr="008235A2">
              <w:rPr>
                <w:rFonts w:ascii="Times New Roman" w:eastAsia="Times New Roman" w:hAnsi="Times New Roman" w:cs="Times New Roman"/>
                <w:color w:val="000000"/>
                <w:kern w:val="0"/>
                <w:vertAlign w:val="superscript"/>
                <w:lang w:eastAsia="en-GB"/>
                <w14:ligatures w14:val="none"/>
              </w:rPr>
              <w:t>c</w:t>
            </w:r>
          </w:p>
        </w:tc>
        <w:tc>
          <w:tcPr>
            <w:tcW w:w="1270" w:type="dxa"/>
            <w:tcBorders>
              <w:top w:val="nil"/>
              <w:left w:val="nil"/>
              <w:bottom w:val="nil"/>
              <w:right w:val="nil"/>
            </w:tcBorders>
            <w:shd w:val="clear" w:color="auto" w:fill="auto"/>
            <w:noWrap/>
            <w:vAlign w:val="center"/>
            <w:hideMark/>
          </w:tcPr>
          <w:p w14:paraId="5C5784D0"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62.99</w:t>
            </w:r>
            <w:r w:rsidRPr="00E3688A">
              <w:rPr>
                <w:rFonts w:ascii="Times New Roman" w:eastAsia="Times New Roman" w:hAnsi="Times New Roman" w:cs="Times New Roman"/>
                <w:color w:val="000000"/>
                <w:kern w:val="0"/>
                <w:vertAlign w:val="superscript"/>
                <w:lang w:eastAsia="en-GB"/>
                <w14:ligatures w14:val="none"/>
              </w:rPr>
              <w:t>b</w:t>
            </w:r>
          </w:p>
        </w:tc>
        <w:tc>
          <w:tcPr>
            <w:tcW w:w="1270" w:type="dxa"/>
            <w:tcBorders>
              <w:top w:val="nil"/>
              <w:left w:val="nil"/>
              <w:bottom w:val="nil"/>
              <w:right w:val="nil"/>
            </w:tcBorders>
            <w:shd w:val="clear" w:color="auto" w:fill="auto"/>
            <w:noWrap/>
            <w:vAlign w:val="center"/>
            <w:hideMark/>
          </w:tcPr>
          <w:p w14:paraId="248F16ED"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80.19</w:t>
            </w:r>
            <w:r w:rsidRPr="008235A2">
              <w:rPr>
                <w:rFonts w:ascii="Times New Roman" w:eastAsia="Times New Roman" w:hAnsi="Times New Roman" w:cs="Times New Roman"/>
                <w:color w:val="000000"/>
                <w:kern w:val="0"/>
                <w:vertAlign w:val="superscript"/>
                <w:lang w:eastAsia="en-GB"/>
                <w14:ligatures w14:val="none"/>
              </w:rPr>
              <w:t>c</w:t>
            </w:r>
          </w:p>
        </w:tc>
        <w:tc>
          <w:tcPr>
            <w:tcW w:w="1342" w:type="dxa"/>
            <w:tcBorders>
              <w:top w:val="nil"/>
              <w:left w:val="nil"/>
              <w:bottom w:val="nil"/>
              <w:right w:val="nil"/>
            </w:tcBorders>
            <w:shd w:val="clear" w:color="auto" w:fill="auto"/>
            <w:noWrap/>
            <w:vAlign w:val="center"/>
          </w:tcPr>
          <w:p w14:paraId="206F4323"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640D10">
              <w:rPr>
                <w:rFonts w:ascii="Times New Roman" w:eastAsia="Times New Roman" w:hAnsi="Times New Roman" w:cs="Times New Roman"/>
                <w:color w:val="000000"/>
                <w:kern w:val="0"/>
                <w:lang w:eastAsia="en-GB"/>
                <w14:ligatures w14:val="none"/>
              </w:rPr>
              <w:t>2.012</w:t>
            </w:r>
          </w:p>
        </w:tc>
        <w:tc>
          <w:tcPr>
            <w:tcW w:w="1270" w:type="dxa"/>
            <w:tcBorders>
              <w:top w:val="nil"/>
              <w:left w:val="nil"/>
              <w:bottom w:val="nil"/>
              <w:right w:val="nil"/>
            </w:tcBorders>
            <w:shd w:val="clear" w:color="auto" w:fill="auto"/>
            <w:noWrap/>
            <w:vAlign w:val="center"/>
          </w:tcPr>
          <w:p w14:paraId="676F62AA" w14:textId="77777777" w:rsidR="00640D10" w:rsidRPr="008235A2" w:rsidRDefault="00640D10" w:rsidP="00E54A31">
            <w:pPr>
              <w:spacing w:after="0" w:line="240" w:lineRule="auto"/>
              <w:jc w:val="center"/>
              <w:rPr>
                <w:rFonts w:ascii="Times New Roman" w:eastAsia="Times New Roman" w:hAnsi="Times New Roman" w:cs="Times New Roman"/>
                <w:b/>
                <w:bCs/>
                <w:color w:val="000000"/>
                <w:kern w:val="0"/>
                <w:lang w:eastAsia="en-GB"/>
                <w14:ligatures w14:val="none"/>
              </w:rPr>
            </w:pPr>
            <w:r w:rsidRPr="008235A2">
              <w:rPr>
                <w:rFonts w:ascii="Times New Roman" w:eastAsia="Times New Roman" w:hAnsi="Times New Roman" w:cs="Times New Roman"/>
                <w:b/>
                <w:bCs/>
                <w:color w:val="000000"/>
                <w:kern w:val="0"/>
                <w:lang w:eastAsia="en-GB"/>
                <w14:ligatures w14:val="none"/>
              </w:rPr>
              <w:t>&lt;0.001</w:t>
            </w:r>
          </w:p>
        </w:tc>
      </w:tr>
      <w:tr w:rsidR="00640D10" w:rsidRPr="00EC79C1" w14:paraId="5C495BA5" w14:textId="77777777" w:rsidTr="00D12619">
        <w:trPr>
          <w:trHeight w:val="301"/>
        </w:trPr>
        <w:tc>
          <w:tcPr>
            <w:tcW w:w="1334" w:type="dxa"/>
            <w:tcBorders>
              <w:top w:val="nil"/>
              <w:left w:val="nil"/>
              <w:bottom w:val="nil"/>
              <w:right w:val="nil"/>
            </w:tcBorders>
            <w:shd w:val="clear" w:color="auto" w:fill="auto"/>
            <w:noWrap/>
            <w:vAlign w:val="bottom"/>
            <w:hideMark/>
          </w:tcPr>
          <w:p w14:paraId="3B51D42C" w14:textId="77777777" w:rsidR="00640D10" w:rsidRPr="00EC79C1" w:rsidRDefault="00640D10" w:rsidP="00E54A31">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ZEA</w:t>
            </w:r>
          </w:p>
        </w:tc>
        <w:tc>
          <w:tcPr>
            <w:tcW w:w="1270" w:type="dxa"/>
            <w:tcBorders>
              <w:top w:val="nil"/>
              <w:left w:val="nil"/>
              <w:bottom w:val="nil"/>
              <w:right w:val="nil"/>
            </w:tcBorders>
            <w:vAlign w:val="center"/>
          </w:tcPr>
          <w:p w14:paraId="4D45767F"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6.3</w:t>
            </w:r>
            <w:r w:rsidRPr="008235A2">
              <w:rPr>
                <w:rFonts w:ascii="Times New Roman" w:eastAsia="Times New Roman" w:hAnsi="Times New Roman" w:cs="Times New Roman"/>
                <w:color w:val="000000"/>
                <w:kern w:val="0"/>
                <w:vertAlign w:val="superscript"/>
                <w:lang w:eastAsia="en-GB"/>
                <w14:ligatures w14:val="none"/>
              </w:rPr>
              <w:t>a</w:t>
            </w:r>
          </w:p>
        </w:tc>
        <w:tc>
          <w:tcPr>
            <w:tcW w:w="1270" w:type="dxa"/>
            <w:tcBorders>
              <w:top w:val="nil"/>
              <w:left w:val="nil"/>
              <w:bottom w:val="nil"/>
              <w:right w:val="nil"/>
            </w:tcBorders>
            <w:shd w:val="clear" w:color="auto" w:fill="auto"/>
            <w:noWrap/>
            <w:vAlign w:val="center"/>
            <w:hideMark/>
          </w:tcPr>
          <w:p w14:paraId="7CDFD028"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55.17</w:t>
            </w:r>
            <w:r w:rsidRPr="008235A2">
              <w:rPr>
                <w:rFonts w:ascii="Times New Roman" w:eastAsia="Times New Roman" w:hAnsi="Times New Roman" w:cs="Times New Roman"/>
                <w:color w:val="000000"/>
                <w:kern w:val="0"/>
                <w:vertAlign w:val="superscript"/>
                <w:lang w:eastAsia="en-GB"/>
                <w14:ligatures w14:val="none"/>
              </w:rPr>
              <w:t>c</w:t>
            </w:r>
          </w:p>
        </w:tc>
        <w:tc>
          <w:tcPr>
            <w:tcW w:w="1270" w:type="dxa"/>
            <w:tcBorders>
              <w:top w:val="nil"/>
              <w:left w:val="nil"/>
              <w:bottom w:val="nil"/>
              <w:right w:val="nil"/>
            </w:tcBorders>
            <w:shd w:val="clear" w:color="auto" w:fill="auto"/>
            <w:noWrap/>
            <w:vAlign w:val="center"/>
            <w:hideMark/>
          </w:tcPr>
          <w:p w14:paraId="31418F8F"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38.17</w:t>
            </w:r>
            <w:r w:rsidRPr="008235A2">
              <w:rPr>
                <w:rFonts w:ascii="Times New Roman" w:eastAsia="Times New Roman" w:hAnsi="Times New Roman" w:cs="Times New Roman"/>
                <w:color w:val="000000"/>
                <w:kern w:val="0"/>
                <w:vertAlign w:val="superscript"/>
                <w:lang w:eastAsia="en-GB"/>
                <w14:ligatures w14:val="none"/>
              </w:rPr>
              <w:t>b</w:t>
            </w:r>
          </w:p>
        </w:tc>
        <w:tc>
          <w:tcPr>
            <w:tcW w:w="1270" w:type="dxa"/>
            <w:tcBorders>
              <w:top w:val="nil"/>
              <w:left w:val="nil"/>
              <w:bottom w:val="nil"/>
              <w:right w:val="nil"/>
            </w:tcBorders>
            <w:shd w:val="clear" w:color="auto" w:fill="auto"/>
            <w:noWrap/>
            <w:vAlign w:val="center"/>
            <w:hideMark/>
          </w:tcPr>
          <w:p w14:paraId="3B2D32B2"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50.16</w:t>
            </w:r>
            <w:r w:rsidRPr="008235A2">
              <w:rPr>
                <w:rFonts w:ascii="Times New Roman" w:eastAsia="Times New Roman" w:hAnsi="Times New Roman" w:cs="Times New Roman"/>
                <w:color w:val="000000"/>
                <w:kern w:val="0"/>
                <w:vertAlign w:val="superscript"/>
                <w:lang w:eastAsia="en-GB"/>
                <w14:ligatures w14:val="none"/>
              </w:rPr>
              <w:t>b</w:t>
            </w:r>
            <w:r>
              <w:rPr>
                <w:rFonts w:ascii="Times New Roman" w:eastAsia="Times New Roman" w:hAnsi="Times New Roman" w:cs="Times New Roman"/>
                <w:color w:val="000000"/>
                <w:kern w:val="0"/>
                <w:vertAlign w:val="superscript"/>
                <w:lang w:eastAsia="en-GB"/>
                <w14:ligatures w14:val="none"/>
              </w:rPr>
              <w:t>c</w:t>
            </w:r>
          </w:p>
        </w:tc>
        <w:tc>
          <w:tcPr>
            <w:tcW w:w="1342" w:type="dxa"/>
            <w:tcBorders>
              <w:top w:val="nil"/>
              <w:left w:val="nil"/>
              <w:bottom w:val="nil"/>
              <w:right w:val="nil"/>
            </w:tcBorders>
            <w:shd w:val="clear" w:color="auto" w:fill="auto"/>
            <w:noWrap/>
            <w:vAlign w:val="center"/>
          </w:tcPr>
          <w:p w14:paraId="4FFEB705"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640D10">
              <w:rPr>
                <w:rFonts w:ascii="Times New Roman" w:eastAsia="Times New Roman" w:hAnsi="Times New Roman" w:cs="Times New Roman"/>
                <w:color w:val="000000"/>
                <w:kern w:val="0"/>
                <w:lang w:eastAsia="en-GB"/>
                <w14:ligatures w14:val="none"/>
              </w:rPr>
              <w:t>3.248</w:t>
            </w:r>
          </w:p>
        </w:tc>
        <w:tc>
          <w:tcPr>
            <w:tcW w:w="1270" w:type="dxa"/>
            <w:tcBorders>
              <w:top w:val="nil"/>
              <w:left w:val="nil"/>
              <w:bottom w:val="nil"/>
              <w:right w:val="nil"/>
            </w:tcBorders>
            <w:shd w:val="clear" w:color="auto" w:fill="auto"/>
            <w:noWrap/>
            <w:vAlign w:val="center"/>
          </w:tcPr>
          <w:p w14:paraId="79C02B48" w14:textId="77777777" w:rsidR="00640D10" w:rsidRPr="008235A2" w:rsidRDefault="00640D10" w:rsidP="00E54A31">
            <w:pPr>
              <w:spacing w:after="0" w:line="240" w:lineRule="auto"/>
              <w:jc w:val="center"/>
              <w:rPr>
                <w:rFonts w:ascii="Times New Roman" w:eastAsia="Times New Roman" w:hAnsi="Times New Roman" w:cs="Times New Roman"/>
                <w:b/>
                <w:bCs/>
                <w:color w:val="000000"/>
                <w:kern w:val="0"/>
                <w:lang w:eastAsia="en-GB"/>
                <w14:ligatures w14:val="none"/>
              </w:rPr>
            </w:pPr>
            <w:r w:rsidRPr="008235A2">
              <w:rPr>
                <w:rFonts w:ascii="Times New Roman" w:eastAsia="Times New Roman" w:hAnsi="Times New Roman" w:cs="Times New Roman"/>
                <w:b/>
                <w:bCs/>
                <w:color w:val="000000"/>
                <w:kern w:val="0"/>
                <w:lang w:eastAsia="en-GB"/>
                <w14:ligatures w14:val="none"/>
              </w:rPr>
              <w:t>&lt;0.001</w:t>
            </w:r>
          </w:p>
        </w:tc>
      </w:tr>
      <w:tr w:rsidR="00640D10" w:rsidRPr="00EC79C1" w14:paraId="43B52206" w14:textId="77777777" w:rsidTr="00D12619">
        <w:trPr>
          <w:trHeight w:val="301"/>
        </w:trPr>
        <w:tc>
          <w:tcPr>
            <w:tcW w:w="1334" w:type="dxa"/>
            <w:tcBorders>
              <w:top w:val="nil"/>
              <w:left w:val="nil"/>
              <w:bottom w:val="nil"/>
              <w:right w:val="nil"/>
            </w:tcBorders>
            <w:shd w:val="clear" w:color="auto" w:fill="auto"/>
            <w:noWrap/>
            <w:vAlign w:val="bottom"/>
            <w:hideMark/>
          </w:tcPr>
          <w:p w14:paraId="054DB7C4" w14:textId="77777777" w:rsidR="00640D10" w:rsidRPr="00EC79C1" w:rsidRDefault="00640D10" w:rsidP="00E54A31">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DON</w:t>
            </w:r>
          </w:p>
        </w:tc>
        <w:tc>
          <w:tcPr>
            <w:tcW w:w="1270" w:type="dxa"/>
            <w:tcBorders>
              <w:top w:val="nil"/>
              <w:left w:val="nil"/>
              <w:bottom w:val="nil"/>
              <w:right w:val="nil"/>
            </w:tcBorders>
            <w:vAlign w:val="center"/>
          </w:tcPr>
          <w:p w14:paraId="118F801F"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2.9</w:t>
            </w:r>
          </w:p>
        </w:tc>
        <w:tc>
          <w:tcPr>
            <w:tcW w:w="1270" w:type="dxa"/>
            <w:tcBorders>
              <w:top w:val="nil"/>
              <w:left w:val="nil"/>
              <w:bottom w:val="nil"/>
              <w:right w:val="nil"/>
            </w:tcBorders>
            <w:shd w:val="clear" w:color="auto" w:fill="auto"/>
            <w:noWrap/>
            <w:vAlign w:val="center"/>
            <w:hideMark/>
          </w:tcPr>
          <w:p w14:paraId="4932D54A"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1.58</w:t>
            </w:r>
          </w:p>
        </w:tc>
        <w:tc>
          <w:tcPr>
            <w:tcW w:w="1270" w:type="dxa"/>
            <w:tcBorders>
              <w:top w:val="nil"/>
              <w:left w:val="nil"/>
              <w:bottom w:val="nil"/>
              <w:right w:val="nil"/>
            </w:tcBorders>
            <w:shd w:val="clear" w:color="auto" w:fill="auto"/>
            <w:noWrap/>
            <w:vAlign w:val="center"/>
            <w:hideMark/>
          </w:tcPr>
          <w:p w14:paraId="3E2D6248"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2.05</w:t>
            </w:r>
          </w:p>
        </w:tc>
        <w:tc>
          <w:tcPr>
            <w:tcW w:w="1270" w:type="dxa"/>
            <w:tcBorders>
              <w:top w:val="nil"/>
              <w:left w:val="nil"/>
              <w:bottom w:val="nil"/>
              <w:right w:val="nil"/>
            </w:tcBorders>
            <w:shd w:val="clear" w:color="auto" w:fill="auto"/>
            <w:noWrap/>
            <w:vAlign w:val="center"/>
            <w:hideMark/>
          </w:tcPr>
          <w:p w14:paraId="6E203B4C"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3.42</w:t>
            </w:r>
          </w:p>
        </w:tc>
        <w:tc>
          <w:tcPr>
            <w:tcW w:w="1342" w:type="dxa"/>
            <w:tcBorders>
              <w:top w:val="nil"/>
              <w:left w:val="nil"/>
              <w:bottom w:val="nil"/>
              <w:right w:val="nil"/>
            </w:tcBorders>
            <w:shd w:val="clear" w:color="auto" w:fill="auto"/>
            <w:noWrap/>
            <w:vAlign w:val="center"/>
          </w:tcPr>
          <w:p w14:paraId="658FB5F6"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640D10">
              <w:rPr>
                <w:rFonts w:ascii="Times New Roman" w:eastAsia="Times New Roman" w:hAnsi="Times New Roman" w:cs="Times New Roman"/>
                <w:color w:val="000000"/>
                <w:kern w:val="0"/>
                <w:lang w:eastAsia="en-GB"/>
                <w14:ligatures w14:val="none"/>
              </w:rPr>
              <w:t>1.907</w:t>
            </w:r>
          </w:p>
        </w:tc>
        <w:tc>
          <w:tcPr>
            <w:tcW w:w="1270" w:type="dxa"/>
            <w:tcBorders>
              <w:top w:val="nil"/>
              <w:left w:val="nil"/>
              <w:bottom w:val="nil"/>
              <w:right w:val="nil"/>
            </w:tcBorders>
            <w:shd w:val="clear" w:color="auto" w:fill="auto"/>
            <w:noWrap/>
            <w:vAlign w:val="bottom"/>
          </w:tcPr>
          <w:p w14:paraId="5544992C" w14:textId="77777777" w:rsidR="00640D10" w:rsidRPr="00EC79C1" w:rsidRDefault="00640D10" w:rsidP="00E54A31">
            <w:pPr>
              <w:spacing w:after="0" w:line="240" w:lineRule="auto"/>
              <w:jc w:val="center"/>
              <w:rPr>
                <w:rFonts w:ascii="Times New Roman" w:eastAsia="Times New Roman" w:hAnsi="Times New Roman" w:cs="Times New Roman"/>
                <w:color w:val="000000"/>
                <w:kern w:val="0"/>
                <w:lang w:eastAsia="en-GB"/>
                <w14:ligatures w14:val="none"/>
              </w:rPr>
            </w:pPr>
            <w:r w:rsidRPr="00A275A3">
              <w:rPr>
                <w:rFonts w:ascii="Times New Roman" w:eastAsia="Times New Roman" w:hAnsi="Times New Roman" w:cs="Times New Roman"/>
                <w:color w:val="000000"/>
                <w:kern w:val="0"/>
                <w:lang w:eastAsia="en-GB"/>
                <w14:ligatures w14:val="none"/>
              </w:rPr>
              <w:t>0.91</w:t>
            </w:r>
            <w:r>
              <w:rPr>
                <w:rFonts w:ascii="Times New Roman" w:eastAsia="Times New Roman" w:hAnsi="Times New Roman" w:cs="Times New Roman"/>
                <w:color w:val="000000"/>
                <w:kern w:val="0"/>
                <w:lang w:eastAsia="en-GB"/>
                <w14:ligatures w14:val="none"/>
              </w:rPr>
              <w:t>5</w:t>
            </w:r>
          </w:p>
        </w:tc>
      </w:tr>
      <w:tr w:rsidR="00640D10" w:rsidRPr="00EC79C1" w14:paraId="38BAEFBC" w14:textId="77777777" w:rsidTr="00D12619">
        <w:trPr>
          <w:trHeight w:val="301"/>
        </w:trPr>
        <w:tc>
          <w:tcPr>
            <w:tcW w:w="1334" w:type="dxa"/>
            <w:tcBorders>
              <w:top w:val="nil"/>
              <w:left w:val="nil"/>
              <w:right w:val="nil"/>
            </w:tcBorders>
            <w:shd w:val="clear" w:color="auto" w:fill="auto"/>
            <w:noWrap/>
            <w:vAlign w:val="bottom"/>
            <w:hideMark/>
          </w:tcPr>
          <w:p w14:paraId="16E70F62" w14:textId="77777777" w:rsidR="00640D10" w:rsidRPr="00EC79C1" w:rsidRDefault="00640D10" w:rsidP="00E54A31">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FumB1</w:t>
            </w:r>
          </w:p>
        </w:tc>
        <w:tc>
          <w:tcPr>
            <w:tcW w:w="1270" w:type="dxa"/>
            <w:tcBorders>
              <w:top w:val="nil"/>
              <w:left w:val="nil"/>
              <w:right w:val="nil"/>
            </w:tcBorders>
            <w:vAlign w:val="center"/>
          </w:tcPr>
          <w:p w14:paraId="3945D5DA"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56.7</w:t>
            </w:r>
          </w:p>
        </w:tc>
        <w:tc>
          <w:tcPr>
            <w:tcW w:w="1270" w:type="dxa"/>
            <w:tcBorders>
              <w:top w:val="nil"/>
              <w:left w:val="nil"/>
              <w:right w:val="nil"/>
            </w:tcBorders>
            <w:shd w:val="clear" w:color="auto" w:fill="auto"/>
            <w:noWrap/>
            <w:vAlign w:val="center"/>
            <w:hideMark/>
          </w:tcPr>
          <w:p w14:paraId="4729EF53"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56.01</w:t>
            </w:r>
          </w:p>
        </w:tc>
        <w:tc>
          <w:tcPr>
            <w:tcW w:w="1270" w:type="dxa"/>
            <w:tcBorders>
              <w:top w:val="nil"/>
              <w:left w:val="nil"/>
              <w:right w:val="nil"/>
            </w:tcBorders>
            <w:shd w:val="clear" w:color="auto" w:fill="auto"/>
            <w:noWrap/>
            <w:vAlign w:val="center"/>
            <w:hideMark/>
          </w:tcPr>
          <w:p w14:paraId="2ECF28E8"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53.71</w:t>
            </w:r>
          </w:p>
        </w:tc>
        <w:tc>
          <w:tcPr>
            <w:tcW w:w="1270" w:type="dxa"/>
            <w:tcBorders>
              <w:top w:val="nil"/>
              <w:left w:val="nil"/>
              <w:right w:val="nil"/>
            </w:tcBorders>
            <w:shd w:val="clear" w:color="auto" w:fill="auto"/>
            <w:noWrap/>
            <w:vAlign w:val="center"/>
            <w:hideMark/>
          </w:tcPr>
          <w:p w14:paraId="5C611962"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53.94</w:t>
            </w:r>
          </w:p>
        </w:tc>
        <w:tc>
          <w:tcPr>
            <w:tcW w:w="1342" w:type="dxa"/>
            <w:tcBorders>
              <w:top w:val="nil"/>
              <w:left w:val="nil"/>
              <w:right w:val="nil"/>
            </w:tcBorders>
            <w:shd w:val="clear" w:color="auto" w:fill="auto"/>
            <w:noWrap/>
            <w:vAlign w:val="center"/>
          </w:tcPr>
          <w:p w14:paraId="14179AEC"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640D10">
              <w:rPr>
                <w:rFonts w:ascii="Times New Roman" w:eastAsia="Times New Roman" w:hAnsi="Times New Roman" w:cs="Times New Roman"/>
                <w:color w:val="000000"/>
                <w:kern w:val="0"/>
                <w:lang w:eastAsia="en-GB"/>
                <w14:ligatures w14:val="none"/>
              </w:rPr>
              <w:t>4.555</w:t>
            </w:r>
          </w:p>
        </w:tc>
        <w:tc>
          <w:tcPr>
            <w:tcW w:w="1270" w:type="dxa"/>
            <w:tcBorders>
              <w:top w:val="nil"/>
              <w:left w:val="nil"/>
              <w:right w:val="nil"/>
            </w:tcBorders>
            <w:shd w:val="clear" w:color="auto" w:fill="auto"/>
            <w:noWrap/>
            <w:vAlign w:val="bottom"/>
          </w:tcPr>
          <w:p w14:paraId="689F0CCC" w14:textId="77777777" w:rsidR="00640D10" w:rsidRPr="00EC79C1" w:rsidRDefault="00640D10" w:rsidP="00E54A31">
            <w:pPr>
              <w:spacing w:after="0" w:line="240" w:lineRule="auto"/>
              <w:jc w:val="center"/>
              <w:rPr>
                <w:rFonts w:ascii="Times New Roman" w:eastAsia="Times New Roman" w:hAnsi="Times New Roman" w:cs="Times New Roman"/>
                <w:color w:val="000000"/>
                <w:kern w:val="0"/>
                <w:lang w:eastAsia="en-GB"/>
                <w14:ligatures w14:val="none"/>
              </w:rPr>
            </w:pPr>
            <w:r w:rsidRPr="00A275A3">
              <w:rPr>
                <w:rFonts w:ascii="Times New Roman" w:eastAsia="Times New Roman" w:hAnsi="Times New Roman" w:cs="Times New Roman"/>
                <w:color w:val="000000"/>
                <w:kern w:val="0"/>
                <w:lang w:eastAsia="en-GB"/>
                <w14:ligatures w14:val="none"/>
              </w:rPr>
              <w:t>0.988</w:t>
            </w:r>
          </w:p>
        </w:tc>
      </w:tr>
      <w:tr w:rsidR="00640D10" w:rsidRPr="00EC79C1" w14:paraId="34040A44" w14:textId="77777777" w:rsidTr="00D12619">
        <w:trPr>
          <w:trHeight w:val="301"/>
        </w:trPr>
        <w:tc>
          <w:tcPr>
            <w:tcW w:w="1334" w:type="dxa"/>
            <w:tcBorders>
              <w:top w:val="nil"/>
              <w:left w:val="nil"/>
              <w:bottom w:val="single" w:sz="4" w:space="0" w:color="auto"/>
              <w:right w:val="nil"/>
            </w:tcBorders>
            <w:shd w:val="clear" w:color="auto" w:fill="auto"/>
            <w:noWrap/>
            <w:vAlign w:val="bottom"/>
            <w:hideMark/>
          </w:tcPr>
          <w:p w14:paraId="768BE246" w14:textId="77777777" w:rsidR="00640D10" w:rsidRPr="00EC79C1" w:rsidRDefault="00640D10" w:rsidP="00E54A31">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T2</w:t>
            </w:r>
          </w:p>
        </w:tc>
        <w:tc>
          <w:tcPr>
            <w:tcW w:w="1270" w:type="dxa"/>
            <w:tcBorders>
              <w:top w:val="nil"/>
              <w:left w:val="nil"/>
              <w:bottom w:val="single" w:sz="4" w:space="0" w:color="auto"/>
              <w:right w:val="nil"/>
            </w:tcBorders>
            <w:vAlign w:val="center"/>
          </w:tcPr>
          <w:p w14:paraId="6F74959B"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35.1</w:t>
            </w:r>
          </w:p>
        </w:tc>
        <w:tc>
          <w:tcPr>
            <w:tcW w:w="1270" w:type="dxa"/>
            <w:tcBorders>
              <w:top w:val="nil"/>
              <w:left w:val="nil"/>
              <w:bottom w:val="single" w:sz="4" w:space="0" w:color="auto"/>
              <w:right w:val="nil"/>
            </w:tcBorders>
            <w:shd w:val="clear" w:color="auto" w:fill="auto"/>
            <w:noWrap/>
            <w:vAlign w:val="center"/>
            <w:hideMark/>
          </w:tcPr>
          <w:p w14:paraId="669C5703"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56.57</w:t>
            </w:r>
          </w:p>
        </w:tc>
        <w:tc>
          <w:tcPr>
            <w:tcW w:w="1270" w:type="dxa"/>
            <w:tcBorders>
              <w:top w:val="nil"/>
              <w:left w:val="nil"/>
              <w:bottom w:val="single" w:sz="4" w:space="0" w:color="auto"/>
              <w:right w:val="nil"/>
            </w:tcBorders>
            <w:shd w:val="clear" w:color="auto" w:fill="auto"/>
            <w:noWrap/>
            <w:vAlign w:val="center"/>
            <w:hideMark/>
          </w:tcPr>
          <w:p w14:paraId="16C30A19"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34.50</w:t>
            </w:r>
          </w:p>
        </w:tc>
        <w:tc>
          <w:tcPr>
            <w:tcW w:w="1270" w:type="dxa"/>
            <w:tcBorders>
              <w:top w:val="nil"/>
              <w:left w:val="nil"/>
              <w:bottom w:val="single" w:sz="4" w:space="0" w:color="auto"/>
              <w:right w:val="nil"/>
            </w:tcBorders>
            <w:shd w:val="clear" w:color="auto" w:fill="auto"/>
            <w:noWrap/>
            <w:vAlign w:val="center"/>
            <w:hideMark/>
          </w:tcPr>
          <w:p w14:paraId="53672C29"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EC79C1">
              <w:rPr>
                <w:rFonts w:ascii="Times New Roman" w:eastAsia="Times New Roman" w:hAnsi="Times New Roman" w:cs="Times New Roman"/>
                <w:color w:val="000000"/>
                <w:kern w:val="0"/>
                <w:lang w:eastAsia="en-GB"/>
                <w14:ligatures w14:val="none"/>
              </w:rPr>
              <w:t>43.87</w:t>
            </w:r>
          </w:p>
        </w:tc>
        <w:tc>
          <w:tcPr>
            <w:tcW w:w="1342" w:type="dxa"/>
            <w:tcBorders>
              <w:top w:val="nil"/>
              <w:left w:val="nil"/>
              <w:bottom w:val="single" w:sz="4" w:space="0" w:color="auto"/>
              <w:right w:val="nil"/>
            </w:tcBorders>
            <w:shd w:val="clear" w:color="auto" w:fill="auto"/>
            <w:noWrap/>
            <w:vAlign w:val="center"/>
          </w:tcPr>
          <w:p w14:paraId="3815FAE2" w14:textId="77777777" w:rsidR="00640D10" w:rsidRPr="00EC79C1" w:rsidRDefault="00640D10" w:rsidP="00D12619">
            <w:pPr>
              <w:spacing w:after="0" w:line="240" w:lineRule="auto"/>
              <w:jc w:val="center"/>
              <w:rPr>
                <w:rFonts w:ascii="Times New Roman" w:eastAsia="Times New Roman" w:hAnsi="Times New Roman" w:cs="Times New Roman"/>
                <w:color w:val="000000"/>
                <w:kern w:val="0"/>
                <w:lang w:eastAsia="en-GB"/>
                <w14:ligatures w14:val="none"/>
              </w:rPr>
            </w:pPr>
            <w:r w:rsidRPr="00640D10">
              <w:rPr>
                <w:rFonts w:ascii="Times New Roman" w:eastAsia="Times New Roman" w:hAnsi="Times New Roman" w:cs="Times New Roman"/>
                <w:color w:val="000000"/>
                <w:kern w:val="0"/>
                <w:lang w:eastAsia="en-GB"/>
                <w14:ligatures w14:val="none"/>
              </w:rPr>
              <w:t>10.219</w:t>
            </w:r>
          </w:p>
        </w:tc>
        <w:tc>
          <w:tcPr>
            <w:tcW w:w="1270" w:type="dxa"/>
            <w:tcBorders>
              <w:top w:val="nil"/>
              <w:left w:val="nil"/>
              <w:bottom w:val="single" w:sz="4" w:space="0" w:color="auto"/>
              <w:right w:val="nil"/>
            </w:tcBorders>
            <w:shd w:val="clear" w:color="auto" w:fill="auto"/>
            <w:noWrap/>
            <w:vAlign w:val="bottom"/>
          </w:tcPr>
          <w:p w14:paraId="3E468FB6" w14:textId="77777777" w:rsidR="00640D10" w:rsidRPr="00EC79C1" w:rsidRDefault="00640D10" w:rsidP="00E54A31">
            <w:pPr>
              <w:spacing w:after="0" w:line="240" w:lineRule="auto"/>
              <w:jc w:val="center"/>
              <w:rPr>
                <w:rFonts w:ascii="Times New Roman" w:eastAsia="Times New Roman" w:hAnsi="Times New Roman" w:cs="Times New Roman"/>
                <w:color w:val="000000"/>
                <w:kern w:val="0"/>
                <w:lang w:eastAsia="en-GB"/>
                <w14:ligatures w14:val="none"/>
              </w:rPr>
            </w:pPr>
            <w:r w:rsidRPr="00A275A3">
              <w:rPr>
                <w:rFonts w:ascii="Times New Roman" w:eastAsia="Times New Roman" w:hAnsi="Times New Roman" w:cs="Times New Roman"/>
                <w:color w:val="000000"/>
                <w:kern w:val="0"/>
                <w:lang w:eastAsia="en-GB"/>
                <w14:ligatures w14:val="none"/>
              </w:rPr>
              <w:t>0.63</w:t>
            </w:r>
            <w:r>
              <w:rPr>
                <w:rFonts w:ascii="Times New Roman" w:eastAsia="Times New Roman" w:hAnsi="Times New Roman" w:cs="Times New Roman"/>
                <w:color w:val="000000"/>
                <w:kern w:val="0"/>
                <w:lang w:eastAsia="en-GB"/>
                <w14:ligatures w14:val="none"/>
              </w:rPr>
              <w:t>3</w:t>
            </w:r>
          </w:p>
        </w:tc>
      </w:tr>
    </w:tbl>
    <w:p w14:paraId="3B4C066A" w14:textId="15D7F6ED" w:rsidR="00D12619" w:rsidRDefault="00D12619" w:rsidP="00471DFA">
      <w:pPr>
        <w:contextualSpacing/>
        <w:rPr>
          <w:rFonts w:ascii="Times New Roman" w:hAnsi="Times New Roman" w:cs="Times New Roman"/>
          <w:vertAlign w:val="superscript"/>
        </w:rPr>
      </w:pPr>
      <w:r>
        <w:rPr>
          <w:rFonts w:ascii="Times New Roman" w:hAnsi="Times New Roman" w:cs="Times New Roman"/>
          <w:vertAlign w:val="superscript"/>
        </w:rPr>
        <w:t xml:space="preserve">1 </w:t>
      </w:r>
      <w:r w:rsidRPr="00D12619">
        <w:rPr>
          <w:rFonts w:ascii="Times New Roman" w:hAnsi="Times New Roman" w:cs="Times New Roman"/>
        </w:rPr>
        <w:t>Control is a commercially available UK and EU approved 1m558 bentonite</w:t>
      </w:r>
      <w:r>
        <w:rPr>
          <w:rFonts w:ascii="Times New Roman" w:hAnsi="Times New Roman" w:cs="Times New Roman"/>
          <w:vertAlign w:val="superscript"/>
        </w:rPr>
        <w:t xml:space="preserve"> </w:t>
      </w:r>
    </w:p>
    <w:p w14:paraId="77AAC3BB" w14:textId="2CAE71AF" w:rsidR="00471DFA" w:rsidRDefault="00D12619" w:rsidP="00471DFA">
      <w:pPr>
        <w:contextualSpacing/>
        <w:rPr>
          <w:rFonts w:ascii="Times New Roman" w:hAnsi="Times New Roman" w:cs="Times New Roman"/>
        </w:rPr>
      </w:pPr>
      <w:r>
        <w:rPr>
          <w:rFonts w:ascii="Times New Roman" w:hAnsi="Times New Roman" w:cs="Times New Roman"/>
          <w:vertAlign w:val="superscript"/>
        </w:rPr>
        <w:t>2</w:t>
      </w:r>
      <w:r w:rsidR="00640D10">
        <w:rPr>
          <w:rFonts w:ascii="Times New Roman" w:hAnsi="Times New Roman" w:cs="Times New Roman"/>
        </w:rPr>
        <w:t xml:space="preserve"> Standard error of the mean</w:t>
      </w:r>
      <w:r w:rsidR="00471DFA">
        <w:rPr>
          <w:rFonts w:ascii="Times New Roman" w:hAnsi="Times New Roman" w:cs="Times New Roman"/>
        </w:rPr>
        <w:t>, a-c; differing letters denote significant differences</w:t>
      </w:r>
    </w:p>
    <w:p w14:paraId="60CB4DCC" w14:textId="77777777" w:rsidR="00471DFA" w:rsidRDefault="00471DFA">
      <w:pPr>
        <w:rPr>
          <w:b/>
          <w:bCs/>
          <w:lang w:val="en-US"/>
        </w:rPr>
      </w:pPr>
    </w:p>
    <w:p w14:paraId="68E461EC" w14:textId="6D5E96C7" w:rsidR="007B30E3" w:rsidRDefault="007B30E3">
      <w:pPr>
        <w:rPr>
          <w:b/>
          <w:bCs/>
          <w:lang w:val="en-US"/>
        </w:rPr>
      </w:pPr>
      <w:r>
        <w:rPr>
          <w:b/>
          <w:bCs/>
          <w:lang w:val="en-US"/>
        </w:rPr>
        <w:t>Conclusions</w:t>
      </w:r>
    </w:p>
    <w:p w14:paraId="7477E999" w14:textId="7E0A665A" w:rsidR="00471DFA" w:rsidRPr="00783A03" w:rsidRDefault="00471DFA" w:rsidP="00471DFA">
      <w:pPr>
        <w:rPr>
          <w:rFonts w:ascii="Times New Roman" w:hAnsi="Times New Roman" w:cs="Times New Roman"/>
        </w:rPr>
      </w:pPr>
      <w:r>
        <w:rPr>
          <w:rFonts w:ascii="Times New Roman" w:hAnsi="Times New Roman" w:cs="Times New Roman"/>
        </w:rPr>
        <w:t>The products tested all show effective binding for the 6 toxins tested at pH 2.5 at commercially relevant doses. The three products tested (AN, AUB and ANT) all showed significantly improved efficacy</w:t>
      </w:r>
      <w:r w:rsidR="00D12619">
        <w:rPr>
          <w:rFonts w:ascii="Times New Roman" w:hAnsi="Times New Roman" w:cs="Times New Roman"/>
        </w:rPr>
        <w:t xml:space="preserve"> for AfB1, OTA, and ZEA</w:t>
      </w:r>
      <w:r>
        <w:rPr>
          <w:rFonts w:ascii="Times New Roman" w:hAnsi="Times New Roman" w:cs="Times New Roman"/>
        </w:rPr>
        <w:t xml:space="preserve"> </w:t>
      </w:r>
      <w:r w:rsidR="00D12619">
        <w:rPr>
          <w:rFonts w:ascii="Times New Roman" w:hAnsi="Times New Roman" w:cs="Times New Roman"/>
        </w:rPr>
        <w:t>than</w:t>
      </w:r>
      <w:r>
        <w:rPr>
          <w:rFonts w:ascii="Times New Roman" w:hAnsi="Times New Roman" w:cs="Times New Roman"/>
        </w:rPr>
        <w:t xml:space="preserve"> the </w:t>
      </w:r>
      <w:r w:rsidR="00D12619">
        <w:rPr>
          <w:rFonts w:ascii="Times New Roman" w:hAnsi="Times New Roman" w:cs="Times New Roman"/>
        </w:rPr>
        <w:t>control (</w:t>
      </w:r>
      <w:r>
        <w:rPr>
          <w:rFonts w:ascii="Times New Roman" w:hAnsi="Times New Roman" w:cs="Times New Roman"/>
        </w:rPr>
        <w:t>UK and EU authorised 1m558 bentonite</w:t>
      </w:r>
      <w:r w:rsidR="00D12619">
        <w:rPr>
          <w:rFonts w:ascii="Times New Roman" w:hAnsi="Times New Roman" w:cs="Times New Roman"/>
        </w:rPr>
        <w:t>)</w:t>
      </w:r>
      <w:r>
        <w:rPr>
          <w:rFonts w:ascii="Times New Roman" w:hAnsi="Times New Roman" w:cs="Times New Roman"/>
        </w:rPr>
        <w:t xml:space="preserve">. However binding efficacy is shown to be different for each of the products with some showing higher affinity for common toxins such as zearalenone, a common toxin linked with uterine prolapse in sows and gilts. Therefore, is it recommended that feed is analysed by HPLC to confirm the toxins present and a suitable toxin binder chosen based on these results.  </w:t>
      </w:r>
    </w:p>
    <w:p w14:paraId="41A3C7EB" w14:textId="77777777" w:rsidR="007B30E3" w:rsidRDefault="007B30E3">
      <w:pPr>
        <w:rPr>
          <w:b/>
          <w:bCs/>
          <w:lang w:val="en-US"/>
        </w:rPr>
      </w:pPr>
    </w:p>
    <w:p w14:paraId="0ADB320F" w14:textId="5E6F53FF" w:rsidR="007B30E3" w:rsidRDefault="007B30E3">
      <w:pPr>
        <w:rPr>
          <w:b/>
          <w:bCs/>
          <w:lang w:val="en-US"/>
        </w:rPr>
      </w:pPr>
      <w:r>
        <w:rPr>
          <w:b/>
          <w:bCs/>
          <w:lang w:val="en-US"/>
        </w:rPr>
        <w:t>References</w:t>
      </w:r>
    </w:p>
    <w:p w14:paraId="62FA9887" w14:textId="2B6641EE" w:rsidR="00640D10" w:rsidRPr="00783A03" w:rsidRDefault="00640D10" w:rsidP="00640D10">
      <w:pPr>
        <w:rPr>
          <w:rFonts w:ascii="Times New Roman" w:hAnsi="Times New Roman" w:cs="Times New Roman"/>
        </w:rPr>
      </w:pPr>
      <w:r w:rsidRPr="00230CB1">
        <w:rPr>
          <w:rFonts w:ascii="Times New Roman" w:hAnsi="Times New Roman" w:cs="Times New Roman"/>
        </w:rPr>
        <w:t>Janić Hajnal, E., Kos, J., Radić, B., Anić, M., Radović, R., Kudumija, N., Vulić, A., Đekić, S., &amp; Pleadin, J. (2023). Impact of Climate Changes on the Natural Prevalence of </w:t>
      </w:r>
      <w:r w:rsidRPr="00230CB1">
        <w:rPr>
          <w:rFonts w:ascii="Times New Roman" w:hAnsi="Times New Roman" w:cs="Times New Roman"/>
          <w:i/>
          <w:iCs/>
        </w:rPr>
        <w:t>Fusarium</w:t>
      </w:r>
      <w:r w:rsidRPr="00230CB1">
        <w:rPr>
          <w:rFonts w:ascii="Times New Roman" w:hAnsi="Times New Roman" w:cs="Times New Roman"/>
        </w:rPr>
        <w:t> Mycotoxins in Maize Harvested in Serbia and Croatia. </w:t>
      </w:r>
      <w:r w:rsidRPr="00230CB1">
        <w:rPr>
          <w:rFonts w:ascii="Times New Roman" w:hAnsi="Times New Roman" w:cs="Times New Roman"/>
          <w:i/>
          <w:iCs/>
        </w:rPr>
        <w:t>Foods</w:t>
      </w:r>
      <w:r w:rsidRPr="00230CB1">
        <w:rPr>
          <w:rFonts w:ascii="Times New Roman" w:hAnsi="Times New Roman" w:cs="Times New Roman"/>
        </w:rPr>
        <w:t>, </w:t>
      </w:r>
      <w:r w:rsidRPr="00230CB1">
        <w:rPr>
          <w:rFonts w:ascii="Times New Roman" w:hAnsi="Times New Roman" w:cs="Times New Roman"/>
          <w:i/>
          <w:iCs/>
        </w:rPr>
        <w:t>12</w:t>
      </w:r>
      <w:r w:rsidRPr="00230CB1">
        <w:rPr>
          <w:rFonts w:ascii="Times New Roman" w:hAnsi="Times New Roman" w:cs="Times New Roman"/>
        </w:rPr>
        <w:t xml:space="preserve">(5), 1002. </w:t>
      </w:r>
    </w:p>
    <w:p w14:paraId="1AA910EA" w14:textId="77777777" w:rsidR="00640D10" w:rsidRPr="007B30E3" w:rsidRDefault="00640D10">
      <w:pPr>
        <w:rPr>
          <w:b/>
          <w:bCs/>
          <w:lang w:val="en-US"/>
        </w:rPr>
      </w:pPr>
    </w:p>
    <w:sectPr w:rsidR="00640D10"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71952"/>
    <w:rsid w:val="001C7DA1"/>
    <w:rsid w:val="001F6090"/>
    <w:rsid w:val="00383DCD"/>
    <w:rsid w:val="00397193"/>
    <w:rsid w:val="00471DFA"/>
    <w:rsid w:val="00625B14"/>
    <w:rsid w:val="00640D10"/>
    <w:rsid w:val="00784A18"/>
    <w:rsid w:val="007B30E3"/>
    <w:rsid w:val="00933E8C"/>
    <w:rsid w:val="00A275A3"/>
    <w:rsid w:val="00B353D4"/>
    <w:rsid w:val="00B52E4E"/>
    <w:rsid w:val="00C53AE2"/>
    <w:rsid w:val="00C95030"/>
    <w:rsid w:val="00D12619"/>
    <w:rsid w:val="00DD21B5"/>
    <w:rsid w:val="00E27EE6"/>
    <w:rsid w:val="00FD6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D4927-B381-4278-8881-89C86CBE0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Ellie Burroughs</cp:lastModifiedBy>
  <cp:revision>7</cp:revision>
  <dcterms:created xsi:type="dcterms:W3CDTF">2025-01-20T12:24:00Z</dcterms:created>
  <dcterms:modified xsi:type="dcterms:W3CDTF">2025-02-05T10:49:00Z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