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2D62BF00" w:rsidR="007B30E3" w:rsidRDefault="007B30E3" w:rsidP="00587725">
      <w:pPr>
        <w:jc w:val="both"/>
        <w:rPr>
          <w:b/>
          <w:bCs/>
          <w:lang w:val="en-US"/>
        </w:rPr>
      </w:pPr>
      <w:r>
        <w:rPr>
          <w:b/>
          <w:bCs/>
          <w:lang w:val="en-US"/>
        </w:rPr>
        <w:t>Application</w:t>
      </w:r>
    </w:p>
    <w:p w14:paraId="24E7901F" w14:textId="3638BC9D" w:rsidR="001C7F76" w:rsidRPr="001C7F76" w:rsidRDefault="001C7F76" w:rsidP="00587725">
      <w:pPr>
        <w:jc w:val="both"/>
        <w:rPr>
          <w:b/>
          <w:bCs/>
          <w:lang w:val="en-US"/>
        </w:rPr>
      </w:pPr>
      <w:r w:rsidRPr="001C7F76">
        <w:rPr>
          <w:rFonts w:cs="Arial"/>
          <w:color w:val="000000" w:themeColor="text1"/>
        </w:rPr>
        <w:t xml:space="preserve">The identified animal genetic effects on ruminal metabolites concentrations and on the abundances of microbial genes together with their genetic correlations with methane emissions are expected to improve the accuracy of microbiome-driven breeding to </w:t>
      </w:r>
      <w:r w:rsidR="008A7A63" w:rsidRPr="001C7F76">
        <w:rPr>
          <w:rFonts w:cs="Arial"/>
          <w:color w:val="000000" w:themeColor="text1"/>
        </w:rPr>
        <w:t>reduce this highly potent greenhouse gas efficiently and cost-effectively</w:t>
      </w:r>
      <w:r w:rsidRPr="001C7F76">
        <w:rPr>
          <w:rFonts w:cs="Arial"/>
          <w:color w:val="000000" w:themeColor="text1"/>
        </w:rPr>
        <w:t xml:space="preserve"> by reliable selection of low emitting cattle.</w:t>
      </w:r>
    </w:p>
    <w:p w14:paraId="5E9F33D1" w14:textId="5CDACFAB" w:rsidR="007B30E3" w:rsidRDefault="007B30E3" w:rsidP="00587725">
      <w:pPr>
        <w:jc w:val="both"/>
        <w:rPr>
          <w:b/>
          <w:bCs/>
          <w:lang w:val="en-US"/>
        </w:rPr>
      </w:pPr>
      <w:r>
        <w:rPr>
          <w:b/>
          <w:bCs/>
          <w:lang w:val="en-US"/>
        </w:rPr>
        <w:t>Introduction</w:t>
      </w:r>
    </w:p>
    <w:p w14:paraId="60B6EF0E" w14:textId="6AC7FA4C" w:rsidR="001C7F76" w:rsidRPr="001C7F76" w:rsidRDefault="001C7F76" w:rsidP="00587725">
      <w:pPr>
        <w:jc w:val="both"/>
      </w:pPr>
      <w:r w:rsidRPr="001C7F76">
        <w:rPr>
          <w:rFonts w:cs="Arial"/>
          <w:color w:val="000000" w:themeColor="text1"/>
        </w:rPr>
        <w:t>Volatile fatty acids (VFAs) in the rumen are the primary energy source for cattle and are known to be phenotypically related to CH</w:t>
      </w:r>
      <w:r w:rsidRPr="001C7F76">
        <w:rPr>
          <w:rFonts w:cs="Arial"/>
          <w:color w:val="000000" w:themeColor="text1"/>
          <w:vertAlign w:val="subscript"/>
        </w:rPr>
        <w:t>4</w:t>
      </w:r>
      <w:r w:rsidRPr="001C7F76">
        <w:rPr>
          <w:rFonts w:cs="Arial"/>
          <w:color w:val="000000" w:themeColor="text1"/>
        </w:rPr>
        <w:t xml:space="preserve"> emissions. Our research aimed to investigate how these ruminal metabolites are animal genomically influenced and genetically correlated with CH</w:t>
      </w:r>
      <w:r w:rsidRPr="001C7F76">
        <w:rPr>
          <w:rFonts w:cs="Arial"/>
          <w:color w:val="000000" w:themeColor="text1"/>
          <w:vertAlign w:val="subscript"/>
        </w:rPr>
        <w:t>4</w:t>
      </w:r>
      <w:r w:rsidRPr="001C7F76">
        <w:rPr>
          <w:rFonts w:cs="Arial"/>
          <w:color w:val="000000" w:themeColor="text1"/>
        </w:rPr>
        <w:t xml:space="preserve"> emissions. Additionally, we were interested in identifying microbial genes that are closely genetically correlated with both metabolites and CH</w:t>
      </w:r>
      <w:r w:rsidRPr="001C7F76">
        <w:rPr>
          <w:rFonts w:cs="Arial"/>
          <w:color w:val="000000" w:themeColor="text1"/>
          <w:vertAlign w:val="subscript"/>
        </w:rPr>
        <w:t xml:space="preserve">4 </w:t>
      </w:r>
      <w:r w:rsidRPr="001C7F76">
        <w:rPr>
          <w:rFonts w:cs="Arial"/>
          <w:color w:val="000000" w:themeColor="text1"/>
        </w:rPr>
        <w:t xml:space="preserve">emissions. The identification of the most informative </w:t>
      </w:r>
      <w:r w:rsidR="00662F18">
        <w:rPr>
          <w:rFonts w:cs="Arial"/>
          <w:color w:val="000000" w:themeColor="text1"/>
        </w:rPr>
        <w:t>biomarkers (VFAs, microbial genes)</w:t>
      </w:r>
      <w:r w:rsidRPr="001C7F76">
        <w:rPr>
          <w:rFonts w:cs="Arial"/>
          <w:color w:val="000000" w:themeColor="text1"/>
        </w:rPr>
        <w:t xml:space="preserve"> is essential for the microbiome-driven breeding strategy (Roehe et al., 2016; Martinez-Alvaro et al., 2022) and for improving our understanding of the functional regulation of the ruminal metabolite metabolism and CH</w:t>
      </w:r>
      <w:r w:rsidRPr="001C7F76">
        <w:rPr>
          <w:rFonts w:cs="Arial"/>
          <w:color w:val="000000" w:themeColor="text1"/>
          <w:vertAlign w:val="subscript"/>
        </w:rPr>
        <w:t>4</w:t>
      </w:r>
      <w:r w:rsidRPr="001C7F76">
        <w:rPr>
          <w:rFonts w:cs="Arial"/>
          <w:color w:val="000000" w:themeColor="text1"/>
        </w:rPr>
        <w:t xml:space="preserve"> production. </w:t>
      </w:r>
    </w:p>
    <w:p w14:paraId="1F63B1C6" w14:textId="70D2D108" w:rsidR="007B30E3" w:rsidRDefault="007B30E3" w:rsidP="00587725">
      <w:pPr>
        <w:jc w:val="both"/>
        <w:rPr>
          <w:b/>
          <w:bCs/>
          <w:lang w:val="en-US"/>
        </w:rPr>
      </w:pPr>
      <w:r>
        <w:rPr>
          <w:b/>
          <w:bCs/>
          <w:lang w:val="en-US"/>
        </w:rPr>
        <w:t>Materials and Methods</w:t>
      </w:r>
    </w:p>
    <w:p w14:paraId="24B527DD" w14:textId="75B6DDE8" w:rsidR="001C7F76" w:rsidRPr="001C7F76" w:rsidRDefault="001C7F76" w:rsidP="00587725">
      <w:pPr>
        <w:jc w:val="both"/>
        <w:rPr>
          <w:b/>
          <w:bCs/>
          <w:lang w:val="en-US"/>
        </w:rPr>
      </w:pPr>
      <w:r w:rsidRPr="001C7F76">
        <w:rPr>
          <w:rFonts w:eastAsia="Times New Roman" w:cs="Arial"/>
          <w:color w:val="000000" w:themeColor="text1"/>
          <w:kern w:val="36"/>
          <w:bdr w:val="none" w:sz="0" w:space="0" w:color="auto" w:frame="1"/>
          <w:lang w:eastAsia="en-GB"/>
        </w:rPr>
        <w:t xml:space="preserve">The animal trials were conducted following the UK Animals Act 1986 and were approved by the Animal Experiment Committee of SRUC. The data comprised of 363 steers that were deeply </w:t>
      </w:r>
      <w:proofErr w:type="spellStart"/>
      <w:r w:rsidRPr="001C7F76">
        <w:rPr>
          <w:rFonts w:eastAsia="Times New Roman" w:cs="Arial"/>
          <w:color w:val="000000" w:themeColor="text1"/>
          <w:kern w:val="36"/>
          <w:bdr w:val="none" w:sz="0" w:space="0" w:color="auto" w:frame="1"/>
          <w:lang w:eastAsia="en-GB"/>
        </w:rPr>
        <w:t>phenotyped</w:t>
      </w:r>
      <w:proofErr w:type="spellEnd"/>
      <w:r w:rsidRPr="001C7F76">
        <w:rPr>
          <w:rFonts w:eastAsia="Times New Roman" w:cs="Arial"/>
          <w:color w:val="000000" w:themeColor="text1"/>
          <w:kern w:val="36"/>
          <w:bdr w:val="none" w:sz="0" w:space="0" w:color="auto" w:frame="1"/>
          <w:lang w:eastAsia="en-GB"/>
        </w:rPr>
        <w:t xml:space="preserve"> (including </w:t>
      </w:r>
      <w:r w:rsidRPr="001C7F76">
        <w:rPr>
          <w:rFonts w:cs="Arial"/>
          <w:color w:val="000000" w:themeColor="text1"/>
        </w:rPr>
        <w:t>CH</w:t>
      </w:r>
      <w:r w:rsidRPr="001C7F76">
        <w:rPr>
          <w:rFonts w:cs="Arial"/>
          <w:color w:val="000000" w:themeColor="text1"/>
          <w:vertAlign w:val="subscript"/>
        </w:rPr>
        <w:t>4</w:t>
      </w:r>
      <w:r w:rsidRPr="001C7F76">
        <w:rPr>
          <w:rFonts w:eastAsia="Times New Roman" w:cs="Arial"/>
          <w:color w:val="000000" w:themeColor="text1"/>
          <w:kern w:val="36"/>
          <w:bdr w:val="none" w:sz="0" w:space="0" w:color="auto" w:frame="1"/>
          <w:lang w:eastAsia="en-GB"/>
        </w:rPr>
        <w:t xml:space="preserve"> emissions measured using respiration chambers) and genotyped using a 50k SNP chip. The animals were tested at SRUC’s Beef Research Centre across five trials and represented four breed types, with two basal diets (480:520 and 920:80 </w:t>
      </w:r>
      <w:proofErr w:type="spellStart"/>
      <w:r w:rsidRPr="001C7F76">
        <w:rPr>
          <w:rFonts w:eastAsia="Times New Roman" w:cs="Arial"/>
          <w:color w:val="000000" w:themeColor="text1"/>
          <w:kern w:val="36"/>
          <w:bdr w:val="none" w:sz="0" w:space="0" w:color="auto" w:frame="1"/>
          <w:lang w:eastAsia="en-GB"/>
        </w:rPr>
        <w:t>forage:concentrate</w:t>
      </w:r>
      <w:proofErr w:type="spellEnd"/>
      <w:r w:rsidRPr="001C7F76">
        <w:rPr>
          <w:rFonts w:eastAsia="Times New Roman" w:cs="Arial"/>
          <w:color w:val="000000" w:themeColor="text1"/>
          <w:kern w:val="36"/>
          <w:bdr w:val="none" w:sz="0" w:space="0" w:color="auto" w:frame="1"/>
          <w:lang w:eastAsia="en-GB"/>
        </w:rPr>
        <w:t xml:space="preserve"> ratios). In two of the trials, the feed additives nitrate and rapeseed oil were investigated. </w:t>
      </w:r>
      <w:r w:rsidR="00662F18" w:rsidRPr="001C7F76">
        <w:rPr>
          <w:rFonts w:eastAsia="Times New Roman" w:cs="Arial"/>
          <w:color w:val="000000" w:themeColor="text1"/>
          <w:kern w:val="36"/>
          <w:bdr w:val="none" w:sz="0" w:space="0" w:color="auto" w:frame="1"/>
          <w:lang w:eastAsia="en-GB"/>
        </w:rPr>
        <w:t xml:space="preserve">In addition, whole metagenome sequencing data of microbial DNA from rumen </w:t>
      </w:r>
      <w:r w:rsidR="00662F18">
        <w:rPr>
          <w:rFonts w:eastAsia="Times New Roman" w:cs="Arial"/>
          <w:color w:val="000000" w:themeColor="text1"/>
          <w:kern w:val="36"/>
          <w:bdr w:val="none" w:sz="0" w:space="0" w:color="auto" w:frame="1"/>
          <w:lang w:eastAsia="en-GB"/>
        </w:rPr>
        <w:t xml:space="preserve">fluid </w:t>
      </w:r>
      <w:r w:rsidR="00662F18" w:rsidRPr="001C7F76">
        <w:rPr>
          <w:rFonts w:eastAsia="Times New Roman" w:cs="Arial"/>
          <w:color w:val="000000" w:themeColor="text1"/>
          <w:kern w:val="36"/>
          <w:bdr w:val="none" w:sz="0" w:space="0" w:color="auto" w:frame="1"/>
          <w:lang w:eastAsia="en-GB"/>
        </w:rPr>
        <w:t xml:space="preserve">samples taken at slaughter were available. </w:t>
      </w:r>
      <w:r w:rsidRPr="001C7F76">
        <w:rPr>
          <w:rFonts w:eastAsia="Times New Roman" w:cs="Arial"/>
          <w:color w:val="000000" w:themeColor="text1"/>
          <w:kern w:val="36"/>
          <w:bdr w:val="none" w:sz="0" w:space="0" w:color="auto" w:frame="1"/>
          <w:lang w:eastAsia="en-GB"/>
        </w:rPr>
        <w:t xml:space="preserve">Aligning the ruminal metagenomic sequence reads to the Kyoto </w:t>
      </w:r>
      <w:proofErr w:type="spellStart"/>
      <w:r w:rsidRPr="001C7F76">
        <w:rPr>
          <w:rFonts w:eastAsia="Times New Roman" w:cs="Arial"/>
          <w:color w:val="000000" w:themeColor="text1"/>
          <w:kern w:val="36"/>
          <w:bdr w:val="none" w:sz="0" w:space="0" w:color="auto" w:frame="1"/>
          <w:lang w:eastAsia="en-GB"/>
        </w:rPr>
        <w:t>Encyclopedia</w:t>
      </w:r>
      <w:proofErr w:type="spellEnd"/>
      <w:r w:rsidRPr="001C7F76">
        <w:rPr>
          <w:rFonts w:eastAsia="Times New Roman" w:cs="Arial"/>
          <w:color w:val="000000" w:themeColor="text1"/>
          <w:kern w:val="36"/>
          <w:bdr w:val="none" w:sz="0" w:space="0" w:color="auto" w:frame="1"/>
          <w:lang w:eastAsia="en-GB"/>
        </w:rPr>
        <w:t xml:space="preserve"> of Genes and Genomes (KEGG) database resulted in the identification of 3362 microbial genes. For a subset of these animals (n = 137), VFA concentrations in the rumen fluid, collected at slaughter, were determined using HPLC. Bayesian genomic analyses were applied to estimate the heritabilities of the ruminal metabolites</w:t>
      </w:r>
      <w:r w:rsidR="00662F18">
        <w:rPr>
          <w:rFonts w:eastAsia="Times New Roman" w:cs="Arial"/>
          <w:color w:val="000000" w:themeColor="text1"/>
          <w:kern w:val="36"/>
          <w:bdr w:val="none" w:sz="0" w:space="0" w:color="auto" w:frame="1"/>
          <w:lang w:eastAsia="en-GB"/>
        </w:rPr>
        <w:t xml:space="preserve"> and</w:t>
      </w:r>
      <w:r w:rsidRPr="001C7F76">
        <w:rPr>
          <w:rFonts w:eastAsia="Times New Roman" w:cs="Arial"/>
          <w:color w:val="000000" w:themeColor="text1"/>
          <w:kern w:val="36"/>
          <w:bdr w:val="none" w:sz="0" w:space="0" w:color="auto" w:frame="1"/>
          <w:lang w:eastAsia="en-GB"/>
        </w:rPr>
        <w:t xml:space="preserve"> their genetic correlations with </w:t>
      </w:r>
      <w:r w:rsidRPr="001C7F76">
        <w:rPr>
          <w:rFonts w:cs="Arial"/>
          <w:color w:val="000000" w:themeColor="text1"/>
        </w:rPr>
        <w:t>CH</w:t>
      </w:r>
      <w:r w:rsidRPr="001C7F76">
        <w:rPr>
          <w:rFonts w:cs="Arial"/>
          <w:color w:val="000000" w:themeColor="text1"/>
          <w:vertAlign w:val="subscript"/>
        </w:rPr>
        <w:t>4</w:t>
      </w:r>
      <w:r w:rsidRPr="001C7F76">
        <w:rPr>
          <w:rFonts w:eastAsia="Times New Roman" w:cs="Arial"/>
          <w:color w:val="000000" w:themeColor="text1"/>
          <w:kern w:val="36"/>
          <w:bdr w:val="none" w:sz="0" w:space="0" w:color="auto" w:frame="1"/>
          <w:lang w:eastAsia="en-GB"/>
        </w:rPr>
        <w:t xml:space="preserve"> emissions as well as with functional microbial KEGG genes. The genomic model included fixed environmental effects and the animal’s random genomic effects, considering 36780 SNPs. Fixed effects in the model for metabolites included trial</w:t>
      </w:r>
      <w:r w:rsidR="00A75DC9">
        <w:rPr>
          <w:rFonts w:eastAsia="Times New Roman" w:cs="Arial"/>
          <w:color w:val="000000" w:themeColor="text1"/>
          <w:kern w:val="36"/>
          <w:bdr w:val="none" w:sz="0" w:space="0" w:color="auto" w:frame="1"/>
          <w:lang w:eastAsia="en-GB"/>
        </w:rPr>
        <w:t>,</w:t>
      </w:r>
      <w:r w:rsidRPr="001C7F76">
        <w:rPr>
          <w:rFonts w:eastAsia="Times New Roman" w:cs="Arial"/>
          <w:color w:val="000000" w:themeColor="text1"/>
          <w:kern w:val="36"/>
          <w:bdr w:val="none" w:sz="0" w:space="0" w:color="auto" w:frame="1"/>
          <w:lang w:eastAsia="en-GB"/>
        </w:rPr>
        <w:t xml:space="preserve"> breed, basal diet, feed additives and as</w:t>
      </w:r>
      <w:r w:rsidR="001A40EE">
        <w:rPr>
          <w:rFonts w:eastAsia="Times New Roman" w:cs="Arial"/>
          <w:color w:val="000000" w:themeColor="text1"/>
          <w:kern w:val="36"/>
          <w:bdr w:val="none" w:sz="0" w:space="0" w:color="auto" w:frame="1"/>
          <w:lang w:eastAsia="en-GB"/>
        </w:rPr>
        <w:t xml:space="preserve"> a</w:t>
      </w:r>
      <w:r w:rsidRPr="001C7F76">
        <w:rPr>
          <w:rFonts w:eastAsia="Times New Roman" w:cs="Arial"/>
          <w:color w:val="000000" w:themeColor="text1"/>
          <w:kern w:val="36"/>
          <w:bdr w:val="none" w:sz="0" w:space="0" w:color="auto" w:frame="1"/>
          <w:lang w:eastAsia="en-GB"/>
        </w:rPr>
        <w:t xml:space="preserve"> covariable age at slaughter, whereas for </w:t>
      </w:r>
      <w:r w:rsidRPr="001C7F76">
        <w:rPr>
          <w:rFonts w:cs="Arial"/>
          <w:color w:val="000000" w:themeColor="text1"/>
        </w:rPr>
        <w:t>CH</w:t>
      </w:r>
      <w:r w:rsidRPr="001C7F76">
        <w:rPr>
          <w:rFonts w:cs="Arial"/>
          <w:color w:val="000000" w:themeColor="text1"/>
          <w:vertAlign w:val="subscript"/>
        </w:rPr>
        <w:t>4</w:t>
      </w:r>
      <w:r w:rsidRPr="001C7F76">
        <w:rPr>
          <w:rFonts w:eastAsia="Times New Roman" w:cs="Arial"/>
          <w:color w:val="000000" w:themeColor="text1"/>
          <w:kern w:val="36"/>
          <w:bdr w:val="none" w:sz="0" w:space="0" w:color="auto" w:frame="1"/>
          <w:lang w:eastAsia="en-GB"/>
        </w:rPr>
        <w:t xml:space="preserve"> emissions and microbial KEGG genes</w:t>
      </w:r>
      <w:r w:rsidR="001A40EE">
        <w:rPr>
          <w:rFonts w:eastAsia="Times New Roman" w:cs="Arial"/>
          <w:color w:val="000000" w:themeColor="text1"/>
          <w:kern w:val="36"/>
          <w:bdr w:val="none" w:sz="0" w:space="0" w:color="auto" w:frame="1"/>
          <w:lang w:eastAsia="en-GB"/>
        </w:rPr>
        <w:t>,</w:t>
      </w:r>
      <w:r w:rsidR="00A75DC9">
        <w:rPr>
          <w:rFonts w:eastAsia="Times New Roman" w:cs="Arial"/>
          <w:color w:val="000000" w:themeColor="text1"/>
          <w:kern w:val="36"/>
          <w:bdr w:val="none" w:sz="0" w:space="0" w:color="auto" w:frame="1"/>
          <w:lang w:eastAsia="en-GB"/>
        </w:rPr>
        <w:t xml:space="preserve"> </w:t>
      </w:r>
      <w:r w:rsidR="00662F18">
        <w:rPr>
          <w:rFonts w:eastAsia="Times New Roman" w:cs="Arial"/>
          <w:color w:val="000000" w:themeColor="text1"/>
          <w:kern w:val="36"/>
          <w:bdr w:val="none" w:sz="0" w:space="0" w:color="auto" w:frame="1"/>
          <w:lang w:eastAsia="en-GB"/>
        </w:rPr>
        <w:t>fixed effects</w:t>
      </w:r>
      <w:r w:rsidR="00A75DC9">
        <w:rPr>
          <w:rFonts w:eastAsia="Times New Roman" w:cs="Arial"/>
          <w:color w:val="000000" w:themeColor="text1"/>
          <w:kern w:val="36"/>
          <w:bdr w:val="none" w:sz="0" w:space="0" w:color="auto" w:frame="1"/>
          <w:lang w:eastAsia="en-GB"/>
        </w:rPr>
        <w:t xml:space="preserve"> were</w:t>
      </w:r>
      <w:r w:rsidRPr="001C7F76">
        <w:rPr>
          <w:rFonts w:eastAsia="Times New Roman" w:cs="Arial"/>
          <w:color w:val="000000" w:themeColor="text1"/>
          <w:kern w:val="36"/>
          <w:bdr w:val="none" w:sz="0" w:space="0" w:color="auto" w:frame="1"/>
          <w:lang w:eastAsia="en-GB"/>
        </w:rPr>
        <w:t xml:space="preserve"> the combined trial-breed-diet effects with additional consideration of a covariable</w:t>
      </w:r>
      <w:r w:rsidR="001A40EE">
        <w:rPr>
          <w:rFonts w:eastAsia="Times New Roman" w:cs="Arial"/>
          <w:color w:val="000000" w:themeColor="text1"/>
          <w:kern w:val="36"/>
          <w:bdr w:val="none" w:sz="0" w:space="0" w:color="auto" w:frame="1"/>
          <w:lang w:eastAsia="en-GB"/>
        </w:rPr>
        <w:t>, either</w:t>
      </w:r>
      <w:r w:rsidRPr="001C7F76">
        <w:rPr>
          <w:rFonts w:eastAsia="Times New Roman" w:cs="Arial"/>
          <w:color w:val="000000" w:themeColor="text1"/>
          <w:kern w:val="36"/>
          <w:bdr w:val="none" w:sz="0" w:space="0" w:color="auto" w:frame="1"/>
          <w:lang w:eastAsia="en-GB"/>
        </w:rPr>
        <w:t xml:space="preserve"> the age entering the respiration chambers or age at slaughter, respectively.</w:t>
      </w:r>
    </w:p>
    <w:p w14:paraId="35CAF992" w14:textId="43ABAA1F" w:rsidR="007B30E3" w:rsidRDefault="007B30E3" w:rsidP="00587725">
      <w:pPr>
        <w:jc w:val="both"/>
        <w:rPr>
          <w:b/>
          <w:bCs/>
          <w:lang w:val="en-US"/>
        </w:rPr>
      </w:pPr>
      <w:r>
        <w:rPr>
          <w:b/>
          <w:bCs/>
          <w:lang w:val="en-US"/>
        </w:rPr>
        <w:t>Results</w:t>
      </w:r>
    </w:p>
    <w:p w14:paraId="4713610F" w14:textId="76D4ACEE" w:rsidR="001C7F76" w:rsidRPr="001C7F76" w:rsidRDefault="001C7F76" w:rsidP="00587725">
      <w:pPr>
        <w:spacing w:after="0"/>
        <w:jc w:val="both"/>
        <w:rPr>
          <w:rFonts w:cs="Arial"/>
          <w:color w:val="000000" w:themeColor="text1"/>
        </w:rPr>
      </w:pPr>
      <w:r w:rsidRPr="001C7F76">
        <w:rPr>
          <w:rFonts w:cs="Arial"/>
          <w:color w:val="000000" w:themeColor="text1"/>
        </w:rPr>
        <w:t xml:space="preserve">Estimated heritabilities of molar proportion of (iso)butyrate were at high magnitude, whereas those of acetate, propionate and (iso)valerate were at moderate level, </w:t>
      </w:r>
      <w:r w:rsidR="00662F18">
        <w:rPr>
          <w:rFonts w:cs="Arial"/>
          <w:color w:val="000000" w:themeColor="text1"/>
        </w:rPr>
        <w:t>indicating</w:t>
      </w:r>
      <w:r w:rsidRPr="001C7F76">
        <w:rPr>
          <w:rFonts w:cs="Arial"/>
          <w:color w:val="000000" w:themeColor="text1"/>
        </w:rPr>
        <w:t xml:space="preserve"> a host genomic influence on the ruminal microbial metabolism of VFAs (Table 1). The genetic correlations of the main VFA</w:t>
      </w:r>
      <w:r w:rsidR="002D3C33">
        <w:rPr>
          <w:rFonts w:cs="Arial"/>
          <w:color w:val="000000" w:themeColor="text1"/>
        </w:rPr>
        <w:t>s</w:t>
      </w:r>
      <w:r w:rsidRPr="001C7F76">
        <w:rPr>
          <w:rFonts w:cs="Arial"/>
          <w:color w:val="000000" w:themeColor="text1"/>
        </w:rPr>
        <w:t xml:space="preserve"> with </w:t>
      </w:r>
      <w:r w:rsidRPr="001C7F76">
        <w:rPr>
          <w:rFonts w:cs="Arial"/>
          <w:lang w:val="en-US"/>
        </w:rPr>
        <w:t xml:space="preserve">daily </w:t>
      </w:r>
      <w:r w:rsidRPr="001C7F76">
        <w:rPr>
          <w:rFonts w:cs="Arial"/>
          <w:color w:val="000000" w:themeColor="text1"/>
        </w:rPr>
        <w:t>CH</w:t>
      </w:r>
      <w:r w:rsidRPr="001C7F76">
        <w:rPr>
          <w:rFonts w:cs="Arial"/>
          <w:color w:val="000000" w:themeColor="text1"/>
          <w:vertAlign w:val="subscript"/>
        </w:rPr>
        <w:t>4</w:t>
      </w:r>
      <w:r w:rsidRPr="001C7F76">
        <w:rPr>
          <w:rFonts w:cs="Arial"/>
          <w:lang w:val="en-US"/>
        </w:rPr>
        <w:t xml:space="preserve"> emissions (</w:t>
      </w:r>
      <w:r w:rsidRPr="001C7F76">
        <w:rPr>
          <w:rFonts w:cs="Arial"/>
          <w:color w:val="000000" w:themeColor="text1"/>
        </w:rPr>
        <w:t>CH</w:t>
      </w:r>
      <w:r w:rsidRPr="001C7F76">
        <w:rPr>
          <w:rFonts w:cs="Arial"/>
          <w:color w:val="000000" w:themeColor="text1"/>
          <w:vertAlign w:val="subscript"/>
        </w:rPr>
        <w:t>4</w:t>
      </w:r>
      <w:r w:rsidRPr="001C7F76">
        <w:rPr>
          <w:rFonts w:cs="Arial"/>
          <w:color w:val="000000" w:themeColor="text1"/>
        </w:rPr>
        <w:t>d) were moderate in magnitude and associated with probabilities</w:t>
      </w:r>
      <w:r w:rsidR="00195939">
        <w:rPr>
          <w:rFonts w:cs="Arial"/>
          <w:color w:val="000000" w:themeColor="text1"/>
        </w:rPr>
        <w:t xml:space="preserve"> </w:t>
      </w:r>
      <w:r w:rsidR="00195939" w:rsidRPr="001C7F76">
        <w:rPr>
          <w:rFonts w:cs="Arial"/>
          <w:color w:val="000000" w:themeColor="text1"/>
        </w:rPr>
        <w:t>(</w:t>
      </w:r>
      <w:r w:rsidR="00195939" w:rsidRPr="001C7F76">
        <w:rPr>
          <w:rFonts w:cs="Arial"/>
          <w:i/>
          <w:iCs/>
          <w:color w:val="000000" w:themeColor="text1"/>
        </w:rPr>
        <w:t>P</w:t>
      </w:r>
      <w:r w:rsidR="00195939" w:rsidRPr="001C7F76">
        <w:rPr>
          <w:rFonts w:cs="Arial"/>
          <w:color w:val="000000" w:themeColor="text1"/>
          <w:vertAlign w:val="subscript"/>
        </w:rPr>
        <w:t>0</w:t>
      </w:r>
      <w:r w:rsidR="00195939" w:rsidRPr="001C7F76">
        <w:rPr>
          <w:rFonts w:cs="Arial"/>
          <w:color w:val="000000" w:themeColor="text1"/>
        </w:rPr>
        <w:t xml:space="preserve">) </w:t>
      </w:r>
      <w:r w:rsidRPr="001C7F76">
        <w:rPr>
          <w:rFonts w:cs="Arial"/>
          <w:color w:val="000000" w:themeColor="text1"/>
        </w:rPr>
        <w:t>of more than 80% to be different from zero. The direction of the correlations indicates that higher molar proportion</w:t>
      </w:r>
      <w:r w:rsidR="00662F18">
        <w:rPr>
          <w:rFonts w:cs="Arial"/>
          <w:color w:val="000000" w:themeColor="text1"/>
        </w:rPr>
        <w:t>s</w:t>
      </w:r>
      <w:r w:rsidRPr="001C7F76">
        <w:rPr>
          <w:rFonts w:cs="Arial"/>
          <w:color w:val="000000" w:themeColor="text1"/>
        </w:rPr>
        <w:t xml:space="preserve"> of acetate and butyrate in the rumen were genetically associated with increased CH</w:t>
      </w:r>
      <w:r w:rsidRPr="001C7F76">
        <w:rPr>
          <w:rFonts w:cs="Arial"/>
          <w:color w:val="000000" w:themeColor="text1"/>
          <w:vertAlign w:val="subscript"/>
        </w:rPr>
        <w:t>4</w:t>
      </w:r>
      <w:r w:rsidRPr="001C7F76">
        <w:rPr>
          <w:rFonts w:cs="Arial"/>
          <w:color w:val="000000" w:themeColor="text1"/>
        </w:rPr>
        <w:t>d. In contrast, higher proportion</w:t>
      </w:r>
      <w:r w:rsidR="00CC1475">
        <w:rPr>
          <w:rFonts w:cs="Arial"/>
          <w:color w:val="000000" w:themeColor="text1"/>
        </w:rPr>
        <w:t>s</w:t>
      </w:r>
      <w:r w:rsidRPr="001C7F76">
        <w:rPr>
          <w:rFonts w:cs="Arial"/>
          <w:color w:val="000000" w:themeColor="text1"/>
        </w:rPr>
        <w:t xml:space="preserve"> of propionate and valerate were genetically correlated with decreased CH</w:t>
      </w:r>
      <w:r w:rsidRPr="001C7F76">
        <w:rPr>
          <w:rFonts w:cs="Arial"/>
          <w:color w:val="000000" w:themeColor="text1"/>
          <w:vertAlign w:val="subscript"/>
        </w:rPr>
        <w:t>4</w:t>
      </w:r>
      <w:r w:rsidRPr="001C7F76">
        <w:rPr>
          <w:rFonts w:cs="Arial"/>
          <w:color w:val="000000" w:themeColor="text1"/>
        </w:rPr>
        <w:t xml:space="preserve">d. The genetic correlations of </w:t>
      </w:r>
      <w:proofErr w:type="spellStart"/>
      <w:r w:rsidR="00CC1475">
        <w:rPr>
          <w:rFonts w:cs="Arial"/>
          <w:color w:val="000000" w:themeColor="text1"/>
        </w:rPr>
        <w:t>i</w:t>
      </w:r>
      <w:r w:rsidRPr="001C7F76">
        <w:rPr>
          <w:rFonts w:cs="Arial"/>
          <w:color w:val="000000" w:themeColor="text1"/>
        </w:rPr>
        <w:t>sobutyrate</w:t>
      </w:r>
      <w:proofErr w:type="spellEnd"/>
      <w:r w:rsidRPr="001C7F76">
        <w:rPr>
          <w:rFonts w:cs="Arial"/>
          <w:color w:val="000000" w:themeColor="text1"/>
        </w:rPr>
        <w:t xml:space="preserve"> and </w:t>
      </w:r>
      <w:r w:rsidR="00CC1475">
        <w:rPr>
          <w:rFonts w:cs="Arial"/>
          <w:color w:val="000000" w:themeColor="text1"/>
        </w:rPr>
        <w:t>i</w:t>
      </w:r>
      <w:r w:rsidRPr="001C7F76">
        <w:rPr>
          <w:rFonts w:cs="Arial"/>
          <w:color w:val="000000" w:themeColor="text1"/>
        </w:rPr>
        <w:t xml:space="preserve">sovalerate were close to zero, </w:t>
      </w:r>
      <w:r w:rsidR="002D3C33">
        <w:rPr>
          <w:rFonts w:cs="Arial"/>
          <w:color w:val="000000" w:themeColor="text1"/>
        </w:rPr>
        <w:t>indicating that</w:t>
      </w:r>
      <w:r w:rsidRPr="001C7F76">
        <w:rPr>
          <w:rFonts w:cs="Arial"/>
          <w:color w:val="000000" w:themeColor="text1"/>
        </w:rPr>
        <w:t xml:space="preserve"> they did not relate to CH</w:t>
      </w:r>
      <w:r w:rsidRPr="001C7F76">
        <w:rPr>
          <w:rFonts w:cs="Arial"/>
          <w:color w:val="000000" w:themeColor="text1"/>
          <w:vertAlign w:val="subscript"/>
        </w:rPr>
        <w:t>4</w:t>
      </w:r>
      <w:r w:rsidRPr="001C7F76">
        <w:rPr>
          <w:rFonts w:cs="Arial"/>
          <w:color w:val="000000" w:themeColor="text1"/>
        </w:rPr>
        <w:t xml:space="preserve"> metabolism. The magnitude of the genetic correlations between VFAs and CH</w:t>
      </w:r>
      <w:r w:rsidRPr="001C7F76">
        <w:rPr>
          <w:rFonts w:cs="Arial"/>
          <w:color w:val="000000" w:themeColor="text1"/>
          <w:vertAlign w:val="subscript"/>
        </w:rPr>
        <w:t>4</w:t>
      </w:r>
      <w:r w:rsidRPr="001C7F76">
        <w:rPr>
          <w:rFonts w:cs="Arial"/>
          <w:color w:val="000000" w:themeColor="text1"/>
        </w:rPr>
        <w:t xml:space="preserve"> emissions per kg dry matter</w:t>
      </w:r>
      <w:r w:rsidR="00CC1475">
        <w:rPr>
          <w:rFonts w:cs="Arial"/>
          <w:color w:val="000000" w:themeColor="text1"/>
        </w:rPr>
        <w:t xml:space="preserve"> intake</w:t>
      </w:r>
      <w:r w:rsidRPr="001C7F76">
        <w:rPr>
          <w:rFonts w:cs="Arial"/>
          <w:color w:val="000000" w:themeColor="text1"/>
        </w:rPr>
        <w:t xml:space="preserve"> (</w:t>
      </w:r>
      <w:r w:rsidRPr="001C7F76">
        <w:rPr>
          <w:rFonts w:cs="Arial"/>
          <w:lang w:val="en-US"/>
        </w:rPr>
        <w:t>CH</w:t>
      </w:r>
      <w:r w:rsidRPr="001C7F76">
        <w:rPr>
          <w:rFonts w:cs="Arial"/>
          <w:vertAlign w:val="subscript"/>
          <w:lang w:val="en-US"/>
        </w:rPr>
        <w:t>4</w:t>
      </w:r>
      <w:r w:rsidRPr="001C7F76">
        <w:rPr>
          <w:rFonts w:cs="Arial"/>
          <w:lang w:val="en-US"/>
        </w:rPr>
        <w:t>y)</w:t>
      </w:r>
      <w:r w:rsidRPr="001C7F76">
        <w:rPr>
          <w:rFonts w:cs="Arial"/>
          <w:color w:val="000000" w:themeColor="text1"/>
        </w:rPr>
        <w:t xml:space="preserve"> were </w:t>
      </w:r>
      <w:proofErr w:type="gramStart"/>
      <w:r w:rsidRPr="001C7F76">
        <w:rPr>
          <w:rFonts w:cs="Arial"/>
          <w:color w:val="000000" w:themeColor="text1"/>
        </w:rPr>
        <w:t>similar to</w:t>
      </w:r>
      <w:proofErr w:type="gramEnd"/>
      <w:r w:rsidRPr="001C7F76">
        <w:rPr>
          <w:rFonts w:cs="Arial"/>
          <w:color w:val="000000" w:themeColor="text1"/>
        </w:rPr>
        <w:t xml:space="preserve"> those emissions obtained on a daily basis.</w:t>
      </w:r>
    </w:p>
    <w:p w14:paraId="4D7F64AD" w14:textId="654DE708" w:rsidR="001C7F76" w:rsidRPr="001C7F76" w:rsidRDefault="001C7F76" w:rsidP="00587725">
      <w:pPr>
        <w:spacing w:after="0"/>
        <w:jc w:val="both"/>
        <w:rPr>
          <w:rFonts w:cs="Arial"/>
          <w:color w:val="000000" w:themeColor="text1"/>
        </w:rPr>
      </w:pPr>
      <w:r w:rsidRPr="001C7F76">
        <w:rPr>
          <w:rFonts w:cs="Arial"/>
          <w:color w:val="000000" w:themeColor="text1"/>
        </w:rPr>
        <w:lastRenderedPageBreak/>
        <w:t xml:space="preserve">One interesting microbial gene group that was moderately to highly genetically correlated with the concentration of the main ruminal metabolites was anaerobic </w:t>
      </w:r>
      <w:r w:rsidR="00CC1475">
        <w:rPr>
          <w:rFonts w:cs="Arial"/>
          <w:color w:val="000000" w:themeColor="text1"/>
        </w:rPr>
        <w:t>sulph</w:t>
      </w:r>
      <w:r w:rsidRPr="001C7F76">
        <w:rPr>
          <w:rFonts w:cs="Arial"/>
          <w:color w:val="000000" w:themeColor="text1"/>
        </w:rPr>
        <w:t>ite reductase (</w:t>
      </w:r>
      <w:proofErr w:type="spellStart"/>
      <w:r w:rsidRPr="001C7F76">
        <w:rPr>
          <w:rFonts w:cs="Arial"/>
          <w:i/>
          <w:iCs/>
          <w:color w:val="000000" w:themeColor="text1"/>
        </w:rPr>
        <w:t>asr</w:t>
      </w:r>
      <w:proofErr w:type="spellEnd"/>
      <w:r w:rsidRPr="001C7F76">
        <w:rPr>
          <w:rFonts w:cs="Arial"/>
          <w:color w:val="000000" w:themeColor="text1"/>
        </w:rPr>
        <w:t xml:space="preserve">) subunits. The abundance of the microbial KEGG gene </w:t>
      </w:r>
      <w:proofErr w:type="spellStart"/>
      <w:r w:rsidRPr="001C7F76">
        <w:rPr>
          <w:rFonts w:cs="Arial"/>
          <w:i/>
          <w:iCs/>
          <w:color w:val="000000" w:themeColor="text1"/>
        </w:rPr>
        <w:t>asrC</w:t>
      </w:r>
      <w:proofErr w:type="spellEnd"/>
      <w:r w:rsidRPr="001C7F76">
        <w:rPr>
          <w:rFonts w:cs="Arial"/>
          <w:color w:val="000000" w:themeColor="text1"/>
        </w:rPr>
        <w:t xml:space="preserve"> showed genetic correlations with acetate, propionate, butyrate, and valerate of -0.74, 0.87, -0.67 and 0.77, respectively, </w:t>
      </w:r>
      <w:r w:rsidR="002D3C33">
        <w:rPr>
          <w:rFonts w:cs="Arial"/>
          <w:color w:val="000000" w:themeColor="text1"/>
        </w:rPr>
        <w:t xml:space="preserve">which were </w:t>
      </w:r>
      <w:r w:rsidRPr="001C7F76">
        <w:rPr>
          <w:rFonts w:cs="Arial"/>
          <w:color w:val="000000" w:themeColor="text1"/>
        </w:rPr>
        <w:t xml:space="preserve">associated with </w:t>
      </w:r>
      <w:r w:rsidR="00195939" w:rsidRPr="001C7F76">
        <w:rPr>
          <w:rFonts w:cs="Arial"/>
          <w:i/>
          <w:iCs/>
          <w:color w:val="000000" w:themeColor="text1"/>
        </w:rPr>
        <w:t>P</w:t>
      </w:r>
      <w:r w:rsidR="00195939" w:rsidRPr="001C7F76">
        <w:rPr>
          <w:rFonts w:cs="Arial"/>
          <w:color w:val="000000" w:themeColor="text1"/>
          <w:vertAlign w:val="subscript"/>
        </w:rPr>
        <w:t>0</w:t>
      </w:r>
      <w:r w:rsidR="00195939" w:rsidRPr="001C7F76">
        <w:rPr>
          <w:rFonts w:cs="Arial"/>
          <w:color w:val="000000" w:themeColor="text1"/>
        </w:rPr>
        <w:t xml:space="preserve"> </w:t>
      </w:r>
      <w:r w:rsidRPr="001C7F76">
        <w:rPr>
          <w:rFonts w:cs="Arial"/>
          <w:color w:val="000000" w:themeColor="text1"/>
        </w:rPr>
        <w:t xml:space="preserve">in the range of 0.95 to 0.98. Genetic correlations of equal direction and similar magnitude were also found for </w:t>
      </w:r>
      <w:proofErr w:type="spellStart"/>
      <w:r w:rsidRPr="001C7F76">
        <w:rPr>
          <w:rFonts w:cs="Arial"/>
          <w:i/>
          <w:iCs/>
          <w:color w:val="000000" w:themeColor="text1"/>
        </w:rPr>
        <w:t>asr</w:t>
      </w:r>
      <w:proofErr w:type="spellEnd"/>
      <w:r w:rsidRPr="001C7F76">
        <w:rPr>
          <w:rFonts w:cs="Arial"/>
          <w:color w:val="000000" w:themeColor="text1"/>
        </w:rPr>
        <w:t xml:space="preserve"> subunits A and B. The abundance of the </w:t>
      </w:r>
      <w:proofErr w:type="spellStart"/>
      <w:r w:rsidRPr="001C7F76">
        <w:rPr>
          <w:rFonts w:cs="Arial"/>
          <w:i/>
          <w:iCs/>
          <w:color w:val="000000" w:themeColor="text1"/>
        </w:rPr>
        <w:t>asr</w:t>
      </w:r>
      <w:proofErr w:type="spellEnd"/>
      <w:r w:rsidRPr="001C7F76">
        <w:rPr>
          <w:rFonts w:cs="Arial"/>
          <w:i/>
          <w:iCs/>
          <w:color w:val="000000" w:themeColor="text1"/>
        </w:rPr>
        <w:t xml:space="preserve"> g</w:t>
      </w:r>
      <w:r w:rsidRPr="001C7F76">
        <w:rPr>
          <w:rFonts w:cs="Arial"/>
          <w:color w:val="000000" w:themeColor="text1"/>
        </w:rPr>
        <w:t>enes were negatively genetically correlated with CH</w:t>
      </w:r>
      <w:r w:rsidRPr="001C7F76">
        <w:rPr>
          <w:rFonts w:cs="Arial"/>
          <w:color w:val="000000" w:themeColor="text1"/>
          <w:vertAlign w:val="subscript"/>
        </w:rPr>
        <w:t>4</w:t>
      </w:r>
      <w:r w:rsidRPr="00195939">
        <w:rPr>
          <w:rFonts w:cs="Arial"/>
          <w:color w:val="000000" w:themeColor="text1"/>
        </w:rPr>
        <w:t>d</w:t>
      </w:r>
      <w:r w:rsidRPr="001C7F76">
        <w:rPr>
          <w:rFonts w:cs="Arial"/>
          <w:color w:val="000000" w:themeColor="text1"/>
        </w:rPr>
        <w:t xml:space="preserve"> between -0.23 to </w:t>
      </w:r>
      <w:r w:rsidRPr="0085206A">
        <w:rPr>
          <w:rFonts w:cs="Arial"/>
          <w:color w:val="000000" w:themeColor="text1"/>
        </w:rPr>
        <w:t>-</w:t>
      </w:r>
      <w:r w:rsidRPr="001C7F76">
        <w:rPr>
          <w:rFonts w:cs="Arial"/>
          <w:color w:val="000000" w:themeColor="text1"/>
        </w:rPr>
        <w:t xml:space="preserve">0.41 with </w:t>
      </w:r>
      <w:r w:rsidRPr="001C7F76">
        <w:rPr>
          <w:rFonts w:cs="Arial"/>
          <w:i/>
          <w:iCs/>
          <w:color w:val="000000" w:themeColor="text1"/>
        </w:rPr>
        <w:t>P</w:t>
      </w:r>
      <w:r w:rsidRPr="001C7F76">
        <w:rPr>
          <w:rFonts w:cs="Arial"/>
          <w:color w:val="000000" w:themeColor="text1"/>
          <w:vertAlign w:val="subscript"/>
        </w:rPr>
        <w:t>0</w:t>
      </w:r>
      <w:r w:rsidRPr="001C7F76">
        <w:rPr>
          <w:rFonts w:cs="Arial"/>
          <w:color w:val="000000" w:themeColor="text1"/>
        </w:rPr>
        <w:t xml:space="preserve"> ranging from 0.77 to 0.90. These results indicate that selection for increase</w:t>
      </w:r>
      <w:r w:rsidR="008A3AF1">
        <w:rPr>
          <w:rFonts w:cs="Arial"/>
          <w:color w:val="000000" w:themeColor="text1"/>
        </w:rPr>
        <w:t>d</w:t>
      </w:r>
      <w:r w:rsidRPr="001C7F76">
        <w:rPr>
          <w:rFonts w:cs="Arial"/>
          <w:color w:val="000000" w:themeColor="text1"/>
        </w:rPr>
        <w:t xml:space="preserve"> abundances of the </w:t>
      </w:r>
      <w:proofErr w:type="spellStart"/>
      <w:r w:rsidRPr="001C7F76">
        <w:rPr>
          <w:rFonts w:cs="Arial"/>
          <w:i/>
          <w:iCs/>
          <w:color w:val="000000" w:themeColor="text1"/>
        </w:rPr>
        <w:t>asr</w:t>
      </w:r>
      <w:proofErr w:type="spellEnd"/>
      <w:r w:rsidRPr="001C7F76">
        <w:rPr>
          <w:rFonts w:cs="Arial"/>
          <w:color w:val="000000" w:themeColor="text1"/>
        </w:rPr>
        <w:t xml:space="preserve"> genes will decrease CH</w:t>
      </w:r>
      <w:r w:rsidRPr="001C7F76">
        <w:rPr>
          <w:rFonts w:cs="Arial"/>
          <w:color w:val="000000" w:themeColor="text1"/>
          <w:vertAlign w:val="subscript"/>
        </w:rPr>
        <w:t>4</w:t>
      </w:r>
      <w:r w:rsidRPr="001C7F76">
        <w:rPr>
          <w:rFonts w:cs="Arial"/>
          <w:color w:val="000000" w:themeColor="text1"/>
        </w:rPr>
        <w:t xml:space="preserve"> emissions by favouring ruminal propionate and valerate </w:t>
      </w:r>
      <w:r w:rsidR="008721F0">
        <w:rPr>
          <w:rFonts w:cs="Arial"/>
          <w:color w:val="000000" w:themeColor="text1"/>
        </w:rPr>
        <w:t>metabolism</w:t>
      </w:r>
      <w:r w:rsidRPr="001C7F76">
        <w:rPr>
          <w:rFonts w:cs="Arial"/>
          <w:color w:val="000000" w:themeColor="text1"/>
        </w:rPr>
        <w:t xml:space="preserve"> compared to acetate and butyrate production. </w:t>
      </w:r>
    </w:p>
    <w:p w14:paraId="2B460DBA" w14:textId="77777777" w:rsidR="001C7F76" w:rsidRPr="001C7F76" w:rsidRDefault="001C7F76" w:rsidP="00587725">
      <w:pPr>
        <w:spacing w:after="0"/>
        <w:jc w:val="both"/>
        <w:rPr>
          <w:rFonts w:cs="Arial"/>
          <w:color w:val="000000" w:themeColor="text1"/>
        </w:rPr>
      </w:pPr>
      <w:r w:rsidRPr="001C7F76">
        <w:rPr>
          <w:rFonts w:cs="Arial"/>
          <w:color w:val="000000" w:themeColor="text1"/>
        </w:rPr>
        <w:t xml:space="preserve">   </w:t>
      </w:r>
    </w:p>
    <w:p w14:paraId="278B87DF" w14:textId="77777777" w:rsidR="001C7F76" w:rsidRPr="00587725" w:rsidRDefault="001C7F76" w:rsidP="00587725">
      <w:pPr>
        <w:spacing w:after="0"/>
        <w:jc w:val="both"/>
        <w:rPr>
          <w:rFonts w:cs="Arial"/>
          <w:b/>
          <w:bCs/>
        </w:rPr>
      </w:pPr>
      <w:r w:rsidRPr="00587725">
        <w:rPr>
          <w:rFonts w:cs="Arial"/>
          <w:b/>
          <w:bCs/>
        </w:rPr>
        <w:t>Table 1</w:t>
      </w:r>
    </w:p>
    <w:p w14:paraId="398959FC" w14:textId="2D386323" w:rsidR="001C7F76" w:rsidRPr="001C7F76" w:rsidRDefault="001C7F76" w:rsidP="00587725">
      <w:pPr>
        <w:spacing w:after="0"/>
        <w:jc w:val="both"/>
        <w:rPr>
          <w:rFonts w:cs="Arial"/>
        </w:rPr>
      </w:pPr>
      <w:r w:rsidRPr="001C7F76">
        <w:rPr>
          <w:rFonts w:cs="Arial"/>
        </w:rPr>
        <w:t xml:space="preserve"> Heritabilities (h</w:t>
      </w:r>
      <w:r w:rsidRPr="001C7F76">
        <w:rPr>
          <w:rFonts w:cs="Arial"/>
          <w:vertAlign w:val="superscript"/>
        </w:rPr>
        <w:t>2</w:t>
      </w:r>
      <w:r w:rsidRPr="001C7F76">
        <w:rPr>
          <w:rFonts w:cs="Arial"/>
        </w:rPr>
        <w:t>) of ruminal metabolites and their genetic correlations (</w:t>
      </w:r>
      <w:proofErr w:type="spellStart"/>
      <w:r w:rsidRPr="001C7F76">
        <w:rPr>
          <w:rFonts w:cs="Arial"/>
        </w:rPr>
        <w:t>r</w:t>
      </w:r>
      <w:r w:rsidRPr="001C7F76">
        <w:rPr>
          <w:rFonts w:cs="Arial"/>
          <w:vertAlign w:val="subscript"/>
        </w:rPr>
        <w:t>g</w:t>
      </w:r>
      <w:proofErr w:type="spellEnd"/>
      <w:r w:rsidRPr="001C7F76">
        <w:rPr>
          <w:rFonts w:cs="Arial"/>
        </w:rPr>
        <w:t xml:space="preserve">) with daily </w:t>
      </w:r>
      <w:r w:rsidRPr="001C7F76">
        <w:rPr>
          <w:rFonts w:cs="Arial"/>
          <w:color w:val="000000" w:themeColor="text1"/>
        </w:rPr>
        <w:t>CH</w:t>
      </w:r>
      <w:r w:rsidRPr="001C7F76">
        <w:rPr>
          <w:rFonts w:cs="Arial"/>
          <w:color w:val="000000" w:themeColor="text1"/>
          <w:vertAlign w:val="subscript"/>
        </w:rPr>
        <w:t>4</w:t>
      </w:r>
      <w:r w:rsidRPr="001C7F76">
        <w:rPr>
          <w:rFonts w:cs="Arial"/>
        </w:rPr>
        <w:t xml:space="preserve"> emissions and </w:t>
      </w:r>
      <w:r w:rsidRPr="001C7F76">
        <w:rPr>
          <w:rFonts w:cs="Arial"/>
          <w:color w:val="000000" w:themeColor="text1"/>
        </w:rPr>
        <w:t>CH</w:t>
      </w:r>
      <w:r w:rsidRPr="001C7F76">
        <w:rPr>
          <w:rFonts w:cs="Arial"/>
          <w:color w:val="000000" w:themeColor="text1"/>
          <w:vertAlign w:val="subscript"/>
        </w:rPr>
        <w:t>4</w:t>
      </w:r>
      <w:r w:rsidRPr="001C7F76">
        <w:rPr>
          <w:rFonts w:cs="Arial"/>
        </w:rPr>
        <w:t xml:space="preserve"> yield </w:t>
      </w:r>
    </w:p>
    <w:tbl>
      <w:tblPr>
        <w:tblW w:w="8823" w:type="dxa"/>
        <w:tblInd w:w="108" w:type="dxa"/>
        <w:tblBorders>
          <w:top w:val="single" w:sz="4" w:space="0" w:color="auto"/>
          <w:bottom w:val="single" w:sz="4" w:space="0" w:color="auto"/>
        </w:tblBorders>
        <w:tblLayout w:type="fixed"/>
        <w:tblLook w:val="0000" w:firstRow="0" w:lastRow="0" w:firstColumn="0" w:lastColumn="0" w:noHBand="0" w:noVBand="0"/>
      </w:tblPr>
      <w:tblGrid>
        <w:gridCol w:w="1452"/>
        <w:gridCol w:w="283"/>
        <w:gridCol w:w="851"/>
        <w:gridCol w:w="1275"/>
        <w:gridCol w:w="993"/>
        <w:gridCol w:w="1417"/>
        <w:gridCol w:w="1134"/>
        <w:gridCol w:w="1418"/>
      </w:tblGrid>
      <w:tr w:rsidR="001C7F76" w:rsidRPr="001C7F76" w14:paraId="6352ACD9" w14:textId="77777777" w:rsidTr="008721F0">
        <w:trPr>
          <w:trHeight w:val="283"/>
        </w:trPr>
        <w:tc>
          <w:tcPr>
            <w:tcW w:w="1452" w:type="dxa"/>
            <w:tcBorders>
              <w:top w:val="single" w:sz="4" w:space="0" w:color="auto"/>
              <w:bottom w:val="single" w:sz="4" w:space="0" w:color="auto"/>
            </w:tcBorders>
          </w:tcPr>
          <w:p w14:paraId="654DE1FA" w14:textId="77777777" w:rsidR="001C7F76" w:rsidRPr="001C7F76" w:rsidRDefault="001C7F76" w:rsidP="007A0E1A">
            <w:pPr>
              <w:spacing w:before="120" w:after="0" w:line="240" w:lineRule="auto"/>
              <w:jc w:val="both"/>
              <w:rPr>
                <w:rFonts w:cs="Arial"/>
                <w:bCs/>
                <w:lang w:val="en-US"/>
              </w:rPr>
            </w:pPr>
            <w:r w:rsidRPr="001C7F76">
              <w:rPr>
                <w:rFonts w:cs="Arial"/>
                <w:bCs/>
                <w:lang w:val="en-US"/>
              </w:rPr>
              <w:t>Trait</w:t>
            </w:r>
          </w:p>
        </w:tc>
        <w:tc>
          <w:tcPr>
            <w:tcW w:w="283" w:type="dxa"/>
            <w:tcBorders>
              <w:top w:val="single" w:sz="4" w:space="0" w:color="auto"/>
              <w:bottom w:val="single" w:sz="4" w:space="0" w:color="auto"/>
            </w:tcBorders>
          </w:tcPr>
          <w:p w14:paraId="77E30DF5" w14:textId="78A50FB8" w:rsidR="001C7F76" w:rsidRPr="001C7F76" w:rsidRDefault="001C7F76" w:rsidP="007A0E1A">
            <w:pPr>
              <w:spacing w:before="120" w:after="0" w:line="240" w:lineRule="auto"/>
              <w:jc w:val="center"/>
              <w:rPr>
                <w:rFonts w:cs="Arial"/>
                <w:bCs/>
                <w:lang w:val="en-US"/>
              </w:rPr>
            </w:pPr>
          </w:p>
        </w:tc>
        <w:tc>
          <w:tcPr>
            <w:tcW w:w="851" w:type="dxa"/>
            <w:tcBorders>
              <w:top w:val="single" w:sz="4" w:space="0" w:color="auto"/>
              <w:bottom w:val="single" w:sz="4" w:space="0" w:color="auto"/>
            </w:tcBorders>
          </w:tcPr>
          <w:p w14:paraId="5C9B5D8C" w14:textId="77777777" w:rsidR="001C7F76" w:rsidRPr="001C7F76" w:rsidRDefault="001C7F76" w:rsidP="007A0E1A">
            <w:pPr>
              <w:spacing w:before="120" w:after="0" w:line="240" w:lineRule="auto"/>
              <w:jc w:val="center"/>
              <w:rPr>
                <w:rFonts w:cs="Arial"/>
                <w:bCs/>
                <w:vertAlign w:val="superscript"/>
                <w:lang w:val="en-US"/>
              </w:rPr>
            </w:pPr>
            <w:r w:rsidRPr="001C7F76">
              <w:rPr>
                <w:rFonts w:cs="Arial"/>
                <w:bCs/>
                <w:lang w:val="en-US"/>
              </w:rPr>
              <w:t>h</w:t>
            </w:r>
            <w:r w:rsidRPr="001C7F76">
              <w:rPr>
                <w:rFonts w:cs="Arial"/>
                <w:bCs/>
                <w:vertAlign w:val="superscript"/>
                <w:lang w:val="en-US"/>
              </w:rPr>
              <w:t>2</w:t>
            </w:r>
          </w:p>
        </w:tc>
        <w:tc>
          <w:tcPr>
            <w:tcW w:w="1275" w:type="dxa"/>
            <w:tcBorders>
              <w:top w:val="single" w:sz="4" w:space="0" w:color="auto"/>
              <w:bottom w:val="single" w:sz="4" w:space="0" w:color="auto"/>
            </w:tcBorders>
          </w:tcPr>
          <w:p w14:paraId="4F60B347" w14:textId="460C50D6" w:rsidR="001C7F76" w:rsidRPr="008721F0" w:rsidRDefault="001C7F76" w:rsidP="007A0E1A">
            <w:pPr>
              <w:spacing w:before="120" w:after="0" w:line="240" w:lineRule="auto"/>
              <w:jc w:val="center"/>
              <w:rPr>
                <w:rFonts w:cs="Arial"/>
                <w:bCs/>
                <w:vertAlign w:val="superscript"/>
                <w:lang w:val="en-US"/>
              </w:rPr>
            </w:pPr>
            <w:r w:rsidRPr="001C7F76">
              <w:rPr>
                <w:rFonts w:cs="Arial"/>
                <w:bCs/>
                <w:lang w:val="en-US"/>
              </w:rPr>
              <w:t>S</w:t>
            </w:r>
            <w:r w:rsidR="00195939">
              <w:rPr>
                <w:rFonts w:cs="Arial"/>
                <w:bCs/>
                <w:lang w:val="en-US"/>
              </w:rPr>
              <w:t>D</w:t>
            </w:r>
            <w:r w:rsidR="008721F0">
              <w:rPr>
                <w:rFonts w:cs="Arial"/>
                <w:bCs/>
                <w:vertAlign w:val="superscript"/>
                <w:lang w:val="en-US"/>
              </w:rPr>
              <w:t>1</w:t>
            </w:r>
          </w:p>
        </w:tc>
        <w:tc>
          <w:tcPr>
            <w:tcW w:w="993" w:type="dxa"/>
            <w:tcBorders>
              <w:top w:val="single" w:sz="4" w:space="0" w:color="auto"/>
              <w:bottom w:val="single" w:sz="4" w:space="0" w:color="auto"/>
            </w:tcBorders>
          </w:tcPr>
          <w:p w14:paraId="4BCA8874" w14:textId="7081C823" w:rsidR="001C7F76" w:rsidRPr="001C7F76" w:rsidRDefault="001C7F76" w:rsidP="007A0E1A">
            <w:pPr>
              <w:spacing w:before="120" w:after="0" w:line="240" w:lineRule="auto"/>
              <w:jc w:val="center"/>
              <w:rPr>
                <w:rFonts w:cs="Arial"/>
                <w:bCs/>
                <w:vertAlign w:val="superscript"/>
                <w:lang w:val="en-US"/>
              </w:rPr>
            </w:pPr>
            <w:proofErr w:type="spellStart"/>
            <w:r w:rsidRPr="001C7F76">
              <w:rPr>
                <w:rFonts w:cs="Arial"/>
                <w:bCs/>
                <w:lang w:val="en-US"/>
              </w:rPr>
              <w:t>r</w:t>
            </w:r>
            <w:r w:rsidRPr="001C7F76">
              <w:rPr>
                <w:rFonts w:cs="Arial"/>
                <w:bCs/>
                <w:vertAlign w:val="subscript"/>
                <w:lang w:val="en-US"/>
              </w:rPr>
              <w:t>g</w:t>
            </w:r>
            <w:proofErr w:type="spellEnd"/>
            <w:r w:rsidRPr="001C7F76">
              <w:rPr>
                <w:rFonts w:cs="Arial"/>
                <w:bCs/>
                <w:vertAlign w:val="subscript"/>
                <w:lang w:val="en-US"/>
              </w:rPr>
              <w:t xml:space="preserve"> </w:t>
            </w:r>
            <w:r w:rsidRPr="001C7F76">
              <w:rPr>
                <w:rFonts w:cs="Arial"/>
                <w:bCs/>
                <w:lang w:val="en-US"/>
              </w:rPr>
              <w:t>with CH</w:t>
            </w:r>
            <w:r w:rsidRPr="001C7F76">
              <w:rPr>
                <w:rFonts w:cs="Arial"/>
                <w:bCs/>
                <w:vertAlign w:val="subscript"/>
                <w:lang w:val="en-US"/>
              </w:rPr>
              <w:t>4</w:t>
            </w:r>
            <w:r w:rsidRPr="001C7F76">
              <w:rPr>
                <w:rFonts w:cs="Arial"/>
                <w:bCs/>
                <w:lang w:val="en-US"/>
              </w:rPr>
              <w:t>d</w:t>
            </w:r>
            <w:r w:rsidR="008721F0">
              <w:rPr>
                <w:rFonts w:cs="Arial"/>
                <w:bCs/>
                <w:vertAlign w:val="superscript"/>
                <w:lang w:val="en-US"/>
              </w:rPr>
              <w:t>2</w:t>
            </w:r>
          </w:p>
        </w:tc>
        <w:tc>
          <w:tcPr>
            <w:tcW w:w="1417" w:type="dxa"/>
            <w:tcBorders>
              <w:top w:val="single" w:sz="4" w:space="0" w:color="auto"/>
              <w:bottom w:val="single" w:sz="4" w:space="0" w:color="auto"/>
            </w:tcBorders>
          </w:tcPr>
          <w:p w14:paraId="33E1A5EE" w14:textId="77777777" w:rsidR="001C7F76" w:rsidRPr="001C7F76" w:rsidRDefault="001C7F76" w:rsidP="007A0E1A">
            <w:pPr>
              <w:spacing w:before="120" w:after="0" w:line="240" w:lineRule="auto"/>
              <w:jc w:val="center"/>
              <w:rPr>
                <w:rFonts w:cs="Arial"/>
                <w:bCs/>
                <w:i/>
                <w:iCs/>
                <w:lang w:val="en-US"/>
              </w:rPr>
            </w:pPr>
            <w:r w:rsidRPr="001C7F76">
              <w:rPr>
                <w:rFonts w:cs="Arial"/>
                <w:bCs/>
                <w:i/>
                <w:iCs/>
                <w:lang w:val="en-US"/>
              </w:rPr>
              <w:t>P</w:t>
            </w:r>
            <w:r w:rsidRPr="001C7F76">
              <w:rPr>
                <w:rFonts w:cs="Arial"/>
                <w:bCs/>
                <w:vertAlign w:val="subscript"/>
                <w:lang w:val="en-US"/>
              </w:rPr>
              <w:t xml:space="preserve">0 </w:t>
            </w:r>
            <w:proofErr w:type="spellStart"/>
            <w:r w:rsidRPr="001C7F76">
              <w:rPr>
                <w:rFonts w:cs="Arial"/>
                <w:bCs/>
                <w:lang w:val="en-US"/>
              </w:rPr>
              <w:t>r</w:t>
            </w:r>
            <w:r w:rsidRPr="001C7F76">
              <w:rPr>
                <w:rFonts w:cs="Arial"/>
                <w:bCs/>
                <w:vertAlign w:val="subscript"/>
                <w:lang w:val="en-US"/>
              </w:rPr>
              <w:t>g</w:t>
            </w:r>
            <w:proofErr w:type="spellEnd"/>
            <w:r w:rsidRPr="001C7F76">
              <w:rPr>
                <w:rFonts w:cs="Arial"/>
                <w:bCs/>
                <w:lang w:val="en-US"/>
              </w:rPr>
              <w:t xml:space="preserve"> with CH</w:t>
            </w:r>
            <w:r w:rsidRPr="001C7F76">
              <w:rPr>
                <w:rFonts w:cs="Arial"/>
                <w:bCs/>
                <w:vertAlign w:val="subscript"/>
                <w:lang w:val="en-US"/>
              </w:rPr>
              <w:t>4</w:t>
            </w:r>
            <w:r w:rsidRPr="001C7F76">
              <w:rPr>
                <w:rFonts w:cs="Arial"/>
                <w:bCs/>
                <w:lang w:val="en-US"/>
              </w:rPr>
              <w:t>d</w:t>
            </w:r>
          </w:p>
        </w:tc>
        <w:tc>
          <w:tcPr>
            <w:tcW w:w="1134" w:type="dxa"/>
            <w:tcBorders>
              <w:top w:val="single" w:sz="4" w:space="0" w:color="auto"/>
              <w:bottom w:val="single" w:sz="4" w:space="0" w:color="auto"/>
            </w:tcBorders>
          </w:tcPr>
          <w:p w14:paraId="72A7627D" w14:textId="005CA78B" w:rsidR="001C7F76" w:rsidRPr="001C7F76" w:rsidRDefault="001C7F76" w:rsidP="007A0E1A">
            <w:pPr>
              <w:spacing w:before="120" w:after="0" w:line="240" w:lineRule="auto"/>
              <w:jc w:val="center"/>
              <w:rPr>
                <w:rFonts w:cs="Arial"/>
                <w:bCs/>
                <w:vertAlign w:val="superscript"/>
                <w:lang w:val="en-US"/>
              </w:rPr>
            </w:pPr>
            <w:proofErr w:type="spellStart"/>
            <w:r w:rsidRPr="001C7F76">
              <w:rPr>
                <w:rFonts w:cs="Arial"/>
                <w:bCs/>
                <w:lang w:val="en-US"/>
              </w:rPr>
              <w:t>r</w:t>
            </w:r>
            <w:r w:rsidRPr="001C7F76">
              <w:rPr>
                <w:rFonts w:cs="Arial"/>
                <w:bCs/>
                <w:vertAlign w:val="subscript"/>
                <w:lang w:val="en-US"/>
              </w:rPr>
              <w:t>g</w:t>
            </w:r>
            <w:proofErr w:type="spellEnd"/>
            <w:r w:rsidRPr="001C7F76">
              <w:rPr>
                <w:rFonts w:cs="Arial"/>
                <w:bCs/>
                <w:vertAlign w:val="subscript"/>
                <w:lang w:val="en-US"/>
              </w:rPr>
              <w:t xml:space="preserve"> </w:t>
            </w:r>
            <w:r w:rsidRPr="001C7F76">
              <w:rPr>
                <w:rFonts w:cs="Arial"/>
                <w:bCs/>
                <w:lang w:val="en-US"/>
              </w:rPr>
              <w:t>with CH</w:t>
            </w:r>
            <w:r w:rsidRPr="001C7F76">
              <w:rPr>
                <w:rFonts w:cs="Arial"/>
                <w:bCs/>
                <w:vertAlign w:val="subscript"/>
                <w:lang w:val="en-US"/>
              </w:rPr>
              <w:t>4</w:t>
            </w:r>
            <w:r w:rsidRPr="001C7F76">
              <w:rPr>
                <w:rFonts w:cs="Arial"/>
                <w:bCs/>
                <w:lang w:val="en-US"/>
              </w:rPr>
              <w:t>y</w:t>
            </w:r>
            <w:r w:rsidR="008721F0">
              <w:rPr>
                <w:rFonts w:cs="Arial"/>
                <w:bCs/>
                <w:vertAlign w:val="superscript"/>
                <w:lang w:val="en-US"/>
              </w:rPr>
              <w:t>3</w:t>
            </w:r>
          </w:p>
        </w:tc>
        <w:tc>
          <w:tcPr>
            <w:tcW w:w="1418" w:type="dxa"/>
            <w:tcBorders>
              <w:top w:val="single" w:sz="4" w:space="0" w:color="auto"/>
              <w:bottom w:val="single" w:sz="4" w:space="0" w:color="auto"/>
            </w:tcBorders>
          </w:tcPr>
          <w:p w14:paraId="1A7A5D1C" w14:textId="36DEE02C" w:rsidR="001C7F76" w:rsidRPr="001C7F76" w:rsidRDefault="001C7F76" w:rsidP="007A0E1A">
            <w:pPr>
              <w:spacing w:before="120" w:after="0" w:line="240" w:lineRule="auto"/>
              <w:jc w:val="center"/>
              <w:rPr>
                <w:rFonts w:cs="Arial"/>
                <w:bCs/>
                <w:i/>
                <w:iCs/>
                <w:lang w:val="en-US"/>
              </w:rPr>
            </w:pPr>
            <w:r w:rsidRPr="001C7F76">
              <w:rPr>
                <w:rFonts w:cs="Arial"/>
                <w:bCs/>
                <w:i/>
                <w:iCs/>
                <w:lang w:val="en-US"/>
              </w:rPr>
              <w:t>P</w:t>
            </w:r>
            <w:r w:rsidRPr="001C7F76">
              <w:rPr>
                <w:rFonts w:cs="Arial"/>
                <w:bCs/>
                <w:vertAlign w:val="subscript"/>
                <w:lang w:val="en-US"/>
              </w:rPr>
              <w:t xml:space="preserve">0 </w:t>
            </w:r>
            <w:proofErr w:type="spellStart"/>
            <w:r w:rsidRPr="001C7F76">
              <w:rPr>
                <w:rFonts w:cs="Arial"/>
                <w:bCs/>
                <w:lang w:val="en-US"/>
              </w:rPr>
              <w:t>r</w:t>
            </w:r>
            <w:r w:rsidRPr="001C7F76">
              <w:rPr>
                <w:rFonts w:cs="Arial"/>
                <w:bCs/>
                <w:vertAlign w:val="subscript"/>
                <w:lang w:val="en-US"/>
              </w:rPr>
              <w:t>g</w:t>
            </w:r>
            <w:proofErr w:type="spellEnd"/>
            <w:r w:rsidRPr="001C7F76">
              <w:rPr>
                <w:rFonts w:cs="Arial"/>
                <w:bCs/>
                <w:lang w:val="en-US"/>
              </w:rPr>
              <w:t xml:space="preserve"> with CH</w:t>
            </w:r>
            <w:r w:rsidRPr="001C7F76">
              <w:rPr>
                <w:rFonts w:cs="Arial"/>
                <w:bCs/>
                <w:vertAlign w:val="subscript"/>
                <w:lang w:val="en-US"/>
              </w:rPr>
              <w:t>4</w:t>
            </w:r>
            <w:r w:rsidRPr="001C7F76">
              <w:rPr>
                <w:rFonts w:cs="Arial"/>
                <w:bCs/>
                <w:lang w:val="en-US"/>
              </w:rPr>
              <w:t>y</w:t>
            </w:r>
            <w:r w:rsidR="008721F0">
              <w:rPr>
                <w:rFonts w:cs="Arial"/>
                <w:bCs/>
                <w:vertAlign w:val="superscript"/>
                <w:lang w:val="en-US"/>
              </w:rPr>
              <w:t>4</w:t>
            </w:r>
          </w:p>
        </w:tc>
      </w:tr>
      <w:tr w:rsidR="001C7F76" w:rsidRPr="001C7F76" w14:paraId="574BC079" w14:textId="77777777" w:rsidTr="008721F0">
        <w:trPr>
          <w:trHeight w:val="170"/>
        </w:trPr>
        <w:tc>
          <w:tcPr>
            <w:tcW w:w="1452" w:type="dxa"/>
          </w:tcPr>
          <w:p w14:paraId="75BDEB14" w14:textId="77777777" w:rsidR="001C7F76" w:rsidRPr="001C7F76" w:rsidRDefault="001C7F76" w:rsidP="007A0E1A">
            <w:pPr>
              <w:spacing w:before="120" w:after="0" w:line="240" w:lineRule="auto"/>
              <w:jc w:val="both"/>
              <w:rPr>
                <w:rFonts w:cs="Arial"/>
                <w:lang w:val="en-US"/>
              </w:rPr>
            </w:pPr>
            <w:r w:rsidRPr="001C7F76">
              <w:rPr>
                <w:rFonts w:cs="Arial"/>
                <w:lang w:val="en-US"/>
              </w:rPr>
              <w:t>Acetate</w:t>
            </w:r>
          </w:p>
        </w:tc>
        <w:tc>
          <w:tcPr>
            <w:tcW w:w="283" w:type="dxa"/>
          </w:tcPr>
          <w:p w14:paraId="11F04DD6" w14:textId="6F5902AC" w:rsidR="001C7F76" w:rsidRPr="001C7F76" w:rsidRDefault="001C7F76" w:rsidP="007A0E1A">
            <w:pPr>
              <w:spacing w:before="120" w:after="0" w:line="240" w:lineRule="auto"/>
              <w:jc w:val="center"/>
              <w:rPr>
                <w:rFonts w:cs="Arial"/>
                <w:lang w:val="en-US"/>
              </w:rPr>
            </w:pPr>
          </w:p>
        </w:tc>
        <w:tc>
          <w:tcPr>
            <w:tcW w:w="851" w:type="dxa"/>
          </w:tcPr>
          <w:p w14:paraId="4AE6D00D" w14:textId="77777777" w:rsidR="001C7F76" w:rsidRPr="001C7F76" w:rsidRDefault="001C7F76" w:rsidP="007A0E1A">
            <w:pPr>
              <w:spacing w:before="120" w:after="0" w:line="240" w:lineRule="auto"/>
              <w:jc w:val="center"/>
              <w:rPr>
                <w:rFonts w:cs="Arial"/>
                <w:lang w:val="en-US"/>
              </w:rPr>
            </w:pPr>
            <w:r w:rsidRPr="001C7F76">
              <w:rPr>
                <w:rFonts w:cs="Arial"/>
                <w:lang w:val="en-US"/>
              </w:rPr>
              <w:t>0.22</w:t>
            </w:r>
          </w:p>
        </w:tc>
        <w:tc>
          <w:tcPr>
            <w:tcW w:w="1275" w:type="dxa"/>
          </w:tcPr>
          <w:p w14:paraId="13C85D3D" w14:textId="77777777" w:rsidR="001C7F76" w:rsidRPr="001C7F76" w:rsidRDefault="001C7F76" w:rsidP="007A0E1A">
            <w:pPr>
              <w:spacing w:before="120" w:after="0" w:line="240" w:lineRule="auto"/>
              <w:jc w:val="center"/>
              <w:rPr>
                <w:rFonts w:cs="Arial"/>
                <w:lang w:val="en-US"/>
              </w:rPr>
            </w:pPr>
            <w:r w:rsidRPr="001C7F76">
              <w:rPr>
                <w:rFonts w:cs="Arial"/>
                <w:lang w:val="en-US"/>
              </w:rPr>
              <w:t>0.18</w:t>
            </w:r>
          </w:p>
        </w:tc>
        <w:tc>
          <w:tcPr>
            <w:tcW w:w="993" w:type="dxa"/>
          </w:tcPr>
          <w:p w14:paraId="08ADB0D3" w14:textId="77777777" w:rsidR="001C7F76" w:rsidRPr="001C7F76" w:rsidRDefault="001C7F76" w:rsidP="007A0E1A">
            <w:pPr>
              <w:spacing w:before="120" w:after="0" w:line="240" w:lineRule="auto"/>
              <w:jc w:val="center"/>
              <w:rPr>
                <w:rFonts w:cs="Arial"/>
                <w:lang w:val="en-US"/>
              </w:rPr>
            </w:pPr>
            <w:r w:rsidRPr="001C7F76">
              <w:rPr>
                <w:rFonts w:cs="Arial"/>
                <w:lang w:val="en-US"/>
              </w:rPr>
              <w:t>0.51</w:t>
            </w:r>
          </w:p>
        </w:tc>
        <w:tc>
          <w:tcPr>
            <w:tcW w:w="1417" w:type="dxa"/>
          </w:tcPr>
          <w:p w14:paraId="0A6542F5" w14:textId="77777777" w:rsidR="001C7F76" w:rsidRPr="001C7F76" w:rsidRDefault="001C7F76" w:rsidP="007A0E1A">
            <w:pPr>
              <w:spacing w:before="120" w:after="0" w:line="240" w:lineRule="auto"/>
              <w:jc w:val="center"/>
              <w:rPr>
                <w:rFonts w:cs="Arial"/>
                <w:lang w:val="en-US"/>
              </w:rPr>
            </w:pPr>
            <w:r w:rsidRPr="001C7F76">
              <w:rPr>
                <w:rFonts w:cs="Arial"/>
                <w:lang w:val="en-US"/>
              </w:rPr>
              <w:t>0.84</w:t>
            </w:r>
          </w:p>
        </w:tc>
        <w:tc>
          <w:tcPr>
            <w:tcW w:w="1134" w:type="dxa"/>
          </w:tcPr>
          <w:p w14:paraId="69C65C3C" w14:textId="77777777" w:rsidR="001C7F76" w:rsidRPr="001C7F76" w:rsidRDefault="001C7F76" w:rsidP="007A0E1A">
            <w:pPr>
              <w:spacing w:before="120" w:after="0" w:line="240" w:lineRule="auto"/>
              <w:jc w:val="center"/>
              <w:rPr>
                <w:rFonts w:cs="Arial"/>
                <w:lang w:val="en-US"/>
              </w:rPr>
            </w:pPr>
            <w:r w:rsidRPr="001C7F76">
              <w:rPr>
                <w:rFonts w:cs="Arial"/>
                <w:lang w:val="en-US"/>
              </w:rPr>
              <w:t>0.37</w:t>
            </w:r>
          </w:p>
        </w:tc>
        <w:tc>
          <w:tcPr>
            <w:tcW w:w="1418" w:type="dxa"/>
          </w:tcPr>
          <w:p w14:paraId="79CD6294" w14:textId="77777777" w:rsidR="001C7F76" w:rsidRPr="001C7F76" w:rsidRDefault="001C7F76" w:rsidP="007A0E1A">
            <w:pPr>
              <w:spacing w:before="120" w:after="0" w:line="240" w:lineRule="auto"/>
              <w:jc w:val="center"/>
              <w:rPr>
                <w:rFonts w:cs="Arial"/>
                <w:lang w:val="en-US"/>
              </w:rPr>
            </w:pPr>
            <w:r w:rsidRPr="001C7F76">
              <w:rPr>
                <w:rFonts w:cs="Arial"/>
                <w:lang w:val="en-US"/>
              </w:rPr>
              <w:t>0.75</w:t>
            </w:r>
          </w:p>
        </w:tc>
      </w:tr>
      <w:tr w:rsidR="001C7F76" w:rsidRPr="001C7F76" w14:paraId="0992F2AF" w14:textId="77777777" w:rsidTr="008721F0">
        <w:trPr>
          <w:trHeight w:val="170"/>
        </w:trPr>
        <w:tc>
          <w:tcPr>
            <w:tcW w:w="1452" w:type="dxa"/>
          </w:tcPr>
          <w:p w14:paraId="1023D3C7" w14:textId="77777777" w:rsidR="001C7F76" w:rsidRPr="001C7F76" w:rsidRDefault="001C7F76" w:rsidP="007A0E1A">
            <w:pPr>
              <w:spacing w:before="120" w:after="0" w:line="240" w:lineRule="auto"/>
              <w:jc w:val="both"/>
              <w:rPr>
                <w:rFonts w:cs="Arial"/>
                <w:lang w:val="en-US"/>
              </w:rPr>
            </w:pPr>
            <w:r w:rsidRPr="001C7F76">
              <w:rPr>
                <w:rFonts w:cs="Arial"/>
                <w:lang w:val="en-US"/>
              </w:rPr>
              <w:t>Propionate</w:t>
            </w:r>
          </w:p>
        </w:tc>
        <w:tc>
          <w:tcPr>
            <w:tcW w:w="283" w:type="dxa"/>
          </w:tcPr>
          <w:p w14:paraId="49802966" w14:textId="44C87200" w:rsidR="001C7F76" w:rsidRPr="001C7F76" w:rsidRDefault="001C7F76" w:rsidP="007A0E1A">
            <w:pPr>
              <w:spacing w:before="120" w:after="0" w:line="240" w:lineRule="auto"/>
              <w:jc w:val="center"/>
              <w:rPr>
                <w:rFonts w:cs="Arial"/>
                <w:lang w:val="en-US"/>
              </w:rPr>
            </w:pPr>
          </w:p>
        </w:tc>
        <w:tc>
          <w:tcPr>
            <w:tcW w:w="851" w:type="dxa"/>
          </w:tcPr>
          <w:p w14:paraId="54C0F90F" w14:textId="77777777" w:rsidR="001C7F76" w:rsidRPr="001C7F76" w:rsidRDefault="001C7F76" w:rsidP="007A0E1A">
            <w:pPr>
              <w:spacing w:before="120" w:after="0" w:line="240" w:lineRule="auto"/>
              <w:jc w:val="center"/>
              <w:rPr>
                <w:rFonts w:cs="Arial"/>
                <w:lang w:val="en-US"/>
              </w:rPr>
            </w:pPr>
            <w:r w:rsidRPr="001C7F76">
              <w:rPr>
                <w:rFonts w:cs="Arial"/>
                <w:lang w:val="en-US"/>
              </w:rPr>
              <w:t>0.34</w:t>
            </w:r>
          </w:p>
        </w:tc>
        <w:tc>
          <w:tcPr>
            <w:tcW w:w="1275" w:type="dxa"/>
          </w:tcPr>
          <w:p w14:paraId="0A1F8779" w14:textId="77777777" w:rsidR="001C7F76" w:rsidRPr="001C7F76" w:rsidRDefault="001C7F76" w:rsidP="007A0E1A">
            <w:pPr>
              <w:spacing w:before="120" w:after="0" w:line="240" w:lineRule="auto"/>
              <w:jc w:val="center"/>
              <w:rPr>
                <w:rFonts w:cs="Arial"/>
                <w:lang w:val="en-US"/>
              </w:rPr>
            </w:pPr>
            <w:r w:rsidRPr="001C7F76">
              <w:rPr>
                <w:rFonts w:cs="Arial"/>
                <w:lang w:val="en-US"/>
              </w:rPr>
              <w:t>0.24</w:t>
            </w:r>
          </w:p>
        </w:tc>
        <w:tc>
          <w:tcPr>
            <w:tcW w:w="993" w:type="dxa"/>
          </w:tcPr>
          <w:p w14:paraId="769CEA52" w14:textId="77777777" w:rsidR="001C7F76" w:rsidRPr="001C7F76" w:rsidRDefault="001C7F76" w:rsidP="007A0E1A">
            <w:pPr>
              <w:spacing w:before="120" w:after="0" w:line="240" w:lineRule="auto"/>
              <w:jc w:val="center"/>
              <w:rPr>
                <w:rFonts w:cs="Arial"/>
                <w:lang w:val="en-US"/>
              </w:rPr>
            </w:pPr>
            <w:r w:rsidRPr="001C7F76">
              <w:rPr>
                <w:rFonts w:cs="Arial"/>
                <w:lang w:val="en-US"/>
              </w:rPr>
              <w:t>-0.57</w:t>
            </w:r>
          </w:p>
        </w:tc>
        <w:tc>
          <w:tcPr>
            <w:tcW w:w="1417" w:type="dxa"/>
          </w:tcPr>
          <w:p w14:paraId="7CD642EC" w14:textId="77777777" w:rsidR="001C7F76" w:rsidRPr="001C7F76" w:rsidRDefault="001C7F76" w:rsidP="007A0E1A">
            <w:pPr>
              <w:spacing w:before="120" w:after="0" w:line="240" w:lineRule="auto"/>
              <w:jc w:val="center"/>
              <w:rPr>
                <w:rFonts w:cs="Arial"/>
                <w:lang w:val="en-US"/>
              </w:rPr>
            </w:pPr>
            <w:r w:rsidRPr="001C7F76">
              <w:rPr>
                <w:rFonts w:cs="Arial"/>
                <w:lang w:val="en-US"/>
              </w:rPr>
              <w:t>0.88</w:t>
            </w:r>
          </w:p>
        </w:tc>
        <w:tc>
          <w:tcPr>
            <w:tcW w:w="1134" w:type="dxa"/>
          </w:tcPr>
          <w:p w14:paraId="42D250BE" w14:textId="77777777" w:rsidR="001C7F76" w:rsidRPr="001C7F76" w:rsidRDefault="001C7F76" w:rsidP="007A0E1A">
            <w:pPr>
              <w:spacing w:before="120" w:after="0" w:line="240" w:lineRule="auto"/>
              <w:jc w:val="center"/>
              <w:rPr>
                <w:rFonts w:cs="Arial"/>
                <w:lang w:val="en-US"/>
              </w:rPr>
            </w:pPr>
            <w:r w:rsidRPr="001C7F76">
              <w:rPr>
                <w:rFonts w:cs="Arial"/>
                <w:lang w:val="en-US"/>
              </w:rPr>
              <w:t>-0.62</w:t>
            </w:r>
          </w:p>
        </w:tc>
        <w:tc>
          <w:tcPr>
            <w:tcW w:w="1418" w:type="dxa"/>
          </w:tcPr>
          <w:p w14:paraId="1970705A" w14:textId="77777777" w:rsidR="001C7F76" w:rsidRPr="001C7F76" w:rsidRDefault="001C7F76" w:rsidP="007A0E1A">
            <w:pPr>
              <w:spacing w:before="120" w:after="0" w:line="240" w:lineRule="auto"/>
              <w:jc w:val="center"/>
              <w:rPr>
                <w:rFonts w:cs="Arial"/>
                <w:lang w:val="en-US"/>
              </w:rPr>
            </w:pPr>
            <w:r w:rsidRPr="001C7F76">
              <w:rPr>
                <w:rFonts w:cs="Arial"/>
                <w:lang w:val="en-US"/>
              </w:rPr>
              <w:t>0.89</w:t>
            </w:r>
          </w:p>
        </w:tc>
      </w:tr>
      <w:tr w:rsidR="001C7F76" w:rsidRPr="001C7F76" w14:paraId="37E63396" w14:textId="77777777" w:rsidTr="008721F0">
        <w:trPr>
          <w:trHeight w:val="170"/>
        </w:trPr>
        <w:tc>
          <w:tcPr>
            <w:tcW w:w="1452" w:type="dxa"/>
          </w:tcPr>
          <w:p w14:paraId="6574C9B6" w14:textId="77777777" w:rsidR="001C7F76" w:rsidRPr="001C7F76" w:rsidRDefault="001C7F76" w:rsidP="007A0E1A">
            <w:pPr>
              <w:spacing w:before="120" w:after="0" w:line="240" w:lineRule="auto"/>
              <w:jc w:val="both"/>
              <w:rPr>
                <w:rFonts w:cs="Arial"/>
                <w:lang w:val="en-US"/>
              </w:rPr>
            </w:pPr>
            <w:r w:rsidRPr="001C7F76">
              <w:rPr>
                <w:rFonts w:cs="Arial"/>
                <w:lang w:val="en-US"/>
              </w:rPr>
              <w:t xml:space="preserve">Butyrate </w:t>
            </w:r>
          </w:p>
        </w:tc>
        <w:tc>
          <w:tcPr>
            <w:tcW w:w="283" w:type="dxa"/>
          </w:tcPr>
          <w:p w14:paraId="4C6B366A" w14:textId="58CA4B08" w:rsidR="001C7F76" w:rsidRPr="001C7F76" w:rsidRDefault="001C7F76" w:rsidP="007A0E1A">
            <w:pPr>
              <w:spacing w:before="120" w:after="0" w:line="240" w:lineRule="auto"/>
              <w:jc w:val="center"/>
              <w:rPr>
                <w:rFonts w:cs="Arial"/>
                <w:lang w:val="en-US"/>
              </w:rPr>
            </w:pPr>
          </w:p>
        </w:tc>
        <w:tc>
          <w:tcPr>
            <w:tcW w:w="851" w:type="dxa"/>
          </w:tcPr>
          <w:p w14:paraId="48135E8B" w14:textId="77777777" w:rsidR="001C7F76" w:rsidRPr="001C7F76" w:rsidRDefault="001C7F76" w:rsidP="007A0E1A">
            <w:pPr>
              <w:spacing w:before="120" w:after="0" w:line="240" w:lineRule="auto"/>
              <w:jc w:val="center"/>
              <w:rPr>
                <w:rFonts w:cs="Arial"/>
                <w:lang w:val="en-US"/>
              </w:rPr>
            </w:pPr>
            <w:r w:rsidRPr="001C7F76">
              <w:rPr>
                <w:rFonts w:cs="Arial"/>
                <w:lang w:val="en-US"/>
              </w:rPr>
              <w:t>0.51</w:t>
            </w:r>
          </w:p>
        </w:tc>
        <w:tc>
          <w:tcPr>
            <w:tcW w:w="1275" w:type="dxa"/>
          </w:tcPr>
          <w:p w14:paraId="2A1ED2C3" w14:textId="77777777" w:rsidR="001C7F76" w:rsidRPr="001C7F76" w:rsidRDefault="001C7F76" w:rsidP="007A0E1A">
            <w:pPr>
              <w:spacing w:before="120" w:after="0" w:line="240" w:lineRule="auto"/>
              <w:jc w:val="center"/>
              <w:rPr>
                <w:rFonts w:cs="Arial"/>
                <w:lang w:val="en-US"/>
              </w:rPr>
            </w:pPr>
            <w:r w:rsidRPr="001C7F76">
              <w:rPr>
                <w:rFonts w:cs="Arial"/>
                <w:lang w:val="en-US"/>
              </w:rPr>
              <w:t>0.26</w:t>
            </w:r>
          </w:p>
        </w:tc>
        <w:tc>
          <w:tcPr>
            <w:tcW w:w="993" w:type="dxa"/>
          </w:tcPr>
          <w:p w14:paraId="7B885BA0" w14:textId="77777777" w:rsidR="001C7F76" w:rsidRPr="001C7F76" w:rsidRDefault="001C7F76" w:rsidP="007A0E1A">
            <w:pPr>
              <w:spacing w:before="120" w:after="0" w:line="240" w:lineRule="auto"/>
              <w:jc w:val="center"/>
              <w:rPr>
                <w:rFonts w:cs="Arial"/>
                <w:lang w:val="en-US"/>
              </w:rPr>
            </w:pPr>
            <w:r w:rsidRPr="001C7F76">
              <w:rPr>
                <w:rFonts w:cs="Arial"/>
                <w:lang w:val="en-US"/>
              </w:rPr>
              <w:t>0.43</w:t>
            </w:r>
          </w:p>
        </w:tc>
        <w:tc>
          <w:tcPr>
            <w:tcW w:w="1417" w:type="dxa"/>
          </w:tcPr>
          <w:p w14:paraId="393012B2" w14:textId="77777777" w:rsidR="001C7F76" w:rsidRPr="001C7F76" w:rsidRDefault="001C7F76" w:rsidP="007A0E1A">
            <w:pPr>
              <w:spacing w:before="120" w:after="0" w:line="240" w:lineRule="auto"/>
              <w:jc w:val="center"/>
              <w:rPr>
                <w:rFonts w:cs="Arial"/>
                <w:lang w:val="en-US"/>
              </w:rPr>
            </w:pPr>
            <w:r w:rsidRPr="001C7F76">
              <w:rPr>
                <w:rFonts w:cs="Arial"/>
                <w:lang w:val="en-US"/>
              </w:rPr>
              <w:t>0.82</w:t>
            </w:r>
          </w:p>
        </w:tc>
        <w:tc>
          <w:tcPr>
            <w:tcW w:w="1134" w:type="dxa"/>
          </w:tcPr>
          <w:p w14:paraId="0449FD07" w14:textId="77777777" w:rsidR="001C7F76" w:rsidRPr="001C7F76" w:rsidRDefault="001C7F76" w:rsidP="007A0E1A">
            <w:pPr>
              <w:spacing w:before="120" w:after="0" w:line="240" w:lineRule="auto"/>
              <w:jc w:val="center"/>
              <w:rPr>
                <w:rFonts w:cs="Arial"/>
                <w:lang w:val="en-US"/>
              </w:rPr>
            </w:pPr>
            <w:r w:rsidRPr="001C7F76">
              <w:rPr>
                <w:rFonts w:cs="Arial"/>
                <w:lang w:val="en-US"/>
              </w:rPr>
              <w:t>0.52</w:t>
            </w:r>
          </w:p>
        </w:tc>
        <w:tc>
          <w:tcPr>
            <w:tcW w:w="1418" w:type="dxa"/>
          </w:tcPr>
          <w:p w14:paraId="257C9829" w14:textId="77777777" w:rsidR="001C7F76" w:rsidRPr="001C7F76" w:rsidRDefault="001C7F76" w:rsidP="007A0E1A">
            <w:pPr>
              <w:spacing w:before="120" w:after="0" w:line="240" w:lineRule="auto"/>
              <w:jc w:val="center"/>
              <w:rPr>
                <w:rFonts w:cs="Arial"/>
                <w:lang w:val="en-US"/>
              </w:rPr>
            </w:pPr>
            <w:r w:rsidRPr="001C7F76">
              <w:rPr>
                <w:rFonts w:cs="Arial"/>
                <w:lang w:val="en-US"/>
              </w:rPr>
              <w:t>0.87</w:t>
            </w:r>
          </w:p>
        </w:tc>
      </w:tr>
      <w:tr w:rsidR="001C7F76" w:rsidRPr="001C7F76" w14:paraId="0B0B2282" w14:textId="77777777" w:rsidTr="008721F0">
        <w:trPr>
          <w:trHeight w:val="170"/>
        </w:trPr>
        <w:tc>
          <w:tcPr>
            <w:tcW w:w="1452" w:type="dxa"/>
          </w:tcPr>
          <w:p w14:paraId="1555E167" w14:textId="77777777" w:rsidR="001C7F76" w:rsidRPr="001C7F76" w:rsidRDefault="001C7F76" w:rsidP="007A0E1A">
            <w:pPr>
              <w:spacing w:before="120" w:after="0" w:line="240" w:lineRule="auto"/>
              <w:jc w:val="both"/>
              <w:rPr>
                <w:rFonts w:cs="Arial"/>
                <w:lang w:val="en-US"/>
              </w:rPr>
            </w:pPr>
            <w:proofErr w:type="spellStart"/>
            <w:r w:rsidRPr="001C7F76">
              <w:rPr>
                <w:rFonts w:cs="Arial"/>
                <w:lang w:val="en-US"/>
              </w:rPr>
              <w:t>Isobutyrate</w:t>
            </w:r>
            <w:proofErr w:type="spellEnd"/>
          </w:p>
        </w:tc>
        <w:tc>
          <w:tcPr>
            <w:tcW w:w="283" w:type="dxa"/>
          </w:tcPr>
          <w:p w14:paraId="1AB4F314" w14:textId="63AD545C" w:rsidR="001C7F76" w:rsidRPr="001C7F76" w:rsidRDefault="001C7F76" w:rsidP="007A0E1A">
            <w:pPr>
              <w:spacing w:before="120" w:after="0" w:line="240" w:lineRule="auto"/>
              <w:jc w:val="center"/>
              <w:rPr>
                <w:rFonts w:cs="Arial"/>
                <w:lang w:val="en-US"/>
              </w:rPr>
            </w:pPr>
          </w:p>
        </w:tc>
        <w:tc>
          <w:tcPr>
            <w:tcW w:w="851" w:type="dxa"/>
          </w:tcPr>
          <w:p w14:paraId="2ADE04C2" w14:textId="77777777" w:rsidR="001C7F76" w:rsidRPr="001C7F76" w:rsidRDefault="001C7F76" w:rsidP="007A0E1A">
            <w:pPr>
              <w:spacing w:before="120" w:after="0" w:line="240" w:lineRule="auto"/>
              <w:jc w:val="center"/>
              <w:rPr>
                <w:rFonts w:cs="Arial"/>
                <w:lang w:val="en-US"/>
              </w:rPr>
            </w:pPr>
            <w:r w:rsidRPr="001C7F76">
              <w:rPr>
                <w:rFonts w:cs="Arial"/>
                <w:lang w:val="en-US"/>
              </w:rPr>
              <w:t>0.46</w:t>
            </w:r>
          </w:p>
        </w:tc>
        <w:tc>
          <w:tcPr>
            <w:tcW w:w="1275" w:type="dxa"/>
          </w:tcPr>
          <w:p w14:paraId="22694CB0" w14:textId="77777777" w:rsidR="001C7F76" w:rsidRPr="001C7F76" w:rsidRDefault="001C7F76" w:rsidP="007A0E1A">
            <w:pPr>
              <w:spacing w:before="120" w:after="0" w:line="240" w:lineRule="auto"/>
              <w:jc w:val="center"/>
              <w:rPr>
                <w:rFonts w:cs="Arial"/>
                <w:lang w:val="en-US"/>
              </w:rPr>
            </w:pPr>
            <w:r w:rsidRPr="001C7F76">
              <w:rPr>
                <w:rFonts w:cs="Arial"/>
                <w:lang w:val="en-US"/>
              </w:rPr>
              <w:t>0.27</w:t>
            </w:r>
          </w:p>
        </w:tc>
        <w:tc>
          <w:tcPr>
            <w:tcW w:w="993" w:type="dxa"/>
          </w:tcPr>
          <w:p w14:paraId="3CAFB6FB" w14:textId="77777777" w:rsidR="001C7F76" w:rsidRPr="001C7F76" w:rsidRDefault="001C7F76" w:rsidP="007A0E1A">
            <w:pPr>
              <w:spacing w:before="120" w:after="0" w:line="240" w:lineRule="auto"/>
              <w:jc w:val="center"/>
              <w:rPr>
                <w:rFonts w:cs="Arial"/>
                <w:lang w:val="en-US"/>
              </w:rPr>
            </w:pPr>
            <w:r w:rsidRPr="001C7F76">
              <w:rPr>
                <w:rFonts w:cs="Arial"/>
                <w:lang w:val="en-US"/>
              </w:rPr>
              <w:t>-0.09</w:t>
            </w:r>
          </w:p>
        </w:tc>
        <w:tc>
          <w:tcPr>
            <w:tcW w:w="1417" w:type="dxa"/>
          </w:tcPr>
          <w:p w14:paraId="3C0B9A1E" w14:textId="77777777" w:rsidR="001C7F76" w:rsidRPr="001C7F76" w:rsidRDefault="001C7F76" w:rsidP="007A0E1A">
            <w:pPr>
              <w:spacing w:before="120" w:after="0" w:line="240" w:lineRule="auto"/>
              <w:jc w:val="center"/>
              <w:rPr>
                <w:rFonts w:cs="Arial"/>
                <w:lang w:val="en-US"/>
              </w:rPr>
            </w:pPr>
            <w:r w:rsidRPr="001C7F76">
              <w:rPr>
                <w:rFonts w:cs="Arial"/>
                <w:lang w:val="en-US"/>
              </w:rPr>
              <w:t>0.58</w:t>
            </w:r>
          </w:p>
        </w:tc>
        <w:tc>
          <w:tcPr>
            <w:tcW w:w="1134" w:type="dxa"/>
          </w:tcPr>
          <w:p w14:paraId="2424500F" w14:textId="77777777" w:rsidR="001C7F76" w:rsidRPr="001C7F76" w:rsidRDefault="001C7F76" w:rsidP="007A0E1A">
            <w:pPr>
              <w:spacing w:before="120" w:after="0" w:line="240" w:lineRule="auto"/>
              <w:jc w:val="center"/>
              <w:rPr>
                <w:rFonts w:cs="Arial"/>
                <w:lang w:val="en-US"/>
              </w:rPr>
            </w:pPr>
            <w:r w:rsidRPr="001C7F76">
              <w:rPr>
                <w:rFonts w:cs="Arial"/>
                <w:lang w:val="en-US"/>
              </w:rPr>
              <w:t>0.24</w:t>
            </w:r>
          </w:p>
        </w:tc>
        <w:tc>
          <w:tcPr>
            <w:tcW w:w="1418" w:type="dxa"/>
          </w:tcPr>
          <w:p w14:paraId="20201D27" w14:textId="77777777" w:rsidR="001C7F76" w:rsidRPr="001C7F76" w:rsidRDefault="001C7F76" w:rsidP="007A0E1A">
            <w:pPr>
              <w:spacing w:before="120" w:after="0" w:line="240" w:lineRule="auto"/>
              <w:jc w:val="center"/>
              <w:rPr>
                <w:rFonts w:cs="Arial"/>
                <w:lang w:val="en-US"/>
              </w:rPr>
            </w:pPr>
            <w:r w:rsidRPr="001C7F76">
              <w:rPr>
                <w:rFonts w:cs="Arial"/>
                <w:lang w:val="en-US"/>
              </w:rPr>
              <w:t>0.67</w:t>
            </w:r>
          </w:p>
        </w:tc>
      </w:tr>
      <w:tr w:rsidR="001C7F76" w:rsidRPr="001C7F76" w14:paraId="10DE468B" w14:textId="77777777" w:rsidTr="008721F0">
        <w:trPr>
          <w:trHeight w:val="170"/>
        </w:trPr>
        <w:tc>
          <w:tcPr>
            <w:tcW w:w="1452" w:type="dxa"/>
          </w:tcPr>
          <w:p w14:paraId="453797B0" w14:textId="77777777" w:rsidR="001C7F76" w:rsidRPr="001C7F76" w:rsidRDefault="001C7F76" w:rsidP="007A0E1A">
            <w:pPr>
              <w:spacing w:before="120" w:after="0" w:line="240" w:lineRule="auto"/>
              <w:jc w:val="both"/>
              <w:rPr>
                <w:rFonts w:cs="Arial"/>
                <w:lang w:val="en-US"/>
              </w:rPr>
            </w:pPr>
            <w:r w:rsidRPr="001C7F76">
              <w:rPr>
                <w:rFonts w:cs="Arial"/>
                <w:lang w:val="en-US"/>
              </w:rPr>
              <w:t xml:space="preserve">Valerate </w:t>
            </w:r>
          </w:p>
        </w:tc>
        <w:tc>
          <w:tcPr>
            <w:tcW w:w="283" w:type="dxa"/>
          </w:tcPr>
          <w:p w14:paraId="00C31934" w14:textId="0B8A4131" w:rsidR="001C7F76" w:rsidRPr="001C7F76" w:rsidRDefault="001C7F76" w:rsidP="007A0E1A">
            <w:pPr>
              <w:spacing w:before="120" w:after="0" w:line="240" w:lineRule="auto"/>
              <w:jc w:val="center"/>
              <w:rPr>
                <w:rFonts w:cs="Arial"/>
                <w:lang w:val="en-US"/>
              </w:rPr>
            </w:pPr>
          </w:p>
        </w:tc>
        <w:tc>
          <w:tcPr>
            <w:tcW w:w="851" w:type="dxa"/>
          </w:tcPr>
          <w:p w14:paraId="57AA8055" w14:textId="77777777" w:rsidR="001C7F76" w:rsidRPr="001C7F76" w:rsidRDefault="001C7F76" w:rsidP="007A0E1A">
            <w:pPr>
              <w:spacing w:before="120" w:after="0" w:line="240" w:lineRule="auto"/>
              <w:jc w:val="center"/>
              <w:rPr>
                <w:rFonts w:cs="Arial"/>
                <w:lang w:val="en-US"/>
              </w:rPr>
            </w:pPr>
            <w:r w:rsidRPr="001C7F76">
              <w:rPr>
                <w:rFonts w:cs="Arial"/>
                <w:lang w:val="en-US"/>
              </w:rPr>
              <w:t>0.36</w:t>
            </w:r>
          </w:p>
        </w:tc>
        <w:tc>
          <w:tcPr>
            <w:tcW w:w="1275" w:type="dxa"/>
          </w:tcPr>
          <w:p w14:paraId="430A2FAC" w14:textId="77777777" w:rsidR="001C7F76" w:rsidRPr="001C7F76" w:rsidRDefault="001C7F76" w:rsidP="007A0E1A">
            <w:pPr>
              <w:spacing w:before="120" w:after="0" w:line="240" w:lineRule="auto"/>
              <w:jc w:val="center"/>
              <w:rPr>
                <w:rFonts w:cs="Arial"/>
                <w:lang w:val="en-US"/>
              </w:rPr>
            </w:pPr>
            <w:r w:rsidRPr="001C7F76">
              <w:rPr>
                <w:rFonts w:cs="Arial"/>
                <w:lang w:val="en-US"/>
              </w:rPr>
              <w:t>0.26</w:t>
            </w:r>
          </w:p>
        </w:tc>
        <w:tc>
          <w:tcPr>
            <w:tcW w:w="993" w:type="dxa"/>
          </w:tcPr>
          <w:p w14:paraId="78D3A2E9" w14:textId="77777777" w:rsidR="001C7F76" w:rsidRPr="001C7F76" w:rsidRDefault="001C7F76" w:rsidP="007A0E1A">
            <w:pPr>
              <w:spacing w:before="120" w:after="0" w:line="240" w:lineRule="auto"/>
              <w:jc w:val="center"/>
              <w:rPr>
                <w:rFonts w:cs="Arial"/>
                <w:lang w:val="en-US"/>
              </w:rPr>
            </w:pPr>
            <w:r w:rsidRPr="001C7F76">
              <w:rPr>
                <w:rFonts w:cs="Arial"/>
                <w:lang w:val="en-US"/>
              </w:rPr>
              <w:t>-0.50</w:t>
            </w:r>
          </w:p>
        </w:tc>
        <w:tc>
          <w:tcPr>
            <w:tcW w:w="1417" w:type="dxa"/>
          </w:tcPr>
          <w:p w14:paraId="6A1DC525" w14:textId="77777777" w:rsidR="001C7F76" w:rsidRPr="001C7F76" w:rsidRDefault="001C7F76" w:rsidP="007A0E1A">
            <w:pPr>
              <w:spacing w:before="120" w:after="0" w:line="240" w:lineRule="auto"/>
              <w:jc w:val="center"/>
              <w:rPr>
                <w:rFonts w:cs="Arial"/>
                <w:lang w:val="en-US"/>
              </w:rPr>
            </w:pPr>
            <w:r w:rsidRPr="001C7F76">
              <w:rPr>
                <w:rFonts w:cs="Arial"/>
                <w:lang w:val="en-US"/>
              </w:rPr>
              <w:t>0.83</w:t>
            </w:r>
          </w:p>
        </w:tc>
        <w:tc>
          <w:tcPr>
            <w:tcW w:w="1134" w:type="dxa"/>
          </w:tcPr>
          <w:p w14:paraId="13210A11" w14:textId="77777777" w:rsidR="001C7F76" w:rsidRPr="001C7F76" w:rsidRDefault="001C7F76" w:rsidP="007A0E1A">
            <w:pPr>
              <w:spacing w:before="120" w:after="0" w:line="240" w:lineRule="auto"/>
              <w:jc w:val="center"/>
              <w:rPr>
                <w:rFonts w:cs="Arial"/>
                <w:lang w:val="en-US"/>
              </w:rPr>
            </w:pPr>
            <w:r w:rsidRPr="001C7F76">
              <w:rPr>
                <w:rFonts w:cs="Arial"/>
                <w:lang w:val="en-US"/>
              </w:rPr>
              <w:t>-0.41</w:t>
            </w:r>
          </w:p>
        </w:tc>
        <w:tc>
          <w:tcPr>
            <w:tcW w:w="1418" w:type="dxa"/>
          </w:tcPr>
          <w:p w14:paraId="758BD7AF" w14:textId="77777777" w:rsidR="001C7F76" w:rsidRPr="001C7F76" w:rsidRDefault="001C7F76" w:rsidP="007A0E1A">
            <w:pPr>
              <w:spacing w:before="120" w:after="0" w:line="240" w:lineRule="auto"/>
              <w:jc w:val="center"/>
              <w:rPr>
                <w:rFonts w:cs="Arial"/>
                <w:lang w:val="en-US"/>
              </w:rPr>
            </w:pPr>
            <w:r w:rsidRPr="001C7F76">
              <w:rPr>
                <w:rFonts w:cs="Arial"/>
                <w:lang w:val="en-US"/>
              </w:rPr>
              <w:t>0.77</w:t>
            </w:r>
          </w:p>
        </w:tc>
      </w:tr>
      <w:tr w:rsidR="001C7F76" w:rsidRPr="001C7F76" w14:paraId="710C0550" w14:textId="77777777" w:rsidTr="008721F0">
        <w:trPr>
          <w:trHeight w:val="170"/>
        </w:trPr>
        <w:tc>
          <w:tcPr>
            <w:tcW w:w="1452" w:type="dxa"/>
          </w:tcPr>
          <w:p w14:paraId="3A45009D" w14:textId="77777777" w:rsidR="001C7F76" w:rsidRPr="001C7F76" w:rsidRDefault="001C7F76" w:rsidP="007A0E1A">
            <w:pPr>
              <w:spacing w:before="120" w:after="0" w:line="240" w:lineRule="auto"/>
              <w:jc w:val="both"/>
              <w:rPr>
                <w:rFonts w:cs="Arial"/>
                <w:lang w:val="en-US"/>
              </w:rPr>
            </w:pPr>
            <w:r w:rsidRPr="001C7F76">
              <w:rPr>
                <w:rFonts w:cs="Arial"/>
                <w:lang w:val="en-US"/>
              </w:rPr>
              <w:t>Isovalerate</w:t>
            </w:r>
          </w:p>
        </w:tc>
        <w:tc>
          <w:tcPr>
            <w:tcW w:w="283" w:type="dxa"/>
          </w:tcPr>
          <w:p w14:paraId="043550C5" w14:textId="51F39A44" w:rsidR="001C7F76" w:rsidRPr="001C7F76" w:rsidRDefault="001C7F76" w:rsidP="007A0E1A">
            <w:pPr>
              <w:spacing w:before="120" w:after="0" w:line="240" w:lineRule="auto"/>
              <w:jc w:val="center"/>
              <w:rPr>
                <w:rFonts w:cs="Arial"/>
                <w:lang w:val="en-US"/>
              </w:rPr>
            </w:pPr>
          </w:p>
        </w:tc>
        <w:tc>
          <w:tcPr>
            <w:tcW w:w="851" w:type="dxa"/>
          </w:tcPr>
          <w:p w14:paraId="0C683EDB" w14:textId="77777777" w:rsidR="001C7F76" w:rsidRPr="001C7F76" w:rsidRDefault="001C7F76" w:rsidP="007A0E1A">
            <w:pPr>
              <w:spacing w:before="120" w:after="0" w:line="240" w:lineRule="auto"/>
              <w:jc w:val="center"/>
              <w:rPr>
                <w:rFonts w:cs="Arial"/>
                <w:lang w:val="en-US"/>
              </w:rPr>
            </w:pPr>
            <w:r w:rsidRPr="001C7F76">
              <w:rPr>
                <w:rFonts w:cs="Arial"/>
                <w:lang w:val="en-US"/>
              </w:rPr>
              <w:t>0.32</w:t>
            </w:r>
          </w:p>
        </w:tc>
        <w:tc>
          <w:tcPr>
            <w:tcW w:w="1275" w:type="dxa"/>
          </w:tcPr>
          <w:p w14:paraId="16400E42" w14:textId="77777777" w:rsidR="001C7F76" w:rsidRPr="001C7F76" w:rsidRDefault="001C7F76" w:rsidP="007A0E1A">
            <w:pPr>
              <w:spacing w:before="120" w:after="0" w:line="240" w:lineRule="auto"/>
              <w:jc w:val="center"/>
              <w:rPr>
                <w:rFonts w:cs="Arial"/>
                <w:lang w:val="en-US"/>
              </w:rPr>
            </w:pPr>
            <w:r w:rsidRPr="001C7F76">
              <w:rPr>
                <w:rFonts w:cs="Arial"/>
                <w:lang w:val="en-US"/>
              </w:rPr>
              <w:t>0.24</w:t>
            </w:r>
          </w:p>
        </w:tc>
        <w:tc>
          <w:tcPr>
            <w:tcW w:w="993" w:type="dxa"/>
          </w:tcPr>
          <w:p w14:paraId="326FC462" w14:textId="77777777" w:rsidR="001C7F76" w:rsidRPr="001C7F76" w:rsidRDefault="001C7F76" w:rsidP="007A0E1A">
            <w:pPr>
              <w:spacing w:before="120" w:after="0" w:line="240" w:lineRule="auto"/>
              <w:jc w:val="center"/>
              <w:rPr>
                <w:rFonts w:cs="Arial"/>
                <w:lang w:val="en-US"/>
              </w:rPr>
            </w:pPr>
            <w:r w:rsidRPr="001C7F76">
              <w:rPr>
                <w:rFonts w:cs="Arial"/>
                <w:lang w:val="en-US"/>
              </w:rPr>
              <w:t>-0.01</w:t>
            </w:r>
          </w:p>
        </w:tc>
        <w:tc>
          <w:tcPr>
            <w:tcW w:w="1417" w:type="dxa"/>
          </w:tcPr>
          <w:p w14:paraId="04CDA53E" w14:textId="77777777" w:rsidR="001C7F76" w:rsidRPr="001C7F76" w:rsidRDefault="001C7F76" w:rsidP="007A0E1A">
            <w:pPr>
              <w:spacing w:before="120" w:after="0" w:line="240" w:lineRule="auto"/>
              <w:jc w:val="center"/>
              <w:rPr>
                <w:rFonts w:cs="Arial"/>
                <w:lang w:val="en-US"/>
              </w:rPr>
            </w:pPr>
            <w:r w:rsidRPr="001C7F76">
              <w:rPr>
                <w:rFonts w:cs="Arial"/>
                <w:lang w:val="en-US"/>
              </w:rPr>
              <w:t>0.50</w:t>
            </w:r>
          </w:p>
        </w:tc>
        <w:tc>
          <w:tcPr>
            <w:tcW w:w="1134" w:type="dxa"/>
          </w:tcPr>
          <w:p w14:paraId="6048F37E" w14:textId="77777777" w:rsidR="001C7F76" w:rsidRPr="001C7F76" w:rsidRDefault="001C7F76" w:rsidP="007A0E1A">
            <w:pPr>
              <w:spacing w:before="120" w:after="0" w:line="240" w:lineRule="auto"/>
              <w:jc w:val="center"/>
              <w:rPr>
                <w:rFonts w:cs="Arial"/>
                <w:lang w:val="en-US"/>
              </w:rPr>
            </w:pPr>
            <w:r w:rsidRPr="001C7F76">
              <w:rPr>
                <w:rFonts w:cs="Arial"/>
                <w:lang w:val="en-US"/>
              </w:rPr>
              <w:t>0.26</w:t>
            </w:r>
          </w:p>
        </w:tc>
        <w:tc>
          <w:tcPr>
            <w:tcW w:w="1418" w:type="dxa"/>
          </w:tcPr>
          <w:p w14:paraId="69B21CE9" w14:textId="77777777" w:rsidR="001C7F76" w:rsidRPr="001C7F76" w:rsidRDefault="001C7F76" w:rsidP="007A0E1A">
            <w:pPr>
              <w:spacing w:before="120" w:after="0" w:line="240" w:lineRule="auto"/>
              <w:jc w:val="center"/>
              <w:rPr>
                <w:rFonts w:cs="Arial"/>
                <w:lang w:val="en-US"/>
              </w:rPr>
            </w:pPr>
            <w:r w:rsidRPr="001C7F76">
              <w:rPr>
                <w:rFonts w:cs="Arial"/>
                <w:lang w:val="en-US"/>
              </w:rPr>
              <w:t>0.68</w:t>
            </w:r>
          </w:p>
        </w:tc>
      </w:tr>
    </w:tbl>
    <w:p w14:paraId="7534B2C3" w14:textId="07CDFB1E" w:rsidR="001C7F76" w:rsidRPr="001C7F76" w:rsidRDefault="008721F0" w:rsidP="00587725">
      <w:pPr>
        <w:spacing w:before="120" w:line="240" w:lineRule="auto"/>
        <w:jc w:val="both"/>
        <w:rPr>
          <w:rFonts w:cs="Arial"/>
          <w:lang w:val="en-US"/>
        </w:rPr>
      </w:pPr>
      <w:r w:rsidRPr="008721F0">
        <w:rPr>
          <w:rFonts w:cs="Arial"/>
          <w:vertAlign w:val="superscript"/>
          <w:lang w:val="en-US"/>
        </w:rPr>
        <w:t>1</w:t>
      </w:r>
      <w:r w:rsidR="00E75FA7">
        <w:rPr>
          <w:rFonts w:cs="Arial"/>
          <w:lang w:val="en-US"/>
        </w:rPr>
        <w:t>S</w:t>
      </w:r>
      <w:r>
        <w:rPr>
          <w:rFonts w:cs="Arial"/>
          <w:lang w:val="en-US"/>
        </w:rPr>
        <w:t>tandard deviation of the posterior distribution of h</w:t>
      </w:r>
      <w:r>
        <w:rPr>
          <w:rFonts w:cs="Arial"/>
          <w:vertAlign w:val="superscript"/>
          <w:lang w:val="en-US"/>
        </w:rPr>
        <w:t>2</w:t>
      </w:r>
      <w:r>
        <w:rPr>
          <w:rFonts w:cs="Arial"/>
          <w:lang w:val="en-US"/>
        </w:rPr>
        <w:t xml:space="preserve"> (SD); </w:t>
      </w:r>
      <w:r>
        <w:rPr>
          <w:rFonts w:cs="Arial"/>
          <w:vertAlign w:val="superscript"/>
          <w:lang w:val="en-US"/>
        </w:rPr>
        <w:t>2</w:t>
      </w:r>
      <w:r w:rsidR="001C7F76" w:rsidRPr="008721F0">
        <w:rPr>
          <w:rFonts w:cs="Arial"/>
          <w:lang w:val="en-US"/>
        </w:rPr>
        <w:t>daily</w:t>
      </w:r>
      <w:r w:rsidR="001C7F76" w:rsidRPr="001C7F76">
        <w:rPr>
          <w:rFonts w:cs="Arial"/>
          <w:lang w:val="en-US"/>
        </w:rPr>
        <w:t xml:space="preserve"> methane emissions (g/d) (CH</w:t>
      </w:r>
      <w:r w:rsidR="001C7F76" w:rsidRPr="001C7F76">
        <w:rPr>
          <w:rFonts w:cs="Arial"/>
          <w:vertAlign w:val="subscript"/>
          <w:lang w:val="en-US"/>
        </w:rPr>
        <w:t>4</w:t>
      </w:r>
      <w:r w:rsidR="001C7F76" w:rsidRPr="001C7F76">
        <w:rPr>
          <w:rFonts w:cs="Arial"/>
          <w:lang w:val="en-US"/>
        </w:rPr>
        <w:t xml:space="preserve">d); </w:t>
      </w:r>
      <w:r>
        <w:rPr>
          <w:rFonts w:cs="Arial"/>
          <w:vertAlign w:val="superscript"/>
          <w:lang w:val="en-US"/>
        </w:rPr>
        <w:t>3</w:t>
      </w:r>
      <w:r w:rsidR="001C7F76" w:rsidRPr="001C7F76">
        <w:rPr>
          <w:rFonts w:cs="Arial"/>
          <w:lang w:val="en-US"/>
        </w:rPr>
        <w:t>methane yield (g/kg dry matter intake) (CH</w:t>
      </w:r>
      <w:r w:rsidR="001C7F76" w:rsidRPr="001C7F76">
        <w:rPr>
          <w:rFonts w:cs="Arial"/>
          <w:vertAlign w:val="subscript"/>
          <w:lang w:val="en-US"/>
        </w:rPr>
        <w:t>4</w:t>
      </w:r>
      <w:r w:rsidR="001C7F76" w:rsidRPr="001C7F76">
        <w:rPr>
          <w:rFonts w:cs="Arial"/>
          <w:lang w:val="en-US"/>
        </w:rPr>
        <w:t xml:space="preserve">y); </w:t>
      </w:r>
      <w:r>
        <w:rPr>
          <w:rFonts w:cs="Arial"/>
          <w:vertAlign w:val="superscript"/>
          <w:lang w:val="en-US"/>
        </w:rPr>
        <w:t>4</w:t>
      </w:r>
      <w:r w:rsidR="001C7F76" w:rsidRPr="001C7F76">
        <w:rPr>
          <w:rFonts w:cs="Arial"/>
          <w:lang w:val="en-US"/>
        </w:rPr>
        <w:t>probability that the genetic correlation is different from zero (</w:t>
      </w:r>
      <w:r w:rsidR="001C7F76" w:rsidRPr="001C7F76">
        <w:rPr>
          <w:rFonts w:cs="Arial"/>
          <w:i/>
          <w:iCs/>
          <w:lang w:val="en-US"/>
        </w:rPr>
        <w:t>P</w:t>
      </w:r>
      <w:r w:rsidR="001C7F76" w:rsidRPr="001C7F76">
        <w:rPr>
          <w:rFonts w:cs="Arial"/>
          <w:vertAlign w:val="subscript"/>
          <w:lang w:val="en-US"/>
        </w:rPr>
        <w:t>0</w:t>
      </w:r>
      <w:r w:rsidR="001C7F76" w:rsidRPr="001C7F76">
        <w:rPr>
          <w:rFonts w:cs="Arial"/>
          <w:lang w:val="en-US"/>
        </w:rPr>
        <w:t>). Heritabilities of CH</w:t>
      </w:r>
      <w:r w:rsidR="001C7F76" w:rsidRPr="001C7F76">
        <w:rPr>
          <w:rFonts w:cs="Arial"/>
          <w:vertAlign w:val="subscript"/>
          <w:lang w:val="en-US"/>
        </w:rPr>
        <w:t>4</w:t>
      </w:r>
      <w:r w:rsidR="001C7F76" w:rsidRPr="001C7F76">
        <w:rPr>
          <w:rFonts w:cs="Arial"/>
          <w:lang w:val="en-US"/>
        </w:rPr>
        <w:t>d and CH</w:t>
      </w:r>
      <w:r w:rsidR="001C7F76" w:rsidRPr="001C7F76">
        <w:rPr>
          <w:rFonts w:cs="Arial"/>
          <w:vertAlign w:val="subscript"/>
          <w:lang w:val="en-US"/>
        </w:rPr>
        <w:t>4</w:t>
      </w:r>
      <w:r w:rsidR="001C7F76" w:rsidRPr="001C7F76">
        <w:rPr>
          <w:rFonts w:cs="Arial"/>
          <w:lang w:val="en-US"/>
        </w:rPr>
        <w:t>y were 0.46 (±0.19) and 0.43 (±0.20), respectively.</w:t>
      </w:r>
    </w:p>
    <w:p w14:paraId="68E461EC" w14:textId="317E8356" w:rsidR="007B30E3" w:rsidRDefault="007B30E3" w:rsidP="00587725">
      <w:pPr>
        <w:jc w:val="both"/>
        <w:rPr>
          <w:b/>
          <w:bCs/>
          <w:lang w:val="en-US"/>
        </w:rPr>
      </w:pPr>
      <w:r>
        <w:rPr>
          <w:b/>
          <w:bCs/>
          <w:lang w:val="en-US"/>
        </w:rPr>
        <w:t>Conclusions</w:t>
      </w:r>
    </w:p>
    <w:p w14:paraId="41A3C7EB" w14:textId="338B93D2" w:rsidR="007B30E3" w:rsidRPr="001C7F76" w:rsidRDefault="001C7F76" w:rsidP="00587725">
      <w:pPr>
        <w:jc w:val="both"/>
        <w:rPr>
          <w:b/>
          <w:bCs/>
          <w:lang w:val="en-US"/>
        </w:rPr>
      </w:pPr>
      <w:r w:rsidRPr="001C7F76">
        <w:rPr>
          <w:rFonts w:cs="Arial"/>
          <w:color w:val="000000" w:themeColor="text1"/>
        </w:rPr>
        <w:t>The molar proportion</w:t>
      </w:r>
      <w:r w:rsidR="007470B0">
        <w:rPr>
          <w:rFonts w:cs="Arial"/>
          <w:color w:val="000000" w:themeColor="text1"/>
        </w:rPr>
        <w:t>s</w:t>
      </w:r>
      <w:r w:rsidRPr="001C7F76">
        <w:rPr>
          <w:rFonts w:cs="Arial"/>
          <w:color w:val="000000" w:themeColor="text1"/>
        </w:rPr>
        <w:t xml:space="preserve"> of ruminal VFAs were found to be heritable and genetically correlated with </w:t>
      </w:r>
      <w:r w:rsidRPr="001C7F76">
        <w:rPr>
          <w:rFonts w:cs="Arial"/>
          <w:lang w:val="en-US"/>
        </w:rPr>
        <w:t>CH</w:t>
      </w:r>
      <w:r w:rsidRPr="001C7F76">
        <w:rPr>
          <w:rFonts w:cs="Arial"/>
          <w:vertAlign w:val="subscript"/>
          <w:lang w:val="en-US"/>
        </w:rPr>
        <w:t>4</w:t>
      </w:r>
      <w:r w:rsidRPr="001C7F76">
        <w:rPr>
          <w:rFonts w:cs="Arial"/>
          <w:color w:val="000000" w:themeColor="text1"/>
        </w:rPr>
        <w:t xml:space="preserve"> emissions. </w:t>
      </w:r>
      <w:r w:rsidR="00F541C5">
        <w:rPr>
          <w:rFonts w:cs="Arial"/>
          <w:color w:val="000000" w:themeColor="text1"/>
        </w:rPr>
        <w:t>T</w:t>
      </w:r>
      <w:r w:rsidRPr="001C7F76">
        <w:rPr>
          <w:rFonts w:cs="Arial"/>
          <w:color w:val="000000" w:themeColor="text1"/>
        </w:rPr>
        <w:t xml:space="preserve">hese </w:t>
      </w:r>
      <w:r w:rsidR="00F541C5">
        <w:rPr>
          <w:rFonts w:cs="Arial"/>
          <w:color w:val="000000" w:themeColor="text1"/>
        </w:rPr>
        <w:t>VFAs</w:t>
      </w:r>
      <w:r w:rsidRPr="001C7F76">
        <w:rPr>
          <w:rFonts w:cs="Arial"/>
          <w:color w:val="000000" w:themeColor="text1"/>
        </w:rPr>
        <w:t xml:space="preserve"> could be combined with the</w:t>
      </w:r>
      <w:r w:rsidR="000E3F6B">
        <w:rPr>
          <w:rFonts w:cs="Arial"/>
          <w:color w:val="000000" w:themeColor="text1"/>
        </w:rPr>
        <w:t xml:space="preserve"> microbial</w:t>
      </w:r>
      <w:r w:rsidR="00F541C5">
        <w:rPr>
          <w:rFonts w:cs="Arial"/>
          <w:color w:val="000000" w:themeColor="text1"/>
        </w:rPr>
        <w:t xml:space="preserve"> gene-based </w:t>
      </w:r>
      <w:r w:rsidRPr="001C7F76">
        <w:rPr>
          <w:rFonts w:cs="Arial"/>
          <w:color w:val="000000" w:themeColor="text1"/>
        </w:rPr>
        <w:t>microbiome-driven breeding strategy</w:t>
      </w:r>
      <w:r w:rsidR="00195939">
        <w:rPr>
          <w:rFonts w:cs="Arial"/>
          <w:color w:val="000000" w:themeColor="text1"/>
        </w:rPr>
        <w:t xml:space="preserve"> to improve its accuracy to estimate breeding values for </w:t>
      </w:r>
      <w:r w:rsidR="00195939" w:rsidRPr="001C7F76">
        <w:rPr>
          <w:rFonts w:cs="Arial"/>
          <w:lang w:val="en-US"/>
        </w:rPr>
        <w:t>CH</w:t>
      </w:r>
      <w:r w:rsidR="00195939" w:rsidRPr="001C7F76">
        <w:rPr>
          <w:rFonts w:cs="Arial"/>
          <w:vertAlign w:val="subscript"/>
          <w:lang w:val="en-US"/>
        </w:rPr>
        <w:t>4</w:t>
      </w:r>
      <w:r w:rsidR="00195939" w:rsidRPr="001C7F76">
        <w:rPr>
          <w:rFonts w:cs="Arial"/>
          <w:color w:val="000000" w:themeColor="text1"/>
        </w:rPr>
        <w:t xml:space="preserve"> emissions</w:t>
      </w:r>
      <w:r w:rsidRPr="001C7F76">
        <w:rPr>
          <w:rFonts w:cs="Arial"/>
          <w:color w:val="000000" w:themeColor="text1"/>
        </w:rPr>
        <w:t>. In addition, key microbial genes (</w:t>
      </w:r>
      <w:proofErr w:type="spellStart"/>
      <w:r w:rsidRPr="001C7F76">
        <w:rPr>
          <w:rFonts w:cs="Arial"/>
          <w:i/>
          <w:iCs/>
          <w:color w:val="000000" w:themeColor="text1"/>
        </w:rPr>
        <w:t>asr</w:t>
      </w:r>
      <w:proofErr w:type="spellEnd"/>
      <w:r w:rsidRPr="001C7F76">
        <w:rPr>
          <w:rFonts w:cs="Arial"/>
          <w:color w:val="000000" w:themeColor="text1"/>
        </w:rPr>
        <w:t xml:space="preserve"> subunits),</w:t>
      </w:r>
      <w:r w:rsidR="007470B0">
        <w:rPr>
          <w:rFonts w:cs="Arial"/>
          <w:color w:val="000000" w:themeColor="text1"/>
        </w:rPr>
        <w:t xml:space="preserve"> genetically correlated </w:t>
      </w:r>
      <w:r w:rsidRPr="001C7F76">
        <w:rPr>
          <w:rFonts w:cs="Arial"/>
          <w:color w:val="000000" w:themeColor="text1"/>
        </w:rPr>
        <w:t xml:space="preserve">with </w:t>
      </w:r>
      <w:r w:rsidR="007470B0">
        <w:rPr>
          <w:rFonts w:cs="Arial"/>
          <w:color w:val="000000" w:themeColor="text1"/>
        </w:rPr>
        <w:t xml:space="preserve">both </w:t>
      </w:r>
      <w:r w:rsidRPr="001C7F76">
        <w:rPr>
          <w:rFonts w:cs="Arial"/>
          <w:color w:val="000000" w:themeColor="text1"/>
        </w:rPr>
        <w:t xml:space="preserve">VFAs and </w:t>
      </w:r>
      <w:r w:rsidRPr="001C7F76">
        <w:rPr>
          <w:rFonts w:cs="Arial"/>
          <w:lang w:val="en-US"/>
        </w:rPr>
        <w:t>CH</w:t>
      </w:r>
      <w:r w:rsidRPr="001C7F76">
        <w:rPr>
          <w:rFonts w:cs="Arial"/>
          <w:vertAlign w:val="subscript"/>
          <w:lang w:val="en-US"/>
        </w:rPr>
        <w:t>4</w:t>
      </w:r>
      <w:r w:rsidRPr="001C7F76">
        <w:rPr>
          <w:rFonts w:cs="Arial"/>
          <w:color w:val="000000" w:themeColor="text1"/>
        </w:rPr>
        <w:t xml:space="preserve"> emissions were identified, which are of high value to be directly included into microbiome driven breeding to mitigate </w:t>
      </w:r>
      <w:r w:rsidRPr="001C7F76">
        <w:rPr>
          <w:rFonts w:cs="Arial"/>
          <w:lang w:val="en-US"/>
        </w:rPr>
        <w:t>CH</w:t>
      </w:r>
      <w:r w:rsidRPr="001C7F76">
        <w:rPr>
          <w:rFonts w:cs="Arial"/>
          <w:vertAlign w:val="subscript"/>
          <w:lang w:val="en-US"/>
        </w:rPr>
        <w:t>4</w:t>
      </w:r>
      <w:r w:rsidRPr="001C7F76">
        <w:rPr>
          <w:rFonts w:cs="Arial"/>
          <w:color w:val="000000" w:themeColor="text1"/>
        </w:rPr>
        <w:t xml:space="preserve"> emissions. The </w:t>
      </w:r>
      <w:proofErr w:type="spellStart"/>
      <w:r w:rsidRPr="001C7F76">
        <w:rPr>
          <w:rFonts w:cs="Arial"/>
          <w:i/>
          <w:iCs/>
          <w:color w:val="000000" w:themeColor="text1"/>
        </w:rPr>
        <w:t>asr</w:t>
      </w:r>
      <w:proofErr w:type="spellEnd"/>
      <w:r w:rsidRPr="001C7F76">
        <w:rPr>
          <w:rFonts w:cs="Arial"/>
          <w:color w:val="000000" w:themeColor="text1"/>
        </w:rPr>
        <w:t xml:space="preserve"> genes are involved in the reduction of </w:t>
      </w:r>
      <w:r w:rsidR="00CC1475">
        <w:rPr>
          <w:rFonts w:cs="Arial"/>
          <w:color w:val="000000" w:themeColor="text1"/>
        </w:rPr>
        <w:t>sulph</w:t>
      </w:r>
      <w:r w:rsidRPr="001C7F76">
        <w:rPr>
          <w:rFonts w:cs="Arial"/>
          <w:color w:val="000000" w:themeColor="text1"/>
        </w:rPr>
        <w:t>ite to sul</w:t>
      </w:r>
      <w:r w:rsidR="001F500B">
        <w:rPr>
          <w:rFonts w:cs="Arial"/>
          <w:color w:val="000000" w:themeColor="text1"/>
        </w:rPr>
        <w:t>ph</w:t>
      </w:r>
      <w:r w:rsidRPr="001C7F76">
        <w:rPr>
          <w:rFonts w:cs="Arial"/>
          <w:color w:val="000000" w:themeColor="text1"/>
        </w:rPr>
        <w:t>ide and might compete with methanogenic archaea for molecular hydrogen (H</w:t>
      </w:r>
      <w:r w:rsidRPr="001C7F76">
        <w:rPr>
          <w:rFonts w:cs="Arial"/>
          <w:color w:val="000000" w:themeColor="text1"/>
          <w:vertAlign w:val="subscript"/>
        </w:rPr>
        <w:t>2</w:t>
      </w:r>
      <w:r w:rsidRPr="001C7F76">
        <w:rPr>
          <w:rFonts w:cs="Arial"/>
          <w:color w:val="000000" w:themeColor="text1"/>
        </w:rPr>
        <w:t>).</w:t>
      </w:r>
    </w:p>
    <w:p w14:paraId="4697BF4D" w14:textId="5F7A69EB" w:rsidR="00FC58FB" w:rsidRDefault="00FC58FB" w:rsidP="00587725">
      <w:pPr>
        <w:jc w:val="both"/>
        <w:rPr>
          <w:b/>
          <w:bCs/>
        </w:rPr>
      </w:pPr>
      <w:r w:rsidRPr="00FC58FB">
        <w:rPr>
          <w:b/>
          <w:bCs/>
        </w:rPr>
        <w:t>Acknowledgments</w:t>
      </w:r>
    </w:p>
    <w:p w14:paraId="30A9F2C0" w14:textId="77777777" w:rsidR="001C7F76" w:rsidRPr="001C7F76" w:rsidRDefault="001C7F76" w:rsidP="00587725">
      <w:pPr>
        <w:jc w:val="both"/>
        <w:rPr>
          <w:rFonts w:cs="Arial"/>
          <w:color w:val="000000" w:themeColor="text1"/>
        </w:rPr>
      </w:pPr>
      <w:r w:rsidRPr="001C7F76">
        <w:rPr>
          <w:rFonts w:cs="Arial"/>
          <w:color w:val="000000" w:themeColor="text1"/>
        </w:rPr>
        <w:t>This research was funded by the Scottish Government and based on data generated from experiments funded by the Scottish Government, BBSRC (BB/N01720X/1, BB/N016742/1, BB/S006567/1, and BB/S006680/1), AHDB, and QMS.</w:t>
      </w:r>
    </w:p>
    <w:p w14:paraId="0ADB320F" w14:textId="6D934A56" w:rsidR="007B30E3" w:rsidRDefault="007B30E3" w:rsidP="00587725">
      <w:pPr>
        <w:jc w:val="both"/>
        <w:rPr>
          <w:b/>
          <w:bCs/>
          <w:lang w:val="en-US"/>
        </w:rPr>
      </w:pPr>
      <w:r>
        <w:rPr>
          <w:b/>
          <w:bCs/>
          <w:lang w:val="en-US"/>
        </w:rPr>
        <w:t>References</w:t>
      </w:r>
    </w:p>
    <w:p w14:paraId="25ECF5B9" w14:textId="77777777" w:rsidR="00FA3667" w:rsidRPr="00FA3667" w:rsidRDefault="00FA3667" w:rsidP="00FA3667">
      <w:pPr>
        <w:spacing w:after="0"/>
        <w:rPr>
          <w:rFonts w:cs="Arial"/>
          <w:color w:val="000000" w:themeColor="text1"/>
        </w:rPr>
      </w:pPr>
      <w:r w:rsidRPr="00FA3667">
        <w:rPr>
          <w:rFonts w:cs="Arial"/>
          <w:color w:val="000000" w:themeColor="text1"/>
        </w:rPr>
        <w:t>Martínez-Álvaro, M., Auffret, M.D., Duthie, C.-A., Dewhurst, R.J., Cleveland, M.A., Watson, M., Roehe, R. (2022). Communications Biology, 5(1), 350.</w:t>
      </w:r>
    </w:p>
    <w:p w14:paraId="708D141D" w14:textId="325EAE01" w:rsidR="001C7F76" w:rsidRPr="001C7F76" w:rsidRDefault="00FA3667" w:rsidP="00D86EE9">
      <w:pPr>
        <w:spacing w:after="0"/>
        <w:rPr>
          <w:b/>
          <w:bCs/>
          <w:lang w:val="en-US"/>
        </w:rPr>
      </w:pPr>
      <w:r w:rsidRPr="00FA3667">
        <w:rPr>
          <w:rFonts w:cs="Arial"/>
          <w:color w:val="000000" w:themeColor="text1"/>
        </w:rPr>
        <w:t>Roehe, R., Dewhurst, R.J., Duthie, C.-A., Rooke, J.A., McKain, N., Ross, D.W., Hyslop, J.J., Waterhouse, A., Freeman, T.C., Watson, M., Wallace, R.J. (2016). PLOS Genetics, 12 (2), e1005846.</w:t>
      </w:r>
    </w:p>
    <w:sectPr w:rsidR="001C7F76" w:rsidRPr="001C7F76"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1691D"/>
    <w:rsid w:val="000E3F6B"/>
    <w:rsid w:val="00195939"/>
    <w:rsid w:val="001A40EE"/>
    <w:rsid w:val="001C7F76"/>
    <w:rsid w:val="001F500B"/>
    <w:rsid w:val="002D3C33"/>
    <w:rsid w:val="002E737B"/>
    <w:rsid w:val="00383DCD"/>
    <w:rsid w:val="00397193"/>
    <w:rsid w:val="00587725"/>
    <w:rsid w:val="00625B14"/>
    <w:rsid w:val="00662F18"/>
    <w:rsid w:val="0067304E"/>
    <w:rsid w:val="007470B0"/>
    <w:rsid w:val="007A0E1A"/>
    <w:rsid w:val="007B30E3"/>
    <w:rsid w:val="0085206A"/>
    <w:rsid w:val="008721F0"/>
    <w:rsid w:val="008A3AF1"/>
    <w:rsid w:val="008A7A63"/>
    <w:rsid w:val="00933E8C"/>
    <w:rsid w:val="00996088"/>
    <w:rsid w:val="00A44975"/>
    <w:rsid w:val="00A75DC9"/>
    <w:rsid w:val="00B52E4E"/>
    <w:rsid w:val="00BB448E"/>
    <w:rsid w:val="00C3728E"/>
    <w:rsid w:val="00C53AE2"/>
    <w:rsid w:val="00C95030"/>
    <w:rsid w:val="00CA3ACF"/>
    <w:rsid w:val="00CC1475"/>
    <w:rsid w:val="00D319FF"/>
    <w:rsid w:val="00D60876"/>
    <w:rsid w:val="00D86EE9"/>
    <w:rsid w:val="00DD21B5"/>
    <w:rsid w:val="00E27EE6"/>
    <w:rsid w:val="00E61DA3"/>
    <w:rsid w:val="00E75FA7"/>
    <w:rsid w:val="00EB7A31"/>
    <w:rsid w:val="00F541C5"/>
    <w:rsid w:val="00FA3667"/>
    <w:rsid w:val="00FC5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Rainer Roehe</cp:lastModifiedBy>
  <cp:revision>2</cp:revision>
  <dcterms:created xsi:type="dcterms:W3CDTF">2024-11-18T11:24:00Z</dcterms:created>
  <dcterms:modified xsi:type="dcterms:W3CDTF">2024-11-18T11:24:00Z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