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0749" w14:textId="2976F4FD" w:rsidR="0009581A" w:rsidRPr="00A3714E" w:rsidRDefault="0009581A" w:rsidP="00F858E2">
      <w:pPr>
        <w:pStyle w:val="Heading1"/>
        <w:rPr>
          <w:sz w:val="24"/>
          <w:szCs w:val="24"/>
        </w:rPr>
      </w:pPr>
      <w:r w:rsidRPr="00A3714E">
        <w:rPr>
          <w:sz w:val="24"/>
          <w:szCs w:val="24"/>
        </w:rPr>
        <w:t>Application</w:t>
      </w:r>
    </w:p>
    <w:p w14:paraId="132335E4" w14:textId="77777777" w:rsidR="0009581A" w:rsidRPr="00A3714E" w:rsidRDefault="0009581A" w:rsidP="0009581A">
      <w:pPr>
        <w:rPr>
          <w:sz w:val="24"/>
          <w:szCs w:val="24"/>
        </w:rPr>
      </w:pPr>
      <w:r w:rsidRPr="00A3714E">
        <w:rPr>
          <w:sz w:val="24"/>
          <w:szCs w:val="24"/>
        </w:rPr>
        <w:t>Selecting cattle with low infectivity, alongside enhanced disease resistance, can help eliminate bovine tuberculosis (bTB) in the UK</w:t>
      </w:r>
      <w:r w:rsidR="00F858E2" w:rsidRPr="00A3714E">
        <w:rPr>
          <w:sz w:val="24"/>
          <w:szCs w:val="24"/>
        </w:rPr>
        <w:t>.</w:t>
      </w:r>
    </w:p>
    <w:p w14:paraId="48D73269" w14:textId="77777777" w:rsidR="0009581A" w:rsidRPr="00A3714E" w:rsidRDefault="0009581A" w:rsidP="00F858E2">
      <w:pPr>
        <w:pStyle w:val="Heading1"/>
        <w:rPr>
          <w:sz w:val="24"/>
          <w:szCs w:val="24"/>
        </w:rPr>
      </w:pPr>
      <w:r w:rsidRPr="00A3714E">
        <w:rPr>
          <w:sz w:val="24"/>
          <w:szCs w:val="24"/>
        </w:rPr>
        <w:t>Introduction</w:t>
      </w:r>
    </w:p>
    <w:p w14:paraId="02B5C409" w14:textId="77777777" w:rsidR="00D56809" w:rsidRPr="00A3714E" w:rsidRDefault="0009581A" w:rsidP="00F858E2">
      <w:pPr>
        <w:jc w:val="both"/>
        <w:rPr>
          <w:sz w:val="24"/>
          <w:szCs w:val="24"/>
        </w:rPr>
      </w:pPr>
      <w:r w:rsidRPr="00A3714E">
        <w:rPr>
          <w:sz w:val="24"/>
          <w:szCs w:val="24"/>
        </w:rPr>
        <w:t>bTB is an infectious cattle disease that continues to impose significant financial burden to the UK. Since 2016, genetic selection of cattle with enhanced genetic bTB resistance has been contributing to UK goal to achieve an officially tuberculosis free status by 2038. Recent studies have indicated that concurrently reducing infectivity in cattle while enhancing their resistance</w:t>
      </w:r>
      <w:r w:rsidR="00F858E2" w:rsidRPr="00A3714E">
        <w:rPr>
          <w:sz w:val="24"/>
          <w:szCs w:val="24"/>
        </w:rPr>
        <w:t xml:space="preserve"> may accelerate the process of </w:t>
      </w:r>
      <w:proofErr w:type="spellStart"/>
      <w:r w:rsidR="00F858E2" w:rsidRPr="00A3714E">
        <w:rPr>
          <w:sz w:val="24"/>
          <w:szCs w:val="24"/>
        </w:rPr>
        <w:t>bTB</w:t>
      </w:r>
      <w:proofErr w:type="spellEnd"/>
      <w:r w:rsidR="00F858E2" w:rsidRPr="00A3714E">
        <w:rPr>
          <w:sz w:val="24"/>
          <w:szCs w:val="24"/>
        </w:rPr>
        <w:t xml:space="preserve"> eradication</w:t>
      </w:r>
      <w:r w:rsidR="003F27F1" w:rsidRPr="00A3714E">
        <w:rPr>
          <w:sz w:val="24"/>
          <w:szCs w:val="24"/>
        </w:rPr>
        <w:t xml:space="preserve"> </w:t>
      </w:r>
      <w:r w:rsidRPr="00A3714E">
        <w:rPr>
          <w:sz w:val="24"/>
          <w:szCs w:val="24"/>
        </w:rPr>
        <w:t>(</w:t>
      </w:r>
      <w:proofErr w:type="spellStart"/>
      <w:r w:rsidRPr="00A3714E">
        <w:rPr>
          <w:sz w:val="24"/>
          <w:szCs w:val="24"/>
        </w:rPr>
        <w:t>Banos</w:t>
      </w:r>
      <w:proofErr w:type="spellEnd"/>
      <w:r w:rsidRPr="00A3714E">
        <w:rPr>
          <w:sz w:val="24"/>
          <w:szCs w:val="24"/>
        </w:rPr>
        <w:t>, 2023).</w:t>
      </w:r>
      <w:r w:rsidR="00D56809" w:rsidRPr="00A3714E">
        <w:rPr>
          <w:sz w:val="24"/>
          <w:szCs w:val="24"/>
        </w:rPr>
        <w:t xml:space="preserve"> </w:t>
      </w:r>
    </w:p>
    <w:p w14:paraId="122E313D" w14:textId="77777777" w:rsidR="0009581A" w:rsidRPr="00A3714E" w:rsidRDefault="0009581A" w:rsidP="00F858E2">
      <w:pPr>
        <w:jc w:val="both"/>
        <w:rPr>
          <w:sz w:val="24"/>
          <w:szCs w:val="24"/>
        </w:rPr>
      </w:pPr>
      <w:r w:rsidRPr="00A3714E">
        <w:rPr>
          <w:sz w:val="24"/>
          <w:szCs w:val="24"/>
        </w:rPr>
        <w:t xml:space="preserve">Our previous analyses of a subset of the data used in genetic evaluations for bTB resistance of dairy cattle has provided first empirical evidence that dairy cattle may vary genetically in their bTB infectivity (Madenci et al., 2023). However, the models used in that study could not properly account for genetic variation in bTB resistance, and the large extent of zero inflation and overdispersion observed in the infectivity phenotype. The main aim of </w:t>
      </w:r>
      <w:r w:rsidR="00106AAD">
        <w:rPr>
          <w:sz w:val="24"/>
          <w:szCs w:val="24"/>
        </w:rPr>
        <w:t>the present</w:t>
      </w:r>
      <w:r w:rsidRPr="00A3714E">
        <w:rPr>
          <w:sz w:val="24"/>
          <w:szCs w:val="24"/>
        </w:rPr>
        <w:t xml:space="preserve"> study was to provide conclusive evidence for genetic variation in dairy cattle infectivity by applying generalized linear mixed models that can better handle the inherent complexities in the data.</w:t>
      </w:r>
    </w:p>
    <w:p w14:paraId="1123ABD6" w14:textId="77777777" w:rsidR="0009581A" w:rsidRPr="00A3714E" w:rsidRDefault="0009581A" w:rsidP="00F858E2">
      <w:pPr>
        <w:pStyle w:val="Heading1"/>
        <w:rPr>
          <w:sz w:val="24"/>
          <w:szCs w:val="24"/>
        </w:rPr>
      </w:pPr>
      <w:r w:rsidRPr="00A3714E">
        <w:rPr>
          <w:sz w:val="24"/>
          <w:szCs w:val="24"/>
        </w:rPr>
        <w:t>Material and methods</w:t>
      </w:r>
    </w:p>
    <w:p w14:paraId="2083DD7A" w14:textId="61AB32EC" w:rsidR="0009581A" w:rsidRPr="00A3714E" w:rsidRDefault="0009581A" w:rsidP="00F858E2">
      <w:pPr>
        <w:jc w:val="both"/>
        <w:rPr>
          <w:sz w:val="24"/>
          <w:szCs w:val="24"/>
        </w:rPr>
      </w:pPr>
      <w:r w:rsidRPr="00A3714E">
        <w:rPr>
          <w:sz w:val="24"/>
          <w:szCs w:val="24"/>
        </w:rPr>
        <w:t>The dataset used was prov</w:t>
      </w:r>
      <w:r w:rsidR="00F858E2" w:rsidRPr="00A3714E">
        <w:rPr>
          <w:sz w:val="24"/>
          <w:szCs w:val="24"/>
        </w:rPr>
        <w:t xml:space="preserve">ided by Egenes and consists of </w:t>
      </w:r>
      <w:r w:rsidRPr="00A3714E">
        <w:rPr>
          <w:sz w:val="24"/>
          <w:szCs w:val="24"/>
        </w:rPr>
        <w:t>the same data as used for the national genet</w:t>
      </w:r>
      <w:r w:rsidR="00F858E2" w:rsidRPr="00A3714E">
        <w:rPr>
          <w:sz w:val="24"/>
          <w:szCs w:val="24"/>
        </w:rPr>
        <w:t xml:space="preserve">ic evaluation of </w:t>
      </w:r>
      <w:proofErr w:type="spellStart"/>
      <w:r w:rsidR="00F858E2" w:rsidRPr="00A3714E">
        <w:rPr>
          <w:sz w:val="24"/>
          <w:szCs w:val="24"/>
        </w:rPr>
        <w:t>bTB</w:t>
      </w:r>
      <w:proofErr w:type="spellEnd"/>
      <w:r w:rsidR="00F858E2" w:rsidRPr="00A3714E">
        <w:rPr>
          <w:sz w:val="24"/>
          <w:szCs w:val="24"/>
        </w:rPr>
        <w:t xml:space="preserve"> resistance</w:t>
      </w:r>
      <w:r w:rsidR="003F27F1" w:rsidRPr="00A3714E">
        <w:rPr>
          <w:sz w:val="24"/>
          <w:szCs w:val="24"/>
        </w:rPr>
        <w:t xml:space="preserve"> </w:t>
      </w:r>
      <w:r w:rsidRPr="00A3714E">
        <w:rPr>
          <w:sz w:val="24"/>
          <w:szCs w:val="24"/>
        </w:rPr>
        <w:t>(</w:t>
      </w:r>
      <w:proofErr w:type="spellStart"/>
      <w:r w:rsidRPr="00A3714E">
        <w:rPr>
          <w:sz w:val="24"/>
          <w:szCs w:val="24"/>
        </w:rPr>
        <w:t>Banos</w:t>
      </w:r>
      <w:proofErr w:type="spellEnd"/>
      <w:r w:rsidRPr="00A3714E">
        <w:rPr>
          <w:sz w:val="24"/>
          <w:szCs w:val="24"/>
        </w:rPr>
        <w:t xml:space="preserve"> et al., 2017), and the resulting estimates of genetic merit in bTB resistance. The dataset includes bTB records (date of first positive test) and pedigree data of dairy cattle (</w:t>
      </w:r>
      <w:r w:rsidR="00B06DC2">
        <w:rPr>
          <w:sz w:val="24"/>
          <w:szCs w:val="24"/>
        </w:rPr>
        <w:t>only</w:t>
      </w:r>
      <w:r w:rsidRPr="00A3714E">
        <w:rPr>
          <w:sz w:val="24"/>
          <w:szCs w:val="24"/>
        </w:rPr>
        <w:t xml:space="preserve"> Holstein Friesian</w:t>
      </w:r>
      <w:r w:rsidR="00B06DC2">
        <w:rPr>
          <w:sz w:val="24"/>
          <w:szCs w:val="24"/>
        </w:rPr>
        <w:t xml:space="preserve">) </w:t>
      </w:r>
      <w:r w:rsidRPr="00A3714E">
        <w:rPr>
          <w:sz w:val="24"/>
          <w:szCs w:val="24"/>
        </w:rPr>
        <w:t xml:space="preserve">involved in all nationally recorded bTB breakdown herds in England and Wales between 2000 and 2022. </w:t>
      </w:r>
    </w:p>
    <w:p w14:paraId="7DD455A7" w14:textId="77777777" w:rsidR="0009581A" w:rsidRPr="00A3714E" w:rsidRDefault="0009581A" w:rsidP="00F858E2">
      <w:pPr>
        <w:jc w:val="both"/>
        <w:rPr>
          <w:sz w:val="24"/>
          <w:szCs w:val="24"/>
        </w:rPr>
      </w:pPr>
      <w:r w:rsidRPr="00A3714E">
        <w:rPr>
          <w:sz w:val="24"/>
          <w:szCs w:val="24"/>
        </w:rPr>
        <w:t>This study focuses on estimating genetic variation in the infectivity of index cases, defined as the first cows per breakdown that tested positive within first test period. Secondary cases were defined as those that tested positive in the subsequent testing period. Only breakdowns with a single index case (6,668 index cases) and pedigree data extracted for these cows spanning seven generations (2,931 sires) were considered, and infectivity was defined as the number of secondary cases per index case.</w:t>
      </w:r>
    </w:p>
    <w:p w14:paraId="14603E86" w14:textId="14F3575F" w:rsidR="00B1722A" w:rsidRDefault="001D13A2" w:rsidP="00B1722A">
      <w:pPr>
        <w:jc w:val="both"/>
        <w:rPr>
          <w:sz w:val="24"/>
          <w:szCs w:val="24"/>
        </w:rPr>
      </w:pPr>
      <w:r w:rsidRPr="00A3714E">
        <w:rPr>
          <w:sz w:val="24"/>
          <w:szCs w:val="24"/>
        </w:rPr>
        <w:t>Generalized linear mixed models</w:t>
      </w:r>
      <w:r w:rsidR="0093678C">
        <w:rPr>
          <w:sz w:val="24"/>
          <w:szCs w:val="24"/>
        </w:rPr>
        <w:t xml:space="preserve"> (implemented in </w:t>
      </w:r>
      <w:r>
        <w:rPr>
          <w:sz w:val="24"/>
          <w:szCs w:val="24"/>
        </w:rPr>
        <w:t xml:space="preserve">MCMCglmm </w:t>
      </w:r>
      <w:r w:rsidR="0093678C">
        <w:rPr>
          <w:sz w:val="24"/>
          <w:szCs w:val="24"/>
        </w:rPr>
        <w:t>R-</w:t>
      </w:r>
      <w:r>
        <w:rPr>
          <w:sz w:val="24"/>
          <w:szCs w:val="24"/>
        </w:rPr>
        <w:t xml:space="preserve">package </w:t>
      </w:r>
      <w:r>
        <w:rPr>
          <w:sz w:val="24"/>
          <w:szCs w:val="24"/>
        </w:rPr>
        <w:fldChar w:fldCharType="begin"/>
      </w:r>
      <w:r>
        <w:rPr>
          <w:sz w:val="24"/>
          <w:szCs w:val="24"/>
        </w:rPr>
        <w:instrText xml:space="preserve"> ADDIN EN.CITE &lt;EndNote&gt;&lt;Cite&gt;&lt;Author&gt;Hadfield&lt;/Author&gt;&lt;Year&gt;2014&lt;/Year&gt;&lt;RecNum&gt;34&lt;/RecNum&gt;&lt;DisplayText&gt;(Hadfield, 2014)&lt;/DisplayText&gt;&lt;record&gt;&lt;rec-number&gt;34&lt;/rec-number&gt;&lt;foreign-keys&gt;&lt;key app="EN" db-id="ptxv22w26szr9oet5dspedv85xefza5zte5s" timestamp="1690884713"&gt;34&lt;/key&gt;&lt;/foreign-keys&gt;&lt;ref-type name="Journal Article"&gt;17&lt;/ref-type&gt;&lt;contributors&gt;&lt;authors&gt;&lt;author&gt;Hadfield, Jarrod&lt;/author&gt;&lt;/authors&gt;&lt;/contributors&gt;&lt;titles&gt;&lt;title&gt;MCMCglmm course notes&lt;/title&gt;&lt;secondary-title&gt;available at: cran. r-project. org/web/packages/MCMCglmm/vignettes/CourseNotes. pdf&lt;/secondary-title&gt;&lt;/titles&gt;&lt;periodical&gt;&lt;full-title&gt;available at: cran. r-project. org/web/packages/MCMCglmm/vignettes/CourseNotes. pdf&lt;/full-title&gt;&lt;/periodical&gt;&lt;dates&gt;&lt;year&gt;2014&lt;/year&gt;&lt;/dates&gt;&lt;urls&gt;&lt;/urls&gt;&lt;/record&gt;&lt;/Cite&gt;&lt;/EndNote&gt;</w:instrText>
      </w:r>
      <w:r>
        <w:rPr>
          <w:sz w:val="24"/>
          <w:szCs w:val="24"/>
        </w:rPr>
        <w:fldChar w:fldCharType="separate"/>
      </w:r>
      <w:r>
        <w:rPr>
          <w:noProof/>
          <w:sz w:val="24"/>
          <w:szCs w:val="24"/>
        </w:rPr>
        <w:t>(Hadfield, 2014)</w:t>
      </w:r>
      <w:r>
        <w:rPr>
          <w:sz w:val="24"/>
          <w:szCs w:val="24"/>
        </w:rPr>
        <w:fldChar w:fldCharType="end"/>
      </w:r>
      <w:r>
        <w:rPr>
          <w:sz w:val="24"/>
          <w:szCs w:val="24"/>
        </w:rPr>
        <w:t>) that could</w:t>
      </w:r>
      <w:r w:rsidRPr="00A3714E">
        <w:rPr>
          <w:sz w:val="24"/>
          <w:szCs w:val="24"/>
        </w:rPr>
        <w:t xml:space="preserve"> handle both zero inflation and overdispersion</w:t>
      </w:r>
      <w:r>
        <w:rPr>
          <w:sz w:val="24"/>
          <w:szCs w:val="24"/>
        </w:rPr>
        <w:t>,</w:t>
      </w:r>
      <w:r w:rsidRPr="00A3714E">
        <w:rPr>
          <w:sz w:val="24"/>
          <w:szCs w:val="24"/>
        </w:rPr>
        <w:t xml:space="preserve"> </w:t>
      </w:r>
      <w:r>
        <w:rPr>
          <w:sz w:val="24"/>
          <w:szCs w:val="24"/>
        </w:rPr>
        <w:t>specifically</w:t>
      </w:r>
      <w:r w:rsidRPr="00A3714E">
        <w:rPr>
          <w:sz w:val="24"/>
          <w:szCs w:val="24"/>
        </w:rPr>
        <w:t xml:space="preserve"> the zero inflated poisson (ZIP), hurdle and geometric (GEO) model</w:t>
      </w:r>
      <w:r>
        <w:rPr>
          <w:sz w:val="24"/>
          <w:szCs w:val="24"/>
        </w:rPr>
        <w:t>,</w:t>
      </w:r>
      <w:r w:rsidRPr="00A3714E">
        <w:rPr>
          <w:sz w:val="24"/>
          <w:szCs w:val="24"/>
        </w:rPr>
        <w:t xml:space="preserve">  were used to </w:t>
      </w:r>
      <w:r>
        <w:rPr>
          <w:sz w:val="24"/>
          <w:szCs w:val="24"/>
        </w:rPr>
        <w:t>estimate genetic parameters for the above infectivity phenotype.</w:t>
      </w:r>
      <w:r w:rsidRPr="00A3714E">
        <w:rPr>
          <w:sz w:val="24"/>
          <w:szCs w:val="24"/>
        </w:rPr>
        <w:t xml:space="preserve"> </w:t>
      </w:r>
      <w:r>
        <w:rPr>
          <w:sz w:val="24"/>
          <w:szCs w:val="24"/>
        </w:rPr>
        <w:t>All models i</w:t>
      </w:r>
      <w:r w:rsidRPr="00C70DF1">
        <w:rPr>
          <w:sz w:val="24"/>
          <w:szCs w:val="24"/>
        </w:rPr>
        <w:t xml:space="preserve">ncluded </w:t>
      </w:r>
      <w:r>
        <w:rPr>
          <w:sz w:val="24"/>
          <w:szCs w:val="24"/>
        </w:rPr>
        <w:t xml:space="preserve">as </w:t>
      </w:r>
      <w:r w:rsidRPr="00C70DF1">
        <w:rPr>
          <w:sz w:val="24"/>
          <w:szCs w:val="24"/>
        </w:rPr>
        <w:t xml:space="preserve">fixed effects breakdown year, </w:t>
      </w:r>
      <w:r w:rsidRPr="006938BF">
        <w:rPr>
          <w:sz w:val="24"/>
          <w:szCs w:val="24"/>
        </w:rPr>
        <w:t>season</w:t>
      </w:r>
      <w:r w:rsidR="00B221F6" w:rsidRPr="006938BF">
        <w:rPr>
          <w:sz w:val="24"/>
          <w:szCs w:val="24"/>
        </w:rPr>
        <w:t xml:space="preserve"> (</w:t>
      </w:r>
      <w:r w:rsidR="00C70501" w:rsidRPr="006938BF">
        <w:rPr>
          <w:sz w:val="24"/>
          <w:szCs w:val="24"/>
        </w:rPr>
        <w:t>all four seasons</w:t>
      </w:r>
      <w:r w:rsidR="00B221F6" w:rsidRPr="006938BF">
        <w:rPr>
          <w:sz w:val="24"/>
          <w:szCs w:val="24"/>
        </w:rPr>
        <w:t>)</w:t>
      </w:r>
      <w:r w:rsidRPr="006938BF">
        <w:rPr>
          <w:sz w:val="24"/>
          <w:szCs w:val="24"/>
        </w:rPr>
        <w:t>, county, herd size, age of the index case, and the average estimated genetic b</w:t>
      </w:r>
      <w:r w:rsidRPr="00C70DF1">
        <w:rPr>
          <w:sz w:val="24"/>
          <w:szCs w:val="24"/>
        </w:rPr>
        <w:t>TB resistance of all herd members</w:t>
      </w:r>
      <w:r>
        <w:rPr>
          <w:sz w:val="24"/>
          <w:szCs w:val="24"/>
        </w:rPr>
        <w:t xml:space="preserve">, and sire of the index case as random effect. </w:t>
      </w:r>
      <w:r w:rsidRPr="00A3714E">
        <w:rPr>
          <w:sz w:val="24"/>
          <w:szCs w:val="24"/>
        </w:rPr>
        <w:t xml:space="preserve"> </w:t>
      </w:r>
    </w:p>
    <w:p w14:paraId="4B4B5114" w14:textId="77777777" w:rsidR="0009581A" w:rsidRPr="00B1722A" w:rsidRDefault="0009581A" w:rsidP="00B1722A">
      <w:pPr>
        <w:pStyle w:val="Heading1"/>
        <w:rPr>
          <w:sz w:val="24"/>
        </w:rPr>
      </w:pPr>
      <w:r w:rsidRPr="00B1722A">
        <w:rPr>
          <w:sz w:val="24"/>
        </w:rPr>
        <w:t>Results</w:t>
      </w:r>
    </w:p>
    <w:p w14:paraId="713A9403" w14:textId="28D2EE8E" w:rsidR="0009581A" w:rsidRPr="005F7C4A" w:rsidRDefault="0009581A" w:rsidP="005F7C4A">
      <w:pPr>
        <w:jc w:val="both"/>
        <w:rPr>
          <w:sz w:val="24"/>
          <w:szCs w:val="24"/>
        </w:rPr>
      </w:pPr>
      <w:r w:rsidRPr="00A3714E">
        <w:rPr>
          <w:sz w:val="24"/>
          <w:szCs w:val="24"/>
        </w:rPr>
        <w:t>The distribution of the number of secondary cases showed that majority of the breakdowns (~73%) have zero secondary cases, and large over-dispersion, justifying the choice of the models considered in this study. Table 1 presents posterior means of variance components for each model. The ZIP and Hurdle models yielded simil</w:t>
      </w:r>
      <w:r w:rsidR="00F858E2" w:rsidRPr="00A3714E">
        <w:rPr>
          <w:sz w:val="24"/>
          <w:szCs w:val="24"/>
        </w:rPr>
        <w:t>ar estimates of sire variance (P</w:t>
      </w:r>
      <w:r w:rsidRPr="00A3714E">
        <w:rPr>
          <w:sz w:val="24"/>
          <w:szCs w:val="24"/>
        </w:rPr>
        <w:t xml:space="preserve">oisson </w:t>
      </w:r>
      <w:r w:rsidRPr="00A3714E">
        <w:rPr>
          <w:sz w:val="24"/>
          <w:szCs w:val="24"/>
        </w:rPr>
        <w:lastRenderedPageBreak/>
        <w:t>part of the models), and the 95</w:t>
      </w:r>
      <w:r w:rsidRPr="00792CF6">
        <w:rPr>
          <w:sz w:val="24"/>
          <w:szCs w:val="24"/>
        </w:rPr>
        <w:t xml:space="preserve">% </w:t>
      </w:r>
      <w:r w:rsidR="00A92300" w:rsidRPr="00792CF6">
        <w:rPr>
          <w:sz w:val="24"/>
          <w:szCs w:val="24"/>
        </w:rPr>
        <w:t>highest posterior density (</w:t>
      </w:r>
      <w:r w:rsidRPr="00792CF6">
        <w:rPr>
          <w:sz w:val="24"/>
          <w:szCs w:val="24"/>
        </w:rPr>
        <w:t>HPD</w:t>
      </w:r>
      <w:r w:rsidR="00A92300" w:rsidRPr="00792CF6">
        <w:rPr>
          <w:sz w:val="24"/>
          <w:szCs w:val="24"/>
        </w:rPr>
        <w:t>)</w:t>
      </w:r>
      <w:r w:rsidRPr="00792CF6">
        <w:rPr>
          <w:sz w:val="24"/>
          <w:szCs w:val="24"/>
        </w:rPr>
        <w:t xml:space="preserve"> intervals for both models do not encompass zero, indicating that index cases vary genetically in their infectivity. In contrast, the geometric model estimated a slightly higher sire variance although the range of the interval was wider, and with the lower bound closer to zero. </w:t>
      </w:r>
      <w:r w:rsidR="0084337F" w:rsidRPr="00792CF6">
        <w:rPr>
          <w:sz w:val="24"/>
          <w:szCs w:val="24"/>
        </w:rPr>
        <w:t xml:space="preserve">Our results also suggest that </w:t>
      </w:r>
      <w:r w:rsidR="00024CDA" w:rsidRPr="00792CF6">
        <w:rPr>
          <w:sz w:val="24"/>
          <w:szCs w:val="24"/>
        </w:rPr>
        <w:t>average resistance EBV</w:t>
      </w:r>
      <w:r w:rsidR="0024403C" w:rsidRPr="00792CF6">
        <w:rPr>
          <w:sz w:val="24"/>
          <w:szCs w:val="24"/>
        </w:rPr>
        <w:t xml:space="preserve"> does not have direct effect on infectivity </w:t>
      </w:r>
      <w:r w:rsidR="005F7C4A" w:rsidRPr="00792CF6">
        <w:rPr>
          <w:sz w:val="24"/>
          <w:szCs w:val="24"/>
        </w:rPr>
        <w:t xml:space="preserve">phenotype, </w:t>
      </w:r>
      <w:r w:rsidR="004041AA" w:rsidRPr="00792CF6">
        <w:rPr>
          <w:sz w:val="24"/>
          <w:szCs w:val="24"/>
        </w:rPr>
        <w:t>indicating</w:t>
      </w:r>
      <w:r w:rsidR="005F7C4A" w:rsidRPr="00792CF6">
        <w:rPr>
          <w:sz w:val="24"/>
          <w:szCs w:val="24"/>
        </w:rPr>
        <w:t xml:space="preserve"> that </w:t>
      </w:r>
      <w:r w:rsidR="00611A5A" w:rsidRPr="00792CF6">
        <w:rPr>
          <w:sz w:val="24"/>
          <w:szCs w:val="24"/>
        </w:rPr>
        <w:t xml:space="preserve">cattle may be </w:t>
      </w:r>
      <w:r w:rsidR="00AE5F4C" w:rsidRPr="00792CF6">
        <w:rPr>
          <w:sz w:val="24"/>
          <w:szCs w:val="24"/>
        </w:rPr>
        <w:t>select</w:t>
      </w:r>
      <w:r w:rsidR="00611A5A" w:rsidRPr="00792CF6">
        <w:rPr>
          <w:sz w:val="24"/>
          <w:szCs w:val="24"/>
        </w:rPr>
        <w:t>ed</w:t>
      </w:r>
      <w:r w:rsidR="00AE5F4C" w:rsidRPr="00792CF6">
        <w:rPr>
          <w:sz w:val="24"/>
          <w:szCs w:val="24"/>
        </w:rPr>
        <w:t xml:space="preserve"> for lower infectivit</w:t>
      </w:r>
      <w:r w:rsidR="00611A5A" w:rsidRPr="00792CF6">
        <w:rPr>
          <w:sz w:val="24"/>
          <w:szCs w:val="24"/>
        </w:rPr>
        <w:t>y without</w:t>
      </w:r>
      <w:r w:rsidR="008169C3" w:rsidRPr="00792CF6">
        <w:rPr>
          <w:sz w:val="24"/>
          <w:szCs w:val="24"/>
        </w:rPr>
        <w:t xml:space="preserve"> impacting selection for resistance</w:t>
      </w:r>
      <w:r w:rsidR="004041AA" w:rsidRPr="00792CF6">
        <w:rPr>
          <w:sz w:val="24"/>
          <w:szCs w:val="24"/>
        </w:rPr>
        <w:t>.</w:t>
      </w:r>
    </w:p>
    <w:p w14:paraId="6F4D3A49" w14:textId="77777777" w:rsidR="00DD1011" w:rsidRPr="00DD1011" w:rsidRDefault="00DD1011" w:rsidP="00DD1011">
      <w:pPr>
        <w:pStyle w:val="Caption"/>
        <w:keepNext/>
        <w:rPr>
          <w:sz w:val="24"/>
        </w:rPr>
      </w:pPr>
      <w:r w:rsidRPr="00DD1011">
        <w:rPr>
          <w:sz w:val="24"/>
        </w:rPr>
        <w:t xml:space="preserve">Table </w:t>
      </w:r>
      <w:r w:rsidRPr="00DD1011">
        <w:rPr>
          <w:sz w:val="24"/>
        </w:rPr>
        <w:fldChar w:fldCharType="begin"/>
      </w:r>
      <w:r w:rsidRPr="00DD1011">
        <w:rPr>
          <w:sz w:val="24"/>
        </w:rPr>
        <w:instrText xml:space="preserve"> SEQ Table \* ARABIC </w:instrText>
      </w:r>
      <w:r w:rsidRPr="00DD1011">
        <w:rPr>
          <w:sz w:val="24"/>
        </w:rPr>
        <w:fldChar w:fldCharType="separate"/>
      </w:r>
      <w:r w:rsidRPr="00DD1011">
        <w:rPr>
          <w:noProof/>
          <w:sz w:val="24"/>
        </w:rPr>
        <w:t>1</w:t>
      </w:r>
      <w:r w:rsidRPr="00DD1011">
        <w:rPr>
          <w:sz w:val="24"/>
        </w:rPr>
        <w:fldChar w:fldCharType="end"/>
      </w:r>
      <w:r w:rsidRPr="00DD1011">
        <w:rPr>
          <w:sz w:val="24"/>
        </w:rPr>
        <w:t>:  Posterior means of variance components and the 95% highest posterior density intervals (HPD95%)</w:t>
      </w:r>
    </w:p>
    <w:tbl>
      <w:tblPr>
        <w:tblStyle w:val="TableGrid"/>
        <w:tblpPr w:leftFromText="180" w:rightFromText="180" w:vertAnchor="page" w:horzAnchor="margin" w:tblpY="4306"/>
        <w:tblW w:w="8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1052"/>
        <w:gridCol w:w="2080"/>
        <w:gridCol w:w="996"/>
        <w:gridCol w:w="2013"/>
        <w:gridCol w:w="1553"/>
      </w:tblGrid>
      <w:tr w:rsidR="006C73DA" w:rsidRPr="00A3714E" w14:paraId="22C05EFC" w14:textId="77777777" w:rsidTr="006C73DA">
        <w:trPr>
          <w:trHeight w:val="376"/>
        </w:trPr>
        <w:tc>
          <w:tcPr>
            <w:tcW w:w="8835" w:type="dxa"/>
            <w:gridSpan w:val="6"/>
            <w:tcBorders>
              <w:top w:val="single" w:sz="4" w:space="0" w:color="auto"/>
            </w:tcBorders>
            <w:tcMar>
              <w:left w:w="57" w:type="dxa"/>
              <w:right w:w="57" w:type="dxa"/>
            </w:tcMar>
          </w:tcPr>
          <w:p w14:paraId="1B478B86" w14:textId="77777777" w:rsidR="006C73DA" w:rsidRPr="00A3714E" w:rsidRDefault="006C73DA" w:rsidP="006C73DA">
            <w:pPr>
              <w:rPr>
                <w:sz w:val="24"/>
                <w:szCs w:val="24"/>
              </w:rPr>
            </w:pPr>
            <w:r w:rsidRPr="00A3714E">
              <w:rPr>
                <w:sz w:val="24"/>
                <w:szCs w:val="24"/>
              </w:rPr>
              <w:t>Model</w:t>
            </w:r>
          </w:p>
        </w:tc>
      </w:tr>
      <w:tr w:rsidR="006C73DA" w:rsidRPr="00A3714E" w14:paraId="31DC1107" w14:textId="77777777" w:rsidTr="006C73DA">
        <w:trPr>
          <w:trHeight w:val="376"/>
        </w:trPr>
        <w:tc>
          <w:tcPr>
            <w:tcW w:w="1141" w:type="dxa"/>
            <w:tcMar>
              <w:left w:w="57" w:type="dxa"/>
              <w:right w:w="57" w:type="dxa"/>
            </w:tcMar>
          </w:tcPr>
          <w:p w14:paraId="4908B214" w14:textId="77777777" w:rsidR="006C73DA" w:rsidRPr="00A3714E" w:rsidRDefault="006C73DA" w:rsidP="006C73DA">
            <w:pPr>
              <w:rPr>
                <w:sz w:val="24"/>
                <w:szCs w:val="24"/>
              </w:rPr>
            </w:pPr>
          </w:p>
        </w:tc>
        <w:tc>
          <w:tcPr>
            <w:tcW w:w="3132" w:type="dxa"/>
            <w:gridSpan w:val="2"/>
            <w:tcBorders>
              <w:top w:val="single" w:sz="4" w:space="0" w:color="auto"/>
            </w:tcBorders>
            <w:tcMar>
              <w:left w:w="57" w:type="dxa"/>
              <w:right w:w="57" w:type="dxa"/>
            </w:tcMar>
          </w:tcPr>
          <w:p w14:paraId="6DA47C82" w14:textId="77777777" w:rsidR="006C73DA" w:rsidRPr="00A3714E" w:rsidRDefault="006C73DA" w:rsidP="006C73DA">
            <w:pPr>
              <w:rPr>
                <w:sz w:val="24"/>
                <w:szCs w:val="24"/>
              </w:rPr>
            </w:pPr>
            <w:r w:rsidRPr="00A3714E">
              <w:rPr>
                <w:sz w:val="24"/>
                <w:szCs w:val="24"/>
              </w:rPr>
              <w:t xml:space="preserve">              Hurdle</w:t>
            </w:r>
          </w:p>
        </w:tc>
        <w:tc>
          <w:tcPr>
            <w:tcW w:w="3009" w:type="dxa"/>
            <w:gridSpan w:val="2"/>
            <w:tcBorders>
              <w:top w:val="single" w:sz="4" w:space="0" w:color="auto"/>
            </w:tcBorders>
            <w:tcMar>
              <w:left w:w="57" w:type="dxa"/>
              <w:right w:w="57" w:type="dxa"/>
            </w:tcMar>
          </w:tcPr>
          <w:p w14:paraId="5A497FDC" w14:textId="77777777" w:rsidR="006C73DA" w:rsidRPr="00A3714E" w:rsidRDefault="006C73DA" w:rsidP="006C73DA">
            <w:pPr>
              <w:rPr>
                <w:sz w:val="24"/>
                <w:szCs w:val="24"/>
              </w:rPr>
            </w:pPr>
            <w:r w:rsidRPr="00A3714E">
              <w:rPr>
                <w:sz w:val="24"/>
                <w:szCs w:val="24"/>
              </w:rPr>
              <w:t xml:space="preserve">          ZIP</w:t>
            </w:r>
          </w:p>
        </w:tc>
        <w:tc>
          <w:tcPr>
            <w:tcW w:w="1553" w:type="dxa"/>
            <w:tcBorders>
              <w:top w:val="single" w:sz="4" w:space="0" w:color="auto"/>
            </w:tcBorders>
            <w:tcMar>
              <w:left w:w="57" w:type="dxa"/>
              <w:right w:w="57" w:type="dxa"/>
            </w:tcMar>
          </w:tcPr>
          <w:p w14:paraId="50BB05D8" w14:textId="77777777" w:rsidR="006C73DA" w:rsidRPr="00A3714E" w:rsidRDefault="006C73DA" w:rsidP="006C73DA">
            <w:pPr>
              <w:rPr>
                <w:sz w:val="24"/>
                <w:szCs w:val="24"/>
              </w:rPr>
            </w:pPr>
            <w:r w:rsidRPr="00A3714E">
              <w:rPr>
                <w:sz w:val="24"/>
                <w:szCs w:val="24"/>
              </w:rPr>
              <w:t>Geometric</w:t>
            </w:r>
          </w:p>
        </w:tc>
      </w:tr>
      <w:tr w:rsidR="006C73DA" w:rsidRPr="00A3714E" w14:paraId="122A0D38" w14:textId="77777777" w:rsidTr="006C73DA">
        <w:trPr>
          <w:trHeight w:val="500"/>
        </w:trPr>
        <w:tc>
          <w:tcPr>
            <w:tcW w:w="1141" w:type="dxa"/>
            <w:tcBorders>
              <w:bottom w:val="single" w:sz="4" w:space="0" w:color="auto"/>
            </w:tcBorders>
            <w:tcMar>
              <w:left w:w="57" w:type="dxa"/>
              <w:right w:w="57" w:type="dxa"/>
            </w:tcMar>
          </w:tcPr>
          <w:p w14:paraId="6286000C" w14:textId="77777777" w:rsidR="006C73DA" w:rsidRPr="00A3714E" w:rsidRDefault="006C73DA" w:rsidP="006C73DA">
            <w:pPr>
              <w:rPr>
                <w:sz w:val="24"/>
                <w:szCs w:val="24"/>
              </w:rPr>
            </w:pPr>
            <w:r w:rsidRPr="00A3714E">
              <w:rPr>
                <w:sz w:val="24"/>
                <w:szCs w:val="24"/>
              </w:rPr>
              <w:t>Variance</w:t>
            </w:r>
            <w:r>
              <w:rPr>
                <w:sz w:val="24"/>
                <w:szCs w:val="24"/>
                <w:vertAlign w:val="superscript"/>
              </w:rPr>
              <w:t>1</w:t>
            </w:r>
          </w:p>
          <w:p w14:paraId="49BCC9A4" w14:textId="77777777" w:rsidR="006C73DA" w:rsidRPr="00A3714E" w:rsidRDefault="006C73DA" w:rsidP="006C73DA">
            <w:pPr>
              <w:rPr>
                <w:sz w:val="24"/>
                <w:szCs w:val="24"/>
              </w:rPr>
            </w:pPr>
          </w:p>
        </w:tc>
        <w:tc>
          <w:tcPr>
            <w:tcW w:w="1052" w:type="dxa"/>
            <w:tcBorders>
              <w:bottom w:val="single" w:sz="4" w:space="0" w:color="auto"/>
            </w:tcBorders>
            <w:tcMar>
              <w:left w:w="57" w:type="dxa"/>
              <w:right w:w="57" w:type="dxa"/>
            </w:tcMar>
          </w:tcPr>
          <w:p w14:paraId="6A906707" w14:textId="77777777" w:rsidR="006C73DA" w:rsidRPr="00A3714E" w:rsidRDefault="006C73DA" w:rsidP="006C73DA">
            <w:pPr>
              <w:rPr>
                <w:sz w:val="24"/>
                <w:szCs w:val="24"/>
              </w:rPr>
            </w:pPr>
            <w:r w:rsidRPr="00A3714E">
              <w:rPr>
                <w:sz w:val="24"/>
                <w:szCs w:val="24"/>
              </w:rPr>
              <w:t>Binary</w:t>
            </w:r>
            <w:r>
              <w:rPr>
                <w:sz w:val="24"/>
                <w:szCs w:val="24"/>
                <w:vertAlign w:val="superscript"/>
              </w:rPr>
              <w:t>2</w:t>
            </w:r>
          </w:p>
        </w:tc>
        <w:tc>
          <w:tcPr>
            <w:tcW w:w="2080" w:type="dxa"/>
            <w:tcBorders>
              <w:bottom w:val="single" w:sz="4" w:space="0" w:color="auto"/>
            </w:tcBorders>
            <w:tcMar>
              <w:left w:w="57" w:type="dxa"/>
              <w:right w:w="57" w:type="dxa"/>
            </w:tcMar>
          </w:tcPr>
          <w:p w14:paraId="40CD5833" w14:textId="77777777" w:rsidR="006C73DA" w:rsidRPr="00A3714E" w:rsidRDefault="006C73DA" w:rsidP="006C73DA">
            <w:pPr>
              <w:rPr>
                <w:sz w:val="24"/>
                <w:szCs w:val="24"/>
              </w:rPr>
            </w:pPr>
            <w:r w:rsidRPr="00A3714E">
              <w:rPr>
                <w:sz w:val="24"/>
                <w:szCs w:val="24"/>
              </w:rPr>
              <w:t>Poisson</w:t>
            </w:r>
          </w:p>
          <w:p w14:paraId="20BD8282" w14:textId="77777777" w:rsidR="006C73DA" w:rsidRPr="00A3714E" w:rsidRDefault="006C73DA" w:rsidP="006C73DA">
            <w:pPr>
              <w:rPr>
                <w:sz w:val="24"/>
                <w:szCs w:val="24"/>
              </w:rPr>
            </w:pPr>
          </w:p>
        </w:tc>
        <w:tc>
          <w:tcPr>
            <w:tcW w:w="996" w:type="dxa"/>
            <w:tcBorders>
              <w:bottom w:val="single" w:sz="4" w:space="0" w:color="auto"/>
            </w:tcBorders>
            <w:tcMar>
              <w:left w:w="57" w:type="dxa"/>
              <w:right w:w="57" w:type="dxa"/>
            </w:tcMar>
          </w:tcPr>
          <w:p w14:paraId="214470DF" w14:textId="77777777" w:rsidR="006C73DA" w:rsidRPr="00A3714E" w:rsidRDefault="006C73DA" w:rsidP="006C73DA">
            <w:pPr>
              <w:rPr>
                <w:sz w:val="24"/>
                <w:szCs w:val="24"/>
              </w:rPr>
            </w:pPr>
            <w:r w:rsidRPr="00A3714E">
              <w:rPr>
                <w:sz w:val="24"/>
                <w:szCs w:val="24"/>
              </w:rPr>
              <w:t>Binary</w:t>
            </w:r>
            <w:r>
              <w:rPr>
                <w:sz w:val="24"/>
                <w:szCs w:val="24"/>
                <w:vertAlign w:val="superscript"/>
              </w:rPr>
              <w:t>2</w:t>
            </w:r>
          </w:p>
        </w:tc>
        <w:tc>
          <w:tcPr>
            <w:tcW w:w="2013" w:type="dxa"/>
            <w:tcBorders>
              <w:bottom w:val="single" w:sz="4" w:space="0" w:color="auto"/>
            </w:tcBorders>
            <w:tcMar>
              <w:left w:w="57" w:type="dxa"/>
              <w:right w:w="57" w:type="dxa"/>
            </w:tcMar>
          </w:tcPr>
          <w:p w14:paraId="59AAE4F7" w14:textId="77777777" w:rsidR="006C73DA" w:rsidRPr="00A3714E" w:rsidRDefault="006C73DA" w:rsidP="006C73DA">
            <w:pPr>
              <w:rPr>
                <w:sz w:val="24"/>
                <w:szCs w:val="24"/>
              </w:rPr>
            </w:pPr>
            <w:r w:rsidRPr="00A3714E">
              <w:rPr>
                <w:sz w:val="24"/>
                <w:szCs w:val="24"/>
              </w:rPr>
              <w:t>Poisson</w:t>
            </w:r>
          </w:p>
        </w:tc>
        <w:tc>
          <w:tcPr>
            <w:tcW w:w="1553" w:type="dxa"/>
            <w:tcBorders>
              <w:bottom w:val="single" w:sz="4" w:space="0" w:color="auto"/>
            </w:tcBorders>
            <w:tcMar>
              <w:left w:w="57" w:type="dxa"/>
              <w:right w:w="57" w:type="dxa"/>
            </w:tcMar>
          </w:tcPr>
          <w:p w14:paraId="0C1EBC4A" w14:textId="77777777" w:rsidR="006C73DA" w:rsidRPr="00A3714E" w:rsidRDefault="006C73DA" w:rsidP="006C73DA">
            <w:pPr>
              <w:rPr>
                <w:sz w:val="24"/>
                <w:szCs w:val="24"/>
              </w:rPr>
            </w:pPr>
          </w:p>
        </w:tc>
      </w:tr>
      <w:tr w:rsidR="006C73DA" w:rsidRPr="00A3714E" w14:paraId="1A2661B5" w14:textId="77777777" w:rsidTr="006C73DA">
        <w:trPr>
          <w:trHeight w:val="500"/>
        </w:trPr>
        <w:tc>
          <w:tcPr>
            <w:tcW w:w="1141" w:type="dxa"/>
            <w:tcMar>
              <w:left w:w="57" w:type="dxa"/>
              <w:right w:w="57" w:type="dxa"/>
            </w:tcMar>
          </w:tcPr>
          <w:p w14:paraId="7249E8DE" w14:textId="77777777" w:rsidR="006C73DA" w:rsidRPr="00A3714E" w:rsidRDefault="00590533" w:rsidP="006C73DA">
            <w:pPr>
              <w:rPr>
                <w:sz w:val="24"/>
                <w:szCs w:val="24"/>
              </w:rPr>
            </w:pPr>
            <m:oMathPara>
              <m:oMath>
                <m:sSubSup>
                  <m:sSubSupPr>
                    <m:ctrlPr>
                      <w:rPr>
                        <w:rFonts w:ascii="Cambria Math" w:hAnsi="Cambria Math"/>
                        <w:b/>
                        <w:bCs/>
                        <w:i/>
                        <w:iCs/>
                        <w:sz w:val="24"/>
                        <w:szCs w:val="24"/>
                      </w:rPr>
                    </m:ctrlPr>
                  </m:sSubSupPr>
                  <m:e>
                    <m:r>
                      <m:rPr>
                        <m:sty m:val="bi"/>
                      </m:rPr>
                      <w:rPr>
                        <w:rFonts w:ascii="Cambria Math" w:hAnsi="Cambria Math"/>
                        <w:sz w:val="24"/>
                        <w:szCs w:val="24"/>
                      </w:rPr>
                      <m:t>σ</m:t>
                    </m:r>
                  </m:e>
                  <m:sub>
                    <m:r>
                      <m:rPr>
                        <m:sty m:val="bi"/>
                      </m:rPr>
                      <w:rPr>
                        <w:rFonts w:ascii="Cambria Math" w:hAnsi="Cambria Math"/>
                        <w:sz w:val="24"/>
                        <w:szCs w:val="24"/>
                      </w:rPr>
                      <m:t>s</m:t>
                    </m:r>
                  </m:sub>
                  <m:sup>
                    <m:r>
                      <m:rPr>
                        <m:sty m:val="b"/>
                      </m:rPr>
                      <w:rPr>
                        <w:rFonts w:ascii="Cambria Math" w:hAnsi="Cambria Math"/>
                        <w:sz w:val="24"/>
                        <w:szCs w:val="24"/>
                      </w:rPr>
                      <m:t>2</m:t>
                    </m:r>
                  </m:sup>
                </m:sSubSup>
              </m:oMath>
            </m:oMathPara>
          </w:p>
        </w:tc>
        <w:tc>
          <w:tcPr>
            <w:tcW w:w="1052" w:type="dxa"/>
            <w:tcMar>
              <w:left w:w="57" w:type="dxa"/>
              <w:right w:w="57" w:type="dxa"/>
            </w:tcMar>
          </w:tcPr>
          <w:p w14:paraId="18779073" w14:textId="77777777" w:rsidR="006C73DA" w:rsidRPr="00A3714E" w:rsidRDefault="006C73DA" w:rsidP="006C73DA">
            <w:pPr>
              <w:rPr>
                <w:sz w:val="24"/>
                <w:szCs w:val="24"/>
              </w:rPr>
            </w:pPr>
            <w:r w:rsidRPr="00A3714E">
              <w:rPr>
                <w:sz w:val="24"/>
                <w:szCs w:val="24"/>
              </w:rPr>
              <w:t>&lt;10</w:t>
            </w:r>
            <w:r w:rsidRPr="00A3714E">
              <w:rPr>
                <w:sz w:val="24"/>
                <w:szCs w:val="24"/>
                <w:vertAlign w:val="superscript"/>
              </w:rPr>
              <w:t>-5</w:t>
            </w:r>
          </w:p>
        </w:tc>
        <w:tc>
          <w:tcPr>
            <w:tcW w:w="2080" w:type="dxa"/>
            <w:tcMar>
              <w:left w:w="57" w:type="dxa"/>
              <w:right w:w="57" w:type="dxa"/>
            </w:tcMar>
          </w:tcPr>
          <w:p w14:paraId="3DED52BC" w14:textId="77777777" w:rsidR="006C73DA" w:rsidRPr="00A3714E" w:rsidRDefault="006C73DA" w:rsidP="006C73DA">
            <w:pPr>
              <w:rPr>
                <w:sz w:val="24"/>
                <w:szCs w:val="24"/>
              </w:rPr>
            </w:pPr>
            <w:r w:rsidRPr="00A3714E">
              <w:rPr>
                <w:sz w:val="24"/>
                <w:szCs w:val="24"/>
              </w:rPr>
              <w:t>0.0242</w:t>
            </w:r>
          </w:p>
          <w:p w14:paraId="548BD0A9" w14:textId="77777777" w:rsidR="006C73DA" w:rsidRPr="00A3714E" w:rsidRDefault="006C73DA" w:rsidP="006C73DA">
            <w:pPr>
              <w:rPr>
                <w:sz w:val="24"/>
                <w:szCs w:val="24"/>
              </w:rPr>
            </w:pPr>
            <w:r w:rsidRPr="00A3714E">
              <w:rPr>
                <w:sz w:val="24"/>
                <w:szCs w:val="24"/>
              </w:rPr>
              <w:t>(0.0002, 0.0886)</w:t>
            </w:r>
          </w:p>
        </w:tc>
        <w:tc>
          <w:tcPr>
            <w:tcW w:w="996" w:type="dxa"/>
            <w:tcMar>
              <w:left w:w="57" w:type="dxa"/>
              <w:right w:w="57" w:type="dxa"/>
            </w:tcMar>
          </w:tcPr>
          <w:p w14:paraId="12D0BF7C" w14:textId="77777777" w:rsidR="006C73DA" w:rsidRPr="00A3714E" w:rsidRDefault="006C73DA" w:rsidP="006C73DA">
            <w:pPr>
              <w:rPr>
                <w:sz w:val="24"/>
                <w:szCs w:val="24"/>
              </w:rPr>
            </w:pPr>
            <w:r w:rsidRPr="00A3714E">
              <w:rPr>
                <w:sz w:val="24"/>
                <w:szCs w:val="24"/>
              </w:rPr>
              <w:t>&lt;10</w:t>
            </w:r>
            <w:r w:rsidRPr="00A3714E">
              <w:rPr>
                <w:sz w:val="24"/>
                <w:szCs w:val="24"/>
                <w:vertAlign w:val="superscript"/>
              </w:rPr>
              <w:t>-5</w:t>
            </w:r>
          </w:p>
        </w:tc>
        <w:tc>
          <w:tcPr>
            <w:tcW w:w="2013" w:type="dxa"/>
            <w:tcMar>
              <w:left w:w="57" w:type="dxa"/>
              <w:right w:w="57" w:type="dxa"/>
            </w:tcMar>
          </w:tcPr>
          <w:p w14:paraId="6D4EB496" w14:textId="77777777" w:rsidR="006C73DA" w:rsidRDefault="006C73DA" w:rsidP="006C73DA">
            <w:pPr>
              <w:rPr>
                <w:sz w:val="24"/>
                <w:szCs w:val="24"/>
              </w:rPr>
            </w:pPr>
            <w:r w:rsidRPr="00A3714E">
              <w:rPr>
                <w:sz w:val="24"/>
                <w:szCs w:val="24"/>
              </w:rPr>
              <w:t>0.0148</w:t>
            </w:r>
          </w:p>
          <w:p w14:paraId="7F72D5B3" w14:textId="77777777" w:rsidR="006C73DA" w:rsidRPr="00A3714E" w:rsidRDefault="006C73DA" w:rsidP="006C73DA">
            <w:pPr>
              <w:rPr>
                <w:sz w:val="24"/>
                <w:szCs w:val="24"/>
              </w:rPr>
            </w:pPr>
            <w:r w:rsidRPr="00A3714E">
              <w:rPr>
                <w:sz w:val="24"/>
                <w:szCs w:val="24"/>
              </w:rPr>
              <w:t>(0.0002, 0.0591)</w:t>
            </w:r>
          </w:p>
        </w:tc>
        <w:tc>
          <w:tcPr>
            <w:tcW w:w="1553" w:type="dxa"/>
            <w:tcMar>
              <w:left w:w="57" w:type="dxa"/>
              <w:right w:w="57" w:type="dxa"/>
            </w:tcMar>
          </w:tcPr>
          <w:p w14:paraId="737D33ED" w14:textId="77777777" w:rsidR="006C73DA" w:rsidRPr="00A3714E" w:rsidRDefault="006C73DA" w:rsidP="006C73DA">
            <w:pPr>
              <w:rPr>
                <w:sz w:val="24"/>
                <w:szCs w:val="24"/>
              </w:rPr>
            </w:pPr>
            <w:r w:rsidRPr="00A3714E">
              <w:rPr>
                <w:sz w:val="24"/>
                <w:szCs w:val="24"/>
              </w:rPr>
              <w:t>0.0332</w:t>
            </w:r>
          </w:p>
          <w:p w14:paraId="253E0DB3" w14:textId="77777777" w:rsidR="006C73DA" w:rsidRPr="00A3714E" w:rsidRDefault="006C73DA" w:rsidP="006C73DA">
            <w:pPr>
              <w:rPr>
                <w:sz w:val="24"/>
                <w:szCs w:val="24"/>
              </w:rPr>
            </w:pPr>
            <w:r w:rsidRPr="00A3714E">
              <w:rPr>
                <w:sz w:val="24"/>
                <w:szCs w:val="24"/>
              </w:rPr>
              <w:t>(&lt;10</w:t>
            </w:r>
            <w:r w:rsidRPr="00A3714E">
              <w:rPr>
                <w:sz w:val="24"/>
                <w:szCs w:val="24"/>
                <w:vertAlign w:val="superscript"/>
              </w:rPr>
              <w:t>-5</w:t>
            </w:r>
            <w:r w:rsidRPr="00A3714E">
              <w:rPr>
                <w:sz w:val="24"/>
                <w:szCs w:val="24"/>
              </w:rPr>
              <w:t>,0.1177)</w:t>
            </w:r>
          </w:p>
          <w:p w14:paraId="58A05694" w14:textId="77777777" w:rsidR="006C73DA" w:rsidRPr="00A3714E" w:rsidRDefault="006C73DA" w:rsidP="006C73DA">
            <w:pPr>
              <w:rPr>
                <w:sz w:val="24"/>
                <w:szCs w:val="24"/>
              </w:rPr>
            </w:pPr>
          </w:p>
        </w:tc>
      </w:tr>
      <w:tr w:rsidR="006C73DA" w:rsidRPr="00A3714E" w14:paraId="77A759B6" w14:textId="77777777" w:rsidTr="006C73DA">
        <w:trPr>
          <w:trHeight w:val="500"/>
        </w:trPr>
        <w:tc>
          <w:tcPr>
            <w:tcW w:w="1141" w:type="dxa"/>
            <w:tcBorders>
              <w:bottom w:val="single" w:sz="4" w:space="0" w:color="auto"/>
            </w:tcBorders>
            <w:tcMar>
              <w:left w:w="57" w:type="dxa"/>
              <w:right w:w="57" w:type="dxa"/>
            </w:tcMar>
          </w:tcPr>
          <w:p w14:paraId="4D7F0C7C" w14:textId="77777777" w:rsidR="006C73DA" w:rsidRPr="00A3714E" w:rsidRDefault="00590533" w:rsidP="006C73DA">
            <w:pPr>
              <w:rPr>
                <w:sz w:val="24"/>
                <w:szCs w:val="24"/>
              </w:rPr>
            </w:pPr>
            <m:oMathPara>
              <m:oMath>
                <m:sSubSup>
                  <m:sSubSupPr>
                    <m:ctrlPr>
                      <w:rPr>
                        <w:rFonts w:ascii="Cambria Math" w:hAnsi="Cambria Math"/>
                        <w:b/>
                        <w:bCs/>
                        <w:i/>
                        <w:iCs/>
                        <w:sz w:val="24"/>
                        <w:szCs w:val="24"/>
                      </w:rPr>
                    </m:ctrlPr>
                  </m:sSubSupPr>
                  <m:e>
                    <m:r>
                      <m:rPr>
                        <m:sty m:val="bi"/>
                      </m:rPr>
                      <w:rPr>
                        <w:rFonts w:ascii="Cambria Math" w:hAnsi="Cambria Math"/>
                        <w:sz w:val="24"/>
                        <w:szCs w:val="24"/>
                      </w:rPr>
                      <m:t>σ</m:t>
                    </m:r>
                  </m:e>
                  <m:sub>
                    <m:r>
                      <m:rPr>
                        <m:sty m:val="bi"/>
                      </m:rPr>
                      <w:rPr>
                        <w:rFonts w:ascii="Cambria Math" w:hAnsi="Cambria Math"/>
                        <w:sz w:val="24"/>
                        <w:szCs w:val="24"/>
                      </w:rPr>
                      <m:t>e</m:t>
                    </m:r>
                  </m:sub>
                  <m:sup>
                    <m:r>
                      <m:rPr>
                        <m:sty m:val="b"/>
                      </m:rPr>
                      <w:rPr>
                        <w:rFonts w:ascii="Cambria Math" w:hAnsi="Cambria Math"/>
                        <w:sz w:val="24"/>
                        <w:szCs w:val="24"/>
                      </w:rPr>
                      <m:t>2</m:t>
                    </m:r>
                  </m:sup>
                </m:sSubSup>
              </m:oMath>
            </m:oMathPara>
          </w:p>
        </w:tc>
        <w:tc>
          <w:tcPr>
            <w:tcW w:w="1052" w:type="dxa"/>
            <w:tcBorders>
              <w:bottom w:val="single" w:sz="4" w:space="0" w:color="auto"/>
            </w:tcBorders>
            <w:tcMar>
              <w:left w:w="57" w:type="dxa"/>
              <w:right w:w="57" w:type="dxa"/>
            </w:tcMar>
          </w:tcPr>
          <w:p w14:paraId="1E0EBF93" w14:textId="77777777" w:rsidR="006C73DA" w:rsidRPr="00A3714E" w:rsidRDefault="006C73DA" w:rsidP="006C73DA">
            <w:pPr>
              <w:rPr>
                <w:sz w:val="24"/>
                <w:szCs w:val="24"/>
              </w:rPr>
            </w:pPr>
            <w:r w:rsidRPr="00A3714E">
              <w:rPr>
                <w:sz w:val="24"/>
                <w:szCs w:val="24"/>
              </w:rPr>
              <w:t>1.000</w:t>
            </w:r>
          </w:p>
        </w:tc>
        <w:tc>
          <w:tcPr>
            <w:tcW w:w="2080" w:type="dxa"/>
            <w:tcBorders>
              <w:bottom w:val="single" w:sz="4" w:space="0" w:color="auto"/>
            </w:tcBorders>
            <w:tcMar>
              <w:left w:w="57" w:type="dxa"/>
              <w:right w:w="57" w:type="dxa"/>
            </w:tcMar>
          </w:tcPr>
          <w:p w14:paraId="36D82BAA" w14:textId="77777777" w:rsidR="006C73DA" w:rsidRPr="00A3714E" w:rsidRDefault="006C73DA" w:rsidP="006C73DA">
            <w:pPr>
              <w:rPr>
                <w:sz w:val="24"/>
                <w:szCs w:val="24"/>
              </w:rPr>
            </w:pPr>
            <w:r w:rsidRPr="00A3714E">
              <w:rPr>
                <w:sz w:val="24"/>
                <w:szCs w:val="24"/>
              </w:rPr>
              <w:t>1.2990</w:t>
            </w:r>
          </w:p>
          <w:p w14:paraId="1E0FFA9E" w14:textId="77777777" w:rsidR="006C73DA" w:rsidRPr="00A3714E" w:rsidRDefault="006C73DA" w:rsidP="006C73DA">
            <w:pPr>
              <w:rPr>
                <w:sz w:val="24"/>
                <w:szCs w:val="24"/>
              </w:rPr>
            </w:pPr>
            <w:r w:rsidRPr="00A3714E">
              <w:rPr>
                <w:sz w:val="24"/>
                <w:szCs w:val="24"/>
              </w:rPr>
              <w:t>( 1.131, 1.475)</w:t>
            </w:r>
          </w:p>
        </w:tc>
        <w:tc>
          <w:tcPr>
            <w:tcW w:w="996" w:type="dxa"/>
            <w:tcBorders>
              <w:bottom w:val="single" w:sz="4" w:space="0" w:color="auto"/>
            </w:tcBorders>
            <w:tcMar>
              <w:left w:w="57" w:type="dxa"/>
              <w:right w:w="57" w:type="dxa"/>
            </w:tcMar>
          </w:tcPr>
          <w:p w14:paraId="660E3B6A" w14:textId="77777777" w:rsidR="006C73DA" w:rsidRPr="00A3714E" w:rsidRDefault="006C73DA" w:rsidP="006C73DA">
            <w:pPr>
              <w:rPr>
                <w:sz w:val="24"/>
                <w:szCs w:val="24"/>
              </w:rPr>
            </w:pPr>
            <w:r w:rsidRPr="00A3714E">
              <w:rPr>
                <w:sz w:val="24"/>
                <w:szCs w:val="24"/>
              </w:rPr>
              <w:t>1.000</w:t>
            </w:r>
          </w:p>
        </w:tc>
        <w:tc>
          <w:tcPr>
            <w:tcW w:w="2013" w:type="dxa"/>
            <w:tcBorders>
              <w:bottom w:val="single" w:sz="4" w:space="0" w:color="auto"/>
            </w:tcBorders>
            <w:tcMar>
              <w:left w:w="57" w:type="dxa"/>
              <w:right w:w="57" w:type="dxa"/>
            </w:tcMar>
          </w:tcPr>
          <w:p w14:paraId="4B0A3E4E" w14:textId="77777777" w:rsidR="006C73DA" w:rsidRPr="00A3714E" w:rsidRDefault="006C73DA" w:rsidP="006C73DA">
            <w:pPr>
              <w:rPr>
                <w:sz w:val="24"/>
                <w:szCs w:val="24"/>
              </w:rPr>
            </w:pPr>
            <w:r w:rsidRPr="00A3714E">
              <w:rPr>
                <w:sz w:val="24"/>
                <w:szCs w:val="24"/>
              </w:rPr>
              <w:t>3.9570</w:t>
            </w:r>
          </w:p>
          <w:p w14:paraId="63050648" w14:textId="77777777" w:rsidR="006C73DA" w:rsidRPr="00A3714E" w:rsidRDefault="006C73DA" w:rsidP="006C73DA">
            <w:pPr>
              <w:rPr>
                <w:sz w:val="24"/>
                <w:szCs w:val="24"/>
              </w:rPr>
            </w:pPr>
            <w:r w:rsidRPr="00A3714E">
              <w:rPr>
                <w:sz w:val="24"/>
                <w:szCs w:val="24"/>
              </w:rPr>
              <w:t>( 3.556, 4.331)</w:t>
            </w:r>
          </w:p>
        </w:tc>
        <w:tc>
          <w:tcPr>
            <w:tcW w:w="1553" w:type="dxa"/>
            <w:tcBorders>
              <w:bottom w:val="single" w:sz="4" w:space="0" w:color="auto"/>
            </w:tcBorders>
            <w:tcMar>
              <w:left w:w="57" w:type="dxa"/>
              <w:right w:w="57" w:type="dxa"/>
            </w:tcMar>
          </w:tcPr>
          <w:p w14:paraId="52CEF117" w14:textId="77777777" w:rsidR="006C73DA" w:rsidRPr="00A3714E" w:rsidRDefault="006C73DA" w:rsidP="006C73DA">
            <w:pPr>
              <w:rPr>
                <w:sz w:val="24"/>
                <w:szCs w:val="24"/>
              </w:rPr>
            </w:pPr>
            <w:r w:rsidRPr="00A3714E">
              <w:rPr>
                <w:sz w:val="24"/>
                <w:szCs w:val="24"/>
              </w:rPr>
              <w:t>3.0610</w:t>
            </w:r>
          </w:p>
          <w:p w14:paraId="6803DFA3" w14:textId="77777777" w:rsidR="006C73DA" w:rsidRPr="00A3714E" w:rsidRDefault="006C73DA" w:rsidP="006C73DA">
            <w:pPr>
              <w:rPr>
                <w:sz w:val="24"/>
                <w:szCs w:val="24"/>
              </w:rPr>
            </w:pPr>
            <w:r w:rsidRPr="00A3714E">
              <w:rPr>
                <w:sz w:val="24"/>
                <w:szCs w:val="24"/>
              </w:rPr>
              <w:t>(2.695,3.393)</w:t>
            </w:r>
          </w:p>
        </w:tc>
      </w:tr>
      <w:tr w:rsidR="006C73DA" w:rsidRPr="00A3714E" w14:paraId="0F09A424" w14:textId="77777777" w:rsidTr="006C73DA">
        <w:trPr>
          <w:trHeight w:val="839"/>
        </w:trPr>
        <w:tc>
          <w:tcPr>
            <w:tcW w:w="8835" w:type="dxa"/>
            <w:gridSpan w:val="6"/>
            <w:tcBorders>
              <w:top w:val="single" w:sz="4" w:space="0" w:color="auto"/>
            </w:tcBorders>
            <w:tcMar>
              <w:left w:w="57" w:type="dxa"/>
              <w:right w:w="57" w:type="dxa"/>
            </w:tcMar>
          </w:tcPr>
          <w:p w14:paraId="6A2991BA" w14:textId="77777777" w:rsidR="006C73DA" w:rsidRPr="00A3714E" w:rsidRDefault="006C73DA" w:rsidP="006C73DA">
            <w:pPr>
              <w:rPr>
                <w:sz w:val="24"/>
                <w:szCs w:val="24"/>
              </w:rPr>
            </w:pPr>
            <w:r w:rsidRPr="00A3714E">
              <w:rPr>
                <w:sz w:val="24"/>
                <w:szCs w:val="24"/>
                <w:vertAlign w:val="superscript"/>
              </w:rPr>
              <w:t>1</w:t>
            </w:r>
            <w:r w:rsidRPr="00A3714E">
              <w:rPr>
                <w:sz w:val="24"/>
                <w:szCs w:val="24"/>
              </w:rPr>
              <w:t xml:space="preserve"> </w:t>
            </w:r>
            <m:oMath>
              <m:sSubSup>
                <m:sSubSupPr>
                  <m:ctrlPr>
                    <w:rPr>
                      <w:rFonts w:ascii="Cambria Math" w:hAnsi="Cambria Math"/>
                      <w:bCs/>
                      <w:i/>
                      <w:iCs/>
                      <w:sz w:val="24"/>
                      <w:szCs w:val="24"/>
                    </w:rPr>
                  </m:ctrlPr>
                </m:sSubSupPr>
                <m:e>
                  <m:r>
                    <w:rPr>
                      <w:rFonts w:ascii="Cambria Math" w:hAnsi="Cambria Math"/>
                      <w:sz w:val="24"/>
                      <w:szCs w:val="24"/>
                    </w:rPr>
                    <m:t>σ</m:t>
                  </m:r>
                </m:e>
                <m:sub>
                  <m:r>
                    <w:rPr>
                      <w:rFonts w:ascii="Cambria Math" w:hAnsi="Cambria Math"/>
                      <w:sz w:val="24"/>
                      <w:szCs w:val="24"/>
                    </w:rPr>
                    <m:t>s</m:t>
                  </m:r>
                </m:sub>
                <m:sup>
                  <m:r>
                    <m:rPr>
                      <m:sty m:val="p"/>
                    </m:rPr>
                    <w:rPr>
                      <w:rFonts w:ascii="Cambria Math" w:hAnsi="Cambria Math"/>
                      <w:sz w:val="24"/>
                      <w:szCs w:val="24"/>
                      <w:lang w:val="it-IT"/>
                    </w:rPr>
                    <m:t>2</m:t>
                  </m:r>
                </m:sup>
              </m:sSubSup>
            </m:oMath>
            <w:r w:rsidRPr="00A3714E">
              <w:rPr>
                <w:bCs/>
                <w:iCs/>
                <w:sz w:val="24"/>
                <w:szCs w:val="24"/>
                <w:lang w:val="it-IT"/>
              </w:rPr>
              <w:t xml:space="preserve">=sire variance, </w:t>
            </w:r>
            <m:oMath>
              <m:sSubSup>
                <m:sSubSupPr>
                  <m:ctrlPr>
                    <w:rPr>
                      <w:rFonts w:ascii="Cambria Math" w:hAnsi="Cambria Math"/>
                      <w:bCs/>
                      <w:i/>
                      <w:iCs/>
                      <w:sz w:val="24"/>
                      <w:szCs w:val="24"/>
                    </w:rPr>
                  </m:ctrlPr>
                </m:sSubSupPr>
                <m:e>
                  <m:r>
                    <w:rPr>
                      <w:rFonts w:ascii="Cambria Math" w:hAnsi="Cambria Math"/>
                      <w:sz w:val="24"/>
                      <w:szCs w:val="24"/>
                    </w:rPr>
                    <m:t>σ</m:t>
                  </m:r>
                </m:e>
                <m:sub>
                  <m:r>
                    <w:rPr>
                      <w:rFonts w:ascii="Cambria Math" w:hAnsi="Cambria Math"/>
                      <w:sz w:val="24"/>
                      <w:szCs w:val="24"/>
                    </w:rPr>
                    <m:t>e</m:t>
                  </m:r>
                </m:sub>
                <m:sup>
                  <m:r>
                    <m:rPr>
                      <m:sty m:val="p"/>
                    </m:rPr>
                    <w:rPr>
                      <w:rFonts w:ascii="Cambria Math" w:hAnsi="Cambria Math"/>
                      <w:sz w:val="24"/>
                      <w:szCs w:val="24"/>
                      <w:lang w:val="it-IT"/>
                    </w:rPr>
                    <m:t>2</m:t>
                  </m:r>
                </m:sup>
              </m:sSubSup>
            </m:oMath>
            <w:r w:rsidRPr="00A3714E">
              <w:rPr>
                <w:bCs/>
                <w:iCs/>
                <w:sz w:val="24"/>
                <w:szCs w:val="24"/>
                <w:lang w:val="it-IT"/>
              </w:rPr>
              <w:t>=residual variance</w:t>
            </w:r>
            <w:r>
              <w:rPr>
                <w:bCs/>
                <w:iCs/>
                <w:sz w:val="24"/>
                <w:szCs w:val="24"/>
                <w:lang w:val="it-IT"/>
              </w:rPr>
              <w:t xml:space="preserve"> </w:t>
            </w:r>
            <w:r>
              <w:t xml:space="preserve"> </w:t>
            </w:r>
          </w:p>
          <w:p w14:paraId="57C87B17" w14:textId="77777777" w:rsidR="006C73DA" w:rsidRPr="00A3714E" w:rsidRDefault="006C73DA" w:rsidP="006C73DA">
            <w:pPr>
              <w:rPr>
                <w:sz w:val="24"/>
                <w:szCs w:val="24"/>
                <w:lang w:val="it-IT"/>
              </w:rPr>
            </w:pPr>
            <w:r w:rsidRPr="00A3714E">
              <w:rPr>
                <w:sz w:val="24"/>
                <w:szCs w:val="24"/>
                <w:vertAlign w:val="superscript"/>
                <w:lang w:val="it-IT"/>
              </w:rPr>
              <w:t>2</w:t>
            </w:r>
            <w:r w:rsidRPr="00A3714E">
              <w:rPr>
                <w:sz w:val="24"/>
                <w:szCs w:val="24"/>
                <w:lang w:val="it-IT"/>
              </w:rPr>
              <w:t xml:space="preserve"> </w:t>
            </w:r>
            <w:r w:rsidRPr="006938BF">
              <w:rPr>
                <w:bCs/>
                <w:iCs/>
                <w:sz w:val="24"/>
                <w:szCs w:val="24"/>
                <w:lang w:val="it-IT"/>
              </w:rPr>
              <w:t xml:space="preserve">The residual variance, </w:t>
            </w:r>
            <m:oMath>
              <m:sSubSup>
                <m:sSubSupPr>
                  <m:ctrlPr>
                    <w:rPr>
                      <w:rFonts w:ascii="Cambria Math" w:hAnsi="Cambria Math"/>
                      <w:bCs/>
                      <w:i/>
                      <w:iCs/>
                      <w:sz w:val="24"/>
                      <w:szCs w:val="24"/>
                    </w:rPr>
                  </m:ctrlPr>
                </m:sSubSupPr>
                <m:e>
                  <m:r>
                    <w:rPr>
                      <w:rFonts w:ascii="Cambria Math" w:hAnsi="Cambria Math"/>
                      <w:sz w:val="24"/>
                      <w:szCs w:val="24"/>
                    </w:rPr>
                    <m:t>σ</m:t>
                  </m:r>
                </m:e>
                <m:sub>
                  <m:r>
                    <w:rPr>
                      <w:rFonts w:ascii="Cambria Math" w:hAnsi="Cambria Math"/>
                      <w:sz w:val="24"/>
                      <w:szCs w:val="24"/>
                    </w:rPr>
                    <m:t>e</m:t>
                  </m:r>
                </m:sub>
                <m:sup>
                  <m:r>
                    <m:rPr>
                      <m:sty m:val="p"/>
                    </m:rPr>
                    <w:rPr>
                      <w:rFonts w:ascii="Cambria Math" w:hAnsi="Cambria Math"/>
                      <w:sz w:val="24"/>
                      <w:szCs w:val="24"/>
                      <w:lang w:val="it-IT"/>
                    </w:rPr>
                    <m:t>2</m:t>
                  </m:r>
                </m:sup>
              </m:sSubSup>
            </m:oMath>
            <w:r w:rsidRPr="006938BF">
              <w:rPr>
                <w:bCs/>
                <w:iCs/>
                <w:sz w:val="24"/>
                <w:szCs w:val="24"/>
                <w:lang w:val="it-IT"/>
              </w:rPr>
              <w:t>, for the zero-part in both ZIP and Hurdle models fixed at 1</w:t>
            </w:r>
          </w:p>
          <w:p w14:paraId="4126F81F" w14:textId="77777777" w:rsidR="006C73DA" w:rsidRPr="00A3714E" w:rsidRDefault="006C73DA" w:rsidP="006C73DA">
            <w:pPr>
              <w:rPr>
                <w:sz w:val="24"/>
                <w:szCs w:val="24"/>
                <w:lang w:val="it-IT"/>
              </w:rPr>
            </w:pPr>
          </w:p>
        </w:tc>
      </w:tr>
    </w:tbl>
    <w:p w14:paraId="2366D859" w14:textId="6E3CEAB6" w:rsidR="002E1DF6" w:rsidRPr="00263383" w:rsidRDefault="0009581A" w:rsidP="00263383">
      <w:pPr>
        <w:pStyle w:val="Heading1"/>
        <w:rPr>
          <w:sz w:val="24"/>
        </w:rPr>
      </w:pPr>
      <w:r w:rsidRPr="00263383">
        <w:rPr>
          <w:sz w:val="24"/>
        </w:rPr>
        <w:t>Conclusion</w:t>
      </w:r>
    </w:p>
    <w:p w14:paraId="3B86888D" w14:textId="39CA8A4E" w:rsidR="002E1DF6" w:rsidRPr="002E1DF6" w:rsidRDefault="002E1DF6" w:rsidP="002E1DF6">
      <w:pPr>
        <w:jc w:val="both"/>
        <w:rPr>
          <w:sz w:val="24"/>
        </w:rPr>
      </w:pPr>
      <w:r w:rsidRPr="002E1DF6">
        <w:rPr>
          <w:sz w:val="24"/>
        </w:rPr>
        <w:t xml:space="preserve">The study provides more conclusive evidence that UK dairy cattle vary genetically in bTB infectivity, implying that genetic selection for lower cattle infectivity may be feasible to help bTB eradication. Detection of genetic variance in index case infectivity in current models is encouraging as index cases represent only a small proportion of the cattle population. Future studies that account for genetic differences in infectivity of all dairy cattle involved in bTB breakdowns are expected to uncover more genetic variation in </w:t>
      </w:r>
      <w:r w:rsidRPr="00792CF6">
        <w:rPr>
          <w:sz w:val="24"/>
        </w:rPr>
        <w:t xml:space="preserve">infectivity.  </w:t>
      </w:r>
      <w:r w:rsidR="006938BB" w:rsidRPr="00792CF6">
        <w:rPr>
          <w:sz w:val="24"/>
        </w:rPr>
        <w:t xml:space="preserve">In addition, further </w:t>
      </w:r>
      <w:r w:rsidR="000C50A7" w:rsidRPr="00792CF6">
        <w:rPr>
          <w:sz w:val="24"/>
        </w:rPr>
        <w:t xml:space="preserve">investigation is </w:t>
      </w:r>
      <w:r w:rsidR="0042207A" w:rsidRPr="00792CF6">
        <w:rPr>
          <w:sz w:val="24"/>
        </w:rPr>
        <w:t xml:space="preserve">ongoing </w:t>
      </w:r>
      <w:r w:rsidR="000C50A7" w:rsidRPr="00792CF6">
        <w:rPr>
          <w:sz w:val="24"/>
        </w:rPr>
        <w:t>to identify best model to use for future analysis which remains as a future work.</w:t>
      </w:r>
    </w:p>
    <w:p w14:paraId="3331683C" w14:textId="77777777" w:rsidR="0009581A" w:rsidRPr="00A3714E" w:rsidRDefault="0009581A" w:rsidP="0009581A">
      <w:pPr>
        <w:pStyle w:val="Heading1"/>
        <w:rPr>
          <w:sz w:val="24"/>
          <w:szCs w:val="24"/>
        </w:rPr>
      </w:pPr>
      <w:r w:rsidRPr="00A3714E">
        <w:rPr>
          <w:sz w:val="24"/>
          <w:szCs w:val="24"/>
        </w:rPr>
        <w:t>Acknowledgements</w:t>
      </w:r>
    </w:p>
    <w:p w14:paraId="0FD184F2" w14:textId="3FE3AE2D" w:rsidR="009B5501" w:rsidRPr="00A3714E" w:rsidRDefault="0009581A" w:rsidP="0009581A">
      <w:pPr>
        <w:rPr>
          <w:sz w:val="24"/>
          <w:szCs w:val="24"/>
        </w:rPr>
      </w:pPr>
      <w:r w:rsidRPr="00A3714E">
        <w:rPr>
          <w:sz w:val="24"/>
          <w:szCs w:val="24"/>
        </w:rPr>
        <w:t>This PhD studentship is funded by the AHDB. </w:t>
      </w:r>
    </w:p>
    <w:p w14:paraId="6FA8AEE4" w14:textId="77777777" w:rsidR="0009581A" w:rsidRPr="00A3714E" w:rsidRDefault="0009581A" w:rsidP="0009581A">
      <w:pPr>
        <w:pStyle w:val="Heading1"/>
        <w:rPr>
          <w:sz w:val="24"/>
          <w:szCs w:val="24"/>
        </w:rPr>
      </w:pPr>
      <w:r w:rsidRPr="00A3714E">
        <w:rPr>
          <w:sz w:val="24"/>
          <w:szCs w:val="24"/>
        </w:rPr>
        <w:t>References</w:t>
      </w:r>
    </w:p>
    <w:p w14:paraId="354A48E8" w14:textId="77777777" w:rsidR="00B1722A" w:rsidRPr="00E22BBA" w:rsidRDefault="00B1722A" w:rsidP="00B1722A">
      <w:pPr>
        <w:pStyle w:val="EndNoteBibliography"/>
        <w:spacing w:after="0"/>
        <w:ind w:left="720" w:hanging="720"/>
        <w:contextualSpacing/>
        <w:rPr>
          <w:rFonts w:asciiTheme="minorHAnsi" w:hAnsiTheme="minorHAnsi" w:cstheme="minorHAnsi"/>
          <w:color w:val="000000" w:themeColor="text1"/>
          <w:sz w:val="20"/>
          <w:szCs w:val="20"/>
        </w:rPr>
      </w:pPr>
      <w:r w:rsidRPr="00E22BBA">
        <w:rPr>
          <w:rFonts w:asciiTheme="minorHAnsi" w:hAnsiTheme="minorHAnsi" w:cstheme="minorHAnsi"/>
          <w:color w:val="000000" w:themeColor="text1"/>
          <w:sz w:val="20"/>
          <w:szCs w:val="20"/>
        </w:rPr>
        <w:fldChar w:fldCharType="begin"/>
      </w:r>
      <w:r w:rsidRPr="00E22BBA">
        <w:rPr>
          <w:rFonts w:asciiTheme="minorHAnsi" w:hAnsiTheme="minorHAnsi" w:cstheme="minorHAnsi"/>
          <w:color w:val="000000" w:themeColor="text1"/>
          <w:sz w:val="20"/>
          <w:szCs w:val="20"/>
        </w:rPr>
        <w:instrText xml:space="preserve"> ADDIN EN.REFLIST </w:instrText>
      </w:r>
      <w:r w:rsidRPr="00E22BBA">
        <w:rPr>
          <w:rFonts w:asciiTheme="minorHAnsi" w:hAnsiTheme="minorHAnsi" w:cstheme="minorHAnsi"/>
          <w:color w:val="000000" w:themeColor="text1"/>
          <w:sz w:val="20"/>
          <w:szCs w:val="20"/>
        </w:rPr>
        <w:fldChar w:fldCharType="separate"/>
      </w:r>
      <w:r w:rsidRPr="00E22BBA">
        <w:rPr>
          <w:rFonts w:asciiTheme="minorHAnsi" w:hAnsiTheme="minorHAnsi" w:cstheme="minorHAnsi"/>
          <w:color w:val="000000" w:themeColor="text1"/>
          <w:sz w:val="20"/>
          <w:szCs w:val="20"/>
        </w:rPr>
        <w:t xml:space="preserve">Banos, G. (2023). </w:t>
      </w:r>
      <w:r w:rsidRPr="00E22BBA">
        <w:rPr>
          <w:rFonts w:asciiTheme="minorHAnsi" w:hAnsiTheme="minorHAnsi" w:cstheme="minorHAnsi"/>
          <w:i/>
          <w:color w:val="000000" w:themeColor="text1"/>
          <w:sz w:val="20"/>
          <w:szCs w:val="20"/>
        </w:rPr>
        <w:t>Irish Veterinary Journal</w:t>
      </w:r>
      <w:r w:rsidRPr="00E22BBA">
        <w:rPr>
          <w:rFonts w:asciiTheme="minorHAnsi" w:hAnsiTheme="minorHAnsi" w:cstheme="minorHAnsi"/>
          <w:color w:val="000000" w:themeColor="text1"/>
          <w:sz w:val="20"/>
          <w:szCs w:val="20"/>
        </w:rPr>
        <w:t>,</w:t>
      </w:r>
      <w:r w:rsidRPr="00E22BBA">
        <w:rPr>
          <w:rFonts w:asciiTheme="minorHAnsi" w:hAnsiTheme="minorHAnsi" w:cstheme="minorHAnsi"/>
          <w:i/>
          <w:color w:val="000000" w:themeColor="text1"/>
          <w:sz w:val="20"/>
          <w:szCs w:val="20"/>
        </w:rPr>
        <w:t xml:space="preserve"> 76</w:t>
      </w:r>
      <w:r w:rsidRPr="00E22BBA">
        <w:rPr>
          <w:rFonts w:asciiTheme="minorHAnsi" w:hAnsiTheme="minorHAnsi" w:cstheme="minorHAnsi"/>
          <w:color w:val="000000" w:themeColor="text1"/>
          <w:sz w:val="20"/>
          <w:szCs w:val="20"/>
        </w:rPr>
        <w:t xml:space="preserve">(1), 1-13. </w:t>
      </w:r>
    </w:p>
    <w:p w14:paraId="7DDBAB4B" w14:textId="77777777" w:rsidR="00B9667F" w:rsidRPr="00E22BBA" w:rsidRDefault="00B9667F" w:rsidP="00AA0174">
      <w:pPr>
        <w:pStyle w:val="EndNoteBibliography"/>
        <w:spacing w:after="0"/>
        <w:ind w:left="720" w:hanging="720"/>
        <w:contextualSpacing/>
        <w:rPr>
          <w:rFonts w:asciiTheme="minorHAnsi" w:hAnsiTheme="minorHAnsi" w:cstheme="minorHAnsi"/>
          <w:color w:val="000000" w:themeColor="text1"/>
          <w:sz w:val="20"/>
          <w:szCs w:val="20"/>
        </w:rPr>
      </w:pPr>
    </w:p>
    <w:p w14:paraId="6F47533B" w14:textId="77777777" w:rsidR="00B1722A" w:rsidRPr="00E22BBA" w:rsidRDefault="00B1722A" w:rsidP="00AA0174">
      <w:pPr>
        <w:spacing w:line="240" w:lineRule="auto"/>
        <w:contextualSpacing/>
        <w:rPr>
          <w:noProof/>
          <w:color w:val="000000" w:themeColor="text1"/>
          <w:sz w:val="20"/>
          <w:szCs w:val="20"/>
        </w:rPr>
      </w:pPr>
      <w:r w:rsidRPr="00E22BBA">
        <w:rPr>
          <w:noProof/>
          <w:color w:val="000000" w:themeColor="text1"/>
          <w:sz w:val="20"/>
          <w:szCs w:val="20"/>
        </w:rPr>
        <w:t>Banos, G., Winters, M., Mrode,</w:t>
      </w:r>
      <w:r w:rsidR="00953958" w:rsidRPr="00E22BBA">
        <w:rPr>
          <w:noProof/>
          <w:color w:val="000000" w:themeColor="text1"/>
          <w:sz w:val="20"/>
          <w:szCs w:val="20"/>
        </w:rPr>
        <w:t xml:space="preserve"> R., Mitchell, A., Bishop, S., Woolliams, J.A.</w:t>
      </w:r>
      <w:r w:rsidRPr="00E22BBA">
        <w:rPr>
          <w:noProof/>
          <w:color w:val="000000" w:themeColor="text1"/>
          <w:sz w:val="20"/>
          <w:szCs w:val="20"/>
        </w:rPr>
        <w:t xml:space="preserve"> &amp; Coffey, M. (2017). </w:t>
      </w:r>
      <w:r w:rsidRPr="00E22BBA">
        <w:rPr>
          <w:i/>
          <w:noProof/>
          <w:color w:val="000000" w:themeColor="text1"/>
          <w:sz w:val="20"/>
          <w:szCs w:val="20"/>
        </w:rPr>
        <w:t>Journal of dairy science</w:t>
      </w:r>
      <w:r w:rsidRPr="00E22BBA">
        <w:rPr>
          <w:noProof/>
          <w:color w:val="000000" w:themeColor="text1"/>
          <w:sz w:val="20"/>
          <w:szCs w:val="20"/>
        </w:rPr>
        <w:t>,</w:t>
      </w:r>
      <w:r w:rsidRPr="00E22BBA">
        <w:rPr>
          <w:i/>
          <w:noProof/>
          <w:color w:val="000000" w:themeColor="text1"/>
          <w:sz w:val="20"/>
          <w:szCs w:val="20"/>
        </w:rPr>
        <w:t xml:space="preserve"> 100</w:t>
      </w:r>
      <w:r w:rsidRPr="00E22BBA">
        <w:rPr>
          <w:noProof/>
          <w:color w:val="000000" w:themeColor="text1"/>
          <w:sz w:val="20"/>
          <w:szCs w:val="20"/>
        </w:rPr>
        <w:t xml:space="preserve">(2), 1272-1281. </w:t>
      </w:r>
    </w:p>
    <w:p w14:paraId="1E50E95C" w14:textId="77777777" w:rsidR="00B1722A" w:rsidRPr="00E22BBA" w:rsidRDefault="00B1722A" w:rsidP="00AA0174">
      <w:pPr>
        <w:pStyle w:val="EndNoteBibliography"/>
        <w:spacing w:after="0"/>
        <w:ind w:left="720" w:hanging="720"/>
        <w:contextualSpacing/>
        <w:rPr>
          <w:rFonts w:asciiTheme="minorHAnsi" w:hAnsiTheme="minorHAnsi" w:cstheme="minorHAnsi"/>
          <w:color w:val="000000" w:themeColor="text1"/>
          <w:sz w:val="20"/>
          <w:szCs w:val="20"/>
        </w:rPr>
      </w:pPr>
      <w:r w:rsidRPr="00E22BBA">
        <w:rPr>
          <w:rFonts w:asciiTheme="minorHAnsi" w:hAnsiTheme="minorHAnsi" w:cstheme="minorHAnsi"/>
          <w:color w:val="000000" w:themeColor="text1"/>
          <w:sz w:val="20"/>
          <w:szCs w:val="20"/>
        </w:rPr>
        <w:t xml:space="preserve">Hadfield, J. (2014). MCMCglmm course notes. </w:t>
      </w:r>
      <w:r w:rsidRPr="00E22BBA">
        <w:rPr>
          <w:rFonts w:asciiTheme="minorHAnsi" w:hAnsiTheme="minorHAnsi" w:cstheme="minorHAnsi"/>
          <w:i/>
          <w:color w:val="000000" w:themeColor="text1"/>
          <w:sz w:val="20"/>
          <w:szCs w:val="20"/>
        </w:rPr>
        <w:t>available at: cran. r-project. org/web/packages/MCMCglmm/vignettes/CourseNotes. pdf</w:t>
      </w:r>
      <w:r w:rsidRPr="00E22BBA">
        <w:rPr>
          <w:rFonts w:asciiTheme="minorHAnsi" w:hAnsiTheme="minorHAnsi" w:cstheme="minorHAnsi"/>
          <w:color w:val="000000" w:themeColor="text1"/>
          <w:sz w:val="20"/>
          <w:szCs w:val="20"/>
        </w:rPr>
        <w:t xml:space="preserve">. </w:t>
      </w:r>
    </w:p>
    <w:p w14:paraId="211529B1" w14:textId="77777777" w:rsidR="00B9667F" w:rsidRPr="00E22BBA" w:rsidRDefault="00B9667F" w:rsidP="00AA0174">
      <w:pPr>
        <w:pStyle w:val="EndNoteBibliography"/>
        <w:spacing w:after="0"/>
        <w:ind w:left="720" w:hanging="720"/>
        <w:contextualSpacing/>
        <w:rPr>
          <w:rFonts w:asciiTheme="minorHAnsi" w:hAnsiTheme="minorHAnsi" w:cstheme="minorHAnsi"/>
          <w:color w:val="000000" w:themeColor="text1"/>
          <w:sz w:val="20"/>
          <w:szCs w:val="20"/>
        </w:rPr>
      </w:pPr>
    </w:p>
    <w:p w14:paraId="43ED38C7" w14:textId="77777777" w:rsidR="00B1722A" w:rsidRPr="00E22BBA" w:rsidRDefault="00B1722A" w:rsidP="00AA0174">
      <w:pPr>
        <w:pStyle w:val="EndNoteBibliography"/>
        <w:ind w:left="720" w:hanging="720"/>
        <w:contextualSpacing/>
        <w:rPr>
          <w:rFonts w:asciiTheme="minorHAnsi" w:hAnsiTheme="minorHAnsi" w:cstheme="minorHAnsi"/>
          <w:color w:val="000000" w:themeColor="text1"/>
          <w:sz w:val="20"/>
          <w:szCs w:val="20"/>
        </w:rPr>
      </w:pPr>
      <w:r w:rsidRPr="00E22BBA">
        <w:rPr>
          <w:rFonts w:asciiTheme="minorHAnsi" w:hAnsiTheme="minorHAnsi" w:cstheme="minorHAnsi"/>
          <w:color w:val="000000" w:themeColor="text1"/>
          <w:sz w:val="20"/>
          <w:szCs w:val="20"/>
        </w:rPr>
        <w:t>Madenci, D., Sanchez-Molano, E., Winters, M., Mitchell, A.,</w:t>
      </w:r>
      <w:r w:rsidRPr="00E22BBA">
        <w:rPr>
          <w:color w:val="000000" w:themeColor="text1"/>
          <w:sz w:val="20"/>
          <w:szCs w:val="20"/>
        </w:rPr>
        <w:t xml:space="preserve"> </w:t>
      </w:r>
      <w:r w:rsidRPr="00E22BBA">
        <w:rPr>
          <w:rFonts w:asciiTheme="minorHAnsi" w:hAnsiTheme="minorHAnsi" w:cstheme="minorHAnsi"/>
          <w:color w:val="000000" w:themeColor="text1"/>
          <w:sz w:val="20"/>
          <w:szCs w:val="20"/>
        </w:rPr>
        <w:t xml:space="preserve">Banos, G.&amp; Doeschl-Wilson, A. (2023). </w:t>
      </w:r>
      <w:r w:rsidRPr="00E22BBA">
        <w:rPr>
          <w:rFonts w:asciiTheme="minorHAnsi" w:hAnsiTheme="minorHAnsi" w:cstheme="minorHAnsi"/>
          <w:i/>
          <w:color w:val="000000" w:themeColor="text1"/>
          <w:sz w:val="20"/>
          <w:szCs w:val="20"/>
        </w:rPr>
        <w:t>Animal-science proceedings</w:t>
      </w:r>
      <w:r w:rsidRPr="00E22BBA">
        <w:rPr>
          <w:rFonts w:asciiTheme="minorHAnsi" w:hAnsiTheme="minorHAnsi" w:cstheme="minorHAnsi"/>
          <w:color w:val="000000" w:themeColor="text1"/>
          <w:sz w:val="20"/>
          <w:szCs w:val="20"/>
        </w:rPr>
        <w:t>,</w:t>
      </w:r>
      <w:r w:rsidRPr="00E22BBA">
        <w:rPr>
          <w:rFonts w:asciiTheme="minorHAnsi" w:hAnsiTheme="minorHAnsi" w:cstheme="minorHAnsi"/>
          <w:i/>
          <w:color w:val="000000" w:themeColor="text1"/>
          <w:sz w:val="20"/>
          <w:szCs w:val="20"/>
        </w:rPr>
        <w:t xml:space="preserve"> 14</w:t>
      </w:r>
      <w:r w:rsidRPr="00E22BBA">
        <w:rPr>
          <w:rFonts w:asciiTheme="minorHAnsi" w:hAnsiTheme="minorHAnsi" w:cstheme="minorHAnsi"/>
          <w:color w:val="000000" w:themeColor="text1"/>
          <w:sz w:val="20"/>
          <w:szCs w:val="20"/>
        </w:rPr>
        <w:t xml:space="preserve">(2), 416-417. </w:t>
      </w:r>
    </w:p>
    <w:p w14:paraId="7EA7FD16" w14:textId="4C5193D1" w:rsidR="0009581A" w:rsidRPr="00A3714E" w:rsidRDefault="00B1722A" w:rsidP="00047A32">
      <w:pPr>
        <w:spacing w:line="240" w:lineRule="auto"/>
        <w:contextualSpacing/>
        <w:rPr>
          <w:sz w:val="24"/>
          <w:szCs w:val="24"/>
        </w:rPr>
      </w:pPr>
      <w:r w:rsidRPr="00E22BBA">
        <w:rPr>
          <w:rFonts w:cstheme="minorHAnsi"/>
          <w:color w:val="000000" w:themeColor="text1"/>
          <w:sz w:val="20"/>
          <w:szCs w:val="20"/>
        </w:rPr>
        <w:fldChar w:fldCharType="end"/>
      </w:r>
    </w:p>
    <w:sectPr w:rsidR="0009581A" w:rsidRPr="00A3714E" w:rsidSect="00D6687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191E" w14:textId="77777777" w:rsidR="00590533" w:rsidRDefault="00590533" w:rsidP="00AA0174">
      <w:pPr>
        <w:spacing w:after="0" w:line="240" w:lineRule="auto"/>
      </w:pPr>
      <w:r>
        <w:separator/>
      </w:r>
    </w:p>
  </w:endnote>
  <w:endnote w:type="continuationSeparator" w:id="0">
    <w:p w14:paraId="7D49ACFB" w14:textId="77777777" w:rsidR="00590533" w:rsidRDefault="00590533" w:rsidP="00AA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CAC8" w14:textId="77777777" w:rsidR="00590533" w:rsidRDefault="00590533" w:rsidP="00AA0174">
      <w:pPr>
        <w:spacing w:after="0" w:line="240" w:lineRule="auto"/>
      </w:pPr>
      <w:r>
        <w:separator/>
      </w:r>
    </w:p>
  </w:footnote>
  <w:footnote w:type="continuationSeparator" w:id="0">
    <w:p w14:paraId="68EE6180" w14:textId="77777777" w:rsidR="00590533" w:rsidRDefault="00590533" w:rsidP="00AA0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xv22w26szr9oet5dspedv85xefza5zte5s&quot;&gt;My EndNote Library&lt;record-ids&gt;&lt;item&gt;34&lt;/item&gt;&lt;/record-ids&gt;&lt;/item&gt;&lt;/Libraries&gt;"/>
  </w:docVars>
  <w:rsids>
    <w:rsidRoot w:val="006D4F32"/>
    <w:rsid w:val="00024CDA"/>
    <w:rsid w:val="00047A32"/>
    <w:rsid w:val="000546C5"/>
    <w:rsid w:val="00071643"/>
    <w:rsid w:val="0009581A"/>
    <w:rsid w:val="000A70A3"/>
    <w:rsid w:val="000C50A7"/>
    <w:rsid w:val="00106AAD"/>
    <w:rsid w:val="001D13A2"/>
    <w:rsid w:val="001F5167"/>
    <w:rsid w:val="0024403C"/>
    <w:rsid w:val="002477DA"/>
    <w:rsid w:val="00263383"/>
    <w:rsid w:val="0026570F"/>
    <w:rsid w:val="002659EE"/>
    <w:rsid w:val="002933E4"/>
    <w:rsid w:val="002E1DF6"/>
    <w:rsid w:val="003C242D"/>
    <w:rsid w:val="003F27F1"/>
    <w:rsid w:val="004041AA"/>
    <w:rsid w:val="0042207A"/>
    <w:rsid w:val="004242D2"/>
    <w:rsid w:val="004B3242"/>
    <w:rsid w:val="004C7C28"/>
    <w:rsid w:val="00502714"/>
    <w:rsid w:val="00516EFF"/>
    <w:rsid w:val="005648AA"/>
    <w:rsid w:val="00590533"/>
    <w:rsid w:val="005F7C4A"/>
    <w:rsid w:val="00611A5A"/>
    <w:rsid w:val="006938BB"/>
    <w:rsid w:val="006938BF"/>
    <w:rsid w:val="006A1151"/>
    <w:rsid w:val="006C73DA"/>
    <w:rsid w:val="006D4F32"/>
    <w:rsid w:val="007631BB"/>
    <w:rsid w:val="00792CF6"/>
    <w:rsid w:val="007F01FC"/>
    <w:rsid w:val="007F036D"/>
    <w:rsid w:val="008169C3"/>
    <w:rsid w:val="0084337F"/>
    <w:rsid w:val="008E50FA"/>
    <w:rsid w:val="0093678C"/>
    <w:rsid w:val="00953958"/>
    <w:rsid w:val="009B5501"/>
    <w:rsid w:val="00A14C0D"/>
    <w:rsid w:val="00A3714E"/>
    <w:rsid w:val="00A65421"/>
    <w:rsid w:val="00A92300"/>
    <w:rsid w:val="00AA0174"/>
    <w:rsid w:val="00AE5F4C"/>
    <w:rsid w:val="00AF7759"/>
    <w:rsid w:val="00B06DC2"/>
    <w:rsid w:val="00B1722A"/>
    <w:rsid w:val="00B221F6"/>
    <w:rsid w:val="00B9667F"/>
    <w:rsid w:val="00B972BC"/>
    <w:rsid w:val="00BB0D4A"/>
    <w:rsid w:val="00C33783"/>
    <w:rsid w:val="00C60C5A"/>
    <w:rsid w:val="00C70501"/>
    <w:rsid w:val="00C80BFC"/>
    <w:rsid w:val="00CE592E"/>
    <w:rsid w:val="00D43B60"/>
    <w:rsid w:val="00D56809"/>
    <w:rsid w:val="00D63F20"/>
    <w:rsid w:val="00D66873"/>
    <w:rsid w:val="00D95542"/>
    <w:rsid w:val="00DD1011"/>
    <w:rsid w:val="00E22BBA"/>
    <w:rsid w:val="00F016DC"/>
    <w:rsid w:val="00F466E2"/>
    <w:rsid w:val="00F7555A"/>
    <w:rsid w:val="00F85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8430"/>
  <w15:chartTrackingRefBased/>
  <w15:docId w15:val="{92E8B48A-A6C4-45BB-A273-F997CEDE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8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38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81A"/>
    <w:rPr>
      <w:sz w:val="16"/>
      <w:szCs w:val="16"/>
    </w:rPr>
  </w:style>
  <w:style w:type="paragraph" w:styleId="CommentText">
    <w:name w:val="annotation text"/>
    <w:basedOn w:val="Normal"/>
    <w:link w:val="CommentTextChar"/>
    <w:uiPriority w:val="99"/>
    <w:unhideWhenUsed/>
    <w:rsid w:val="0009581A"/>
    <w:pPr>
      <w:spacing w:line="240" w:lineRule="auto"/>
    </w:pPr>
    <w:rPr>
      <w:sz w:val="20"/>
      <w:szCs w:val="20"/>
    </w:rPr>
  </w:style>
  <w:style w:type="character" w:customStyle="1" w:styleId="CommentTextChar">
    <w:name w:val="Comment Text Char"/>
    <w:basedOn w:val="DefaultParagraphFont"/>
    <w:link w:val="CommentText"/>
    <w:uiPriority w:val="99"/>
    <w:rsid w:val="0009581A"/>
    <w:rPr>
      <w:sz w:val="20"/>
      <w:szCs w:val="20"/>
    </w:rPr>
  </w:style>
  <w:style w:type="paragraph" w:styleId="BalloonText">
    <w:name w:val="Balloon Text"/>
    <w:basedOn w:val="Normal"/>
    <w:link w:val="BalloonTextChar"/>
    <w:uiPriority w:val="99"/>
    <w:semiHidden/>
    <w:unhideWhenUsed/>
    <w:rsid w:val="00095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81A"/>
    <w:rPr>
      <w:rFonts w:ascii="Segoe UI" w:hAnsi="Segoe UI" w:cs="Segoe UI"/>
      <w:sz w:val="18"/>
      <w:szCs w:val="18"/>
    </w:rPr>
  </w:style>
  <w:style w:type="character" w:customStyle="1" w:styleId="Heading1Char">
    <w:name w:val="Heading 1 Char"/>
    <w:basedOn w:val="DefaultParagraphFont"/>
    <w:link w:val="Heading1"/>
    <w:uiPriority w:val="9"/>
    <w:rsid w:val="0009581A"/>
    <w:rPr>
      <w:rFonts w:asciiTheme="majorHAnsi" w:eastAsiaTheme="majorEastAsia" w:hAnsiTheme="majorHAnsi" w:cstheme="majorBidi"/>
      <w:color w:val="2E74B5" w:themeColor="accent1" w:themeShade="BF"/>
      <w:sz w:val="32"/>
      <w:szCs w:val="32"/>
    </w:rPr>
  </w:style>
  <w:style w:type="paragraph" w:customStyle="1" w:styleId="EndNoteBibliography">
    <w:name w:val="EndNote Bibliography"/>
    <w:basedOn w:val="Normal"/>
    <w:link w:val="EndNoteBibliographyChar"/>
    <w:rsid w:val="0009581A"/>
    <w:pPr>
      <w:spacing w:line="240" w:lineRule="auto"/>
    </w:pPr>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09581A"/>
    <w:rPr>
      <w:rFonts w:ascii="Calibri Light" w:hAnsi="Calibri Light" w:cs="Calibri Light"/>
      <w:noProof/>
      <w:sz w:val="32"/>
      <w:lang w:val="en-US"/>
    </w:rPr>
  </w:style>
  <w:style w:type="paragraph" w:customStyle="1" w:styleId="EndNoteBibliographyTitle">
    <w:name w:val="EndNote Bibliography Title"/>
    <w:basedOn w:val="Normal"/>
    <w:link w:val="EndNoteBibliographyTitleChar"/>
    <w:rsid w:val="001D13A2"/>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1D13A2"/>
    <w:rPr>
      <w:rFonts w:ascii="Calibri Light" w:hAnsi="Calibri Light" w:cs="Calibri Light"/>
      <w:noProof/>
      <w:sz w:val="32"/>
      <w:lang w:val="en-US"/>
    </w:rPr>
  </w:style>
  <w:style w:type="paragraph" w:styleId="ListParagraph">
    <w:name w:val="List Paragraph"/>
    <w:basedOn w:val="Normal"/>
    <w:uiPriority w:val="34"/>
    <w:qFormat/>
    <w:rsid w:val="001D13A2"/>
    <w:pPr>
      <w:ind w:left="720"/>
      <w:contextualSpacing/>
    </w:pPr>
  </w:style>
  <w:style w:type="character" w:styleId="PlaceholderText">
    <w:name w:val="Placeholder Text"/>
    <w:basedOn w:val="DefaultParagraphFont"/>
    <w:uiPriority w:val="99"/>
    <w:semiHidden/>
    <w:rsid w:val="001D13A2"/>
    <w:rPr>
      <w:color w:val="808080"/>
    </w:rPr>
  </w:style>
  <w:style w:type="paragraph" w:styleId="Caption">
    <w:name w:val="caption"/>
    <w:basedOn w:val="Normal"/>
    <w:next w:val="Normal"/>
    <w:uiPriority w:val="35"/>
    <w:unhideWhenUsed/>
    <w:qFormat/>
    <w:rsid w:val="00DD1011"/>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6938B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A0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74"/>
  </w:style>
  <w:style w:type="paragraph" w:styleId="Footer">
    <w:name w:val="footer"/>
    <w:basedOn w:val="Normal"/>
    <w:link w:val="FooterChar"/>
    <w:uiPriority w:val="99"/>
    <w:unhideWhenUsed/>
    <w:rsid w:val="00AA0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6850">
      <w:bodyDiv w:val="1"/>
      <w:marLeft w:val="0"/>
      <w:marRight w:val="0"/>
      <w:marTop w:val="0"/>
      <w:marBottom w:val="0"/>
      <w:divBdr>
        <w:top w:val="none" w:sz="0" w:space="0" w:color="auto"/>
        <w:left w:val="none" w:sz="0" w:space="0" w:color="auto"/>
        <w:bottom w:val="none" w:sz="0" w:space="0" w:color="auto"/>
        <w:right w:val="none" w:sz="0" w:space="0" w:color="auto"/>
      </w:divBdr>
      <w:divsChild>
        <w:div w:id="719521388">
          <w:marLeft w:val="0"/>
          <w:marRight w:val="0"/>
          <w:marTop w:val="0"/>
          <w:marBottom w:val="0"/>
          <w:divBdr>
            <w:top w:val="none" w:sz="0" w:space="0" w:color="auto"/>
            <w:left w:val="none" w:sz="0" w:space="0" w:color="auto"/>
            <w:bottom w:val="none" w:sz="0" w:space="0" w:color="auto"/>
            <w:right w:val="none" w:sz="0" w:space="0" w:color="auto"/>
          </w:divBdr>
        </w:div>
        <w:div w:id="1307737898">
          <w:marLeft w:val="0"/>
          <w:marRight w:val="0"/>
          <w:marTop w:val="0"/>
          <w:marBottom w:val="300"/>
          <w:divBdr>
            <w:top w:val="single" w:sz="6" w:space="7" w:color="DCDCDC"/>
            <w:left w:val="single" w:sz="6" w:space="7" w:color="DCDCDC"/>
            <w:bottom w:val="single" w:sz="6" w:space="7" w:color="DCDCDC"/>
            <w:right w:val="single" w:sz="6" w:space="7" w:color="DCDCDC"/>
          </w:divBdr>
          <w:divsChild>
            <w:div w:id="378824263">
              <w:marLeft w:val="0"/>
              <w:marRight w:val="-225"/>
              <w:marTop w:val="0"/>
              <w:marBottom w:val="0"/>
              <w:divBdr>
                <w:top w:val="none" w:sz="0" w:space="0" w:color="auto"/>
                <w:left w:val="none" w:sz="0" w:space="0" w:color="auto"/>
                <w:bottom w:val="none" w:sz="0" w:space="0" w:color="auto"/>
                <w:right w:val="none" w:sz="0" w:space="0" w:color="auto"/>
              </w:divBdr>
              <w:divsChild>
                <w:div w:id="14621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2738</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Madenci</dc:creator>
  <cp:keywords/>
  <dc:description/>
  <cp:lastModifiedBy>Duygu Madenci</cp:lastModifiedBy>
  <cp:revision>75</cp:revision>
  <dcterms:created xsi:type="dcterms:W3CDTF">2023-10-25T13:10:00Z</dcterms:created>
  <dcterms:modified xsi:type="dcterms:W3CDTF">2024-01-10T10:05:00Z</dcterms:modified>
</cp:coreProperties>
</file>