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671E" w14:textId="77777777" w:rsidR="007B30E3" w:rsidRDefault="007B30E3" w:rsidP="007B30E3">
      <w:pPr>
        <w:jc w:val="center"/>
        <w:rPr>
          <w:b/>
          <w:bCs/>
          <w:sz w:val="32"/>
          <w:szCs w:val="32"/>
          <w:lang w:val="en-US"/>
        </w:rPr>
      </w:pPr>
    </w:p>
    <w:p w14:paraId="72D4E177" w14:textId="77777777" w:rsidR="007B30E3" w:rsidRDefault="007B30E3" w:rsidP="007B30E3">
      <w:pPr>
        <w:jc w:val="center"/>
        <w:rPr>
          <w:b/>
          <w:bCs/>
          <w:sz w:val="32"/>
          <w:szCs w:val="32"/>
          <w:lang w:val="en-US"/>
        </w:rPr>
      </w:pPr>
    </w:p>
    <w:p w14:paraId="38565EEC" w14:textId="77777777" w:rsidR="007B30E3" w:rsidRDefault="007B30E3" w:rsidP="007B30E3">
      <w:pPr>
        <w:jc w:val="center"/>
        <w:rPr>
          <w:b/>
          <w:bCs/>
          <w:sz w:val="32"/>
          <w:szCs w:val="32"/>
          <w:lang w:val="en-US"/>
        </w:rPr>
      </w:pPr>
    </w:p>
    <w:p w14:paraId="41E78607" w14:textId="77777777" w:rsidR="007B30E3" w:rsidRDefault="007B30E3" w:rsidP="007B30E3">
      <w:pPr>
        <w:jc w:val="center"/>
        <w:rPr>
          <w:b/>
          <w:bCs/>
          <w:sz w:val="32"/>
          <w:szCs w:val="32"/>
          <w:lang w:val="en-US"/>
        </w:rPr>
      </w:pPr>
    </w:p>
    <w:p w14:paraId="2527CF1B" w14:textId="77777777" w:rsidR="007B30E3" w:rsidRDefault="007B30E3" w:rsidP="007B30E3">
      <w:pPr>
        <w:jc w:val="center"/>
        <w:rPr>
          <w:b/>
          <w:bCs/>
          <w:sz w:val="32"/>
          <w:szCs w:val="32"/>
          <w:lang w:val="en-US"/>
        </w:rPr>
      </w:pPr>
    </w:p>
    <w:p w14:paraId="3D007176" w14:textId="6A0D8EAF" w:rsidR="00C53AE2" w:rsidRPr="007B30E3" w:rsidRDefault="007B30E3" w:rsidP="007B30E3">
      <w:pPr>
        <w:jc w:val="center"/>
        <w:rPr>
          <w:b/>
          <w:bCs/>
          <w:sz w:val="32"/>
          <w:szCs w:val="32"/>
          <w:lang w:val="en-US"/>
        </w:rPr>
      </w:pPr>
      <w:r w:rsidRPr="007B30E3">
        <w:rPr>
          <w:b/>
          <w:bCs/>
          <w:sz w:val="32"/>
          <w:szCs w:val="32"/>
          <w:lang w:val="en-US"/>
        </w:rPr>
        <w:t>BSAS 2025 ABSTRACT SUBMISSION TEMPLATE</w:t>
      </w:r>
    </w:p>
    <w:p w14:paraId="13D1DEF0" w14:textId="740B85F8" w:rsidR="007B30E3" w:rsidRPr="007B30E3" w:rsidRDefault="007B30E3" w:rsidP="007B30E3">
      <w:pPr>
        <w:jc w:val="center"/>
        <w:rPr>
          <w:sz w:val="32"/>
          <w:szCs w:val="32"/>
          <w:lang w:val="en-US"/>
        </w:rPr>
      </w:pPr>
      <w:r w:rsidRPr="007B30E3">
        <w:rPr>
          <w:sz w:val="32"/>
          <w:szCs w:val="32"/>
          <w:lang w:val="en-US"/>
        </w:rPr>
        <w:t>DO NOT DELETE OR CHANGE ANY OF THE FORMATTING ON THIS DOCUMENT</w:t>
      </w:r>
    </w:p>
    <w:p w14:paraId="47F2228C" w14:textId="77777777" w:rsidR="007B30E3" w:rsidRPr="007B30E3" w:rsidRDefault="007B30E3">
      <w:pPr>
        <w:rPr>
          <w:sz w:val="32"/>
          <w:szCs w:val="32"/>
          <w:lang w:val="en-US"/>
        </w:rPr>
      </w:pPr>
    </w:p>
    <w:p w14:paraId="1837B0B0" w14:textId="25E819E8" w:rsidR="007B30E3" w:rsidRPr="007B30E3" w:rsidRDefault="007B30E3" w:rsidP="007B30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B30E3">
        <w:rPr>
          <w:sz w:val="24"/>
          <w:szCs w:val="24"/>
          <w:lang w:val="en-US"/>
        </w:rPr>
        <w:t>IMPORTANT: DO NOT INCLUDE</w:t>
      </w:r>
      <w:r w:rsidR="00933E8C">
        <w:rPr>
          <w:sz w:val="24"/>
          <w:szCs w:val="24"/>
          <w:lang w:val="en-US"/>
        </w:rPr>
        <w:t xml:space="preserve"> THE ABSTRACT</w:t>
      </w:r>
      <w:r w:rsidRPr="007B30E3">
        <w:rPr>
          <w:sz w:val="24"/>
          <w:szCs w:val="24"/>
          <w:lang w:val="en-US"/>
        </w:rPr>
        <w:t xml:space="preserve"> TITLE OR AUTHORS</w:t>
      </w:r>
      <w:r w:rsidR="00933E8C">
        <w:rPr>
          <w:sz w:val="24"/>
          <w:szCs w:val="24"/>
          <w:lang w:val="en-US"/>
        </w:rPr>
        <w:t xml:space="preserve"> &amp; AFFILIATIONS/ PRESENTING AUTHOR </w:t>
      </w:r>
      <w:r w:rsidR="00B52E4E">
        <w:rPr>
          <w:sz w:val="24"/>
          <w:szCs w:val="24"/>
          <w:lang w:val="en-US"/>
        </w:rPr>
        <w:t>DETAILS</w:t>
      </w:r>
      <w:r w:rsidRPr="007B30E3">
        <w:rPr>
          <w:sz w:val="24"/>
          <w:szCs w:val="24"/>
          <w:lang w:val="en-US"/>
        </w:rPr>
        <w:t xml:space="preserve"> IN THIS DOCUMENT.</w:t>
      </w:r>
      <w:r w:rsidR="00B52E4E">
        <w:rPr>
          <w:sz w:val="24"/>
          <w:szCs w:val="24"/>
          <w:lang w:val="en-US"/>
        </w:rPr>
        <w:t xml:space="preserve"> THIS DOCUMENT IS TO INCLUDE THE ABSTRACT TEXT </w:t>
      </w:r>
      <w:r w:rsidR="00B52E4E">
        <w:rPr>
          <w:b/>
          <w:bCs/>
          <w:sz w:val="24"/>
          <w:szCs w:val="24"/>
          <w:lang w:val="en-US"/>
        </w:rPr>
        <w:t>ONLY</w:t>
      </w:r>
      <w:r w:rsidR="00B52E4E">
        <w:rPr>
          <w:sz w:val="24"/>
          <w:szCs w:val="24"/>
          <w:lang w:val="en-US"/>
        </w:rPr>
        <w:t>.</w:t>
      </w:r>
    </w:p>
    <w:p w14:paraId="6DCE3254" w14:textId="5DAC34B0" w:rsidR="007B30E3" w:rsidRPr="007B30E3" w:rsidRDefault="007B30E3" w:rsidP="007B30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B30E3">
        <w:rPr>
          <w:sz w:val="24"/>
          <w:szCs w:val="24"/>
          <w:lang w:val="en-US"/>
        </w:rPr>
        <w:t>YOUR ABSTRACT MUST BE SUBMITTED USING THE HEADINGS ON THE FOLLOWING PAGE.</w:t>
      </w:r>
    </w:p>
    <w:p w14:paraId="2E5B5F16" w14:textId="23E037B5" w:rsidR="007B30E3" w:rsidRPr="007B30E3" w:rsidRDefault="007B30E3" w:rsidP="007B30E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B30E3">
        <w:rPr>
          <w:sz w:val="24"/>
          <w:szCs w:val="24"/>
          <w:lang w:val="en-US"/>
        </w:rPr>
        <w:t>YUR ABSTRACT WILL BE REJECTED IF IT DOES NOT CONFORM WITH THE FORMATTING GUIDELINES.</w:t>
      </w:r>
    </w:p>
    <w:p w14:paraId="2350E7E3" w14:textId="77777777" w:rsidR="007B30E3" w:rsidRPr="007B30E3" w:rsidRDefault="007B30E3" w:rsidP="007B30E3">
      <w:pPr>
        <w:jc w:val="center"/>
        <w:rPr>
          <w:sz w:val="32"/>
          <w:szCs w:val="32"/>
          <w:lang w:val="en-US"/>
        </w:rPr>
      </w:pPr>
    </w:p>
    <w:p w14:paraId="069DCB69" w14:textId="3BB76635" w:rsidR="007B30E3" w:rsidRPr="00C95030" w:rsidRDefault="007B30E3" w:rsidP="007B30E3">
      <w:pPr>
        <w:jc w:val="center"/>
        <w:rPr>
          <w:sz w:val="32"/>
          <w:szCs w:val="32"/>
          <w:u w:val="single"/>
          <w:lang w:val="en-US"/>
        </w:rPr>
      </w:pPr>
      <w:r w:rsidRPr="00C95030">
        <w:rPr>
          <w:sz w:val="32"/>
          <w:szCs w:val="32"/>
          <w:u w:val="single"/>
          <w:lang w:val="en-US"/>
        </w:rPr>
        <w:t>[DELETE THIS PAGE BEFORE SUBMITTING]</w:t>
      </w:r>
    </w:p>
    <w:p w14:paraId="721C4D77" w14:textId="77777777" w:rsidR="007B30E3" w:rsidRPr="007B30E3" w:rsidRDefault="007B30E3" w:rsidP="007B30E3">
      <w:pPr>
        <w:pStyle w:val="ListParagraph"/>
        <w:rPr>
          <w:lang w:val="en-US"/>
        </w:rPr>
      </w:pPr>
    </w:p>
    <w:p w14:paraId="404629E2" w14:textId="77777777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EF9506C" w14:textId="77777777" w:rsidR="00207BE6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Application</w:t>
      </w:r>
    </w:p>
    <w:p w14:paraId="098BF9E8" w14:textId="2A8B8AC5" w:rsidR="00207BE6" w:rsidRDefault="00207BE6">
      <w:pPr>
        <w:rPr>
          <w:b/>
          <w:bCs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R</w:t>
      </w:r>
      <w:r w:rsidRPr="000E0DF7">
        <w:rPr>
          <w:rFonts w:ascii="Times New Roman" w:hAnsi="Times New Roman" w:cs="Times New Roman"/>
          <w:sz w:val="18"/>
          <w:szCs w:val="18"/>
        </w:rPr>
        <w:t xml:space="preserve">uminant livestock </w:t>
      </w:r>
      <w:r>
        <w:rPr>
          <w:rFonts w:ascii="Times New Roman" w:hAnsi="Times New Roman" w:cs="Times New Roman"/>
          <w:sz w:val="18"/>
          <w:szCs w:val="18"/>
        </w:rPr>
        <w:t xml:space="preserve">contribute significantly </w:t>
      </w:r>
      <w:r w:rsidRPr="000E0DF7">
        <w:rPr>
          <w:rFonts w:ascii="Times New Roman" w:hAnsi="Times New Roman" w:cs="Times New Roman"/>
          <w:sz w:val="18"/>
          <w:szCs w:val="18"/>
        </w:rPr>
        <w:t>to agricultural greenhouse gas emissions</w:t>
      </w:r>
      <w:r>
        <w:rPr>
          <w:rFonts w:ascii="Times New Roman" w:hAnsi="Times New Roman" w:cs="Times New Roman"/>
          <w:sz w:val="18"/>
          <w:szCs w:val="18"/>
        </w:rPr>
        <w:t>. Direct abatement using antimethanogenic compounds could readily reduce emissions but must be stable and effective over time. Providing compounds in a stable form or carrier that can be routinely incorporated into diets provides a pathway to tangible mitigation outcomes.</w:t>
      </w:r>
    </w:p>
    <w:p w14:paraId="07C9ECB3" w14:textId="77777777" w:rsidR="007B30E3" w:rsidRDefault="007B30E3">
      <w:pPr>
        <w:rPr>
          <w:b/>
          <w:bCs/>
          <w:lang w:val="en-US"/>
        </w:rPr>
      </w:pPr>
    </w:p>
    <w:p w14:paraId="6E8BC951" w14:textId="77777777" w:rsidR="005A6B76" w:rsidRDefault="007B30E3" w:rsidP="005A6B76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745EE781" w14:textId="03B726FC" w:rsidR="005A6B76" w:rsidRPr="001B74FB" w:rsidRDefault="005A6B76" w:rsidP="005A6B76">
      <w:pPr>
        <w:rPr>
          <w:rFonts w:ascii="Times New Roman" w:hAnsi="Times New Roman" w:cs="Times New Roman"/>
          <w:sz w:val="18"/>
          <w:szCs w:val="18"/>
        </w:rPr>
      </w:pPr>
      <w:r w:rsidRPr="000E0DF7">
        <w:rPr>
          <w:rFonts w:ascii="Times New Roman" w:hAnsi="Times New Roman" w:cs="Times New Roman"/>
          <w:sz w:val="18"/>
          <w:szCs w:val="18"/>
        </w:rPr>
        <w:t xml:space="preserve">In Australia ruminant livestock </w:t>
      </w:r>
      <w:r>
        <w:rPr>
          <w:rFonts w:ascii="Times New Roman" w:hAnsi="Times New Roman" w:cs="Times New Roman"/>
          <w:sz w:val="18"/>
          <w:szCs w:val="18"/>
        </w:rPr>
        <w:t xml:space="preserve">contribute significantly </w:t>
      </w:r>
      <w:r w:rsidRPr="000E0DF7">
        <w:rPr>
          <w:rFonts w:ascii="Times New Roman" w:hAnsi="Times New Roman" w:cs="Times New Roman"/>
          <w:sz w:val="18"/>
          <w:szCs w:val="18"/>
        </w:rPr>
        <w:t xml:space="preserve">to agricultural greenhouse gas emissions. </w:t>
      </w:r>
      <w:r w:rsidRPr="00690484">
        <w:rPr>
          <w:rFonts w:ascii="Times New Roman" w:hAnsi="Times New Roman" w:cs="Times New Roman"/>
          <w:sz w:val="18"/>
          <w:szCs w:val="18"/>
        </w:rPr>
        <w:t xml:space="preserve">Halogenated compounds such as bromoform </w:t>
      </w:r>
      <w:r w:rsidRPr="00EC0494">
        <w:rPr>
          <w:rFonts w:ascii="Times New Roman" w:hAnsi="Times New Roman" w:cs="Times New Roman"/>
          <w:sz w:val="18"/>
          <w:szCs w:val="18"/>
        </w:rPr>
        <w:t>(CHBr</w:t>
      </w:r>
      <w:r w:rsidRPr="00EC0494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EC0494">
        <w:rPr>
          <w:rFonts w:ascii="Times New Roman" w:hAnsi="Times New Roman" w:cs="Times New Roman"/>
          <w:sz w:val="18"/>
          <w:szCs w:val="18"/>
        </w:rPr>
        <w:t xml:space="preserve">) </w:t>
      </w:r>
      <w:r w:rsidRPr="00690484">
        <w:rPr>
          <w:rFonts w:ascii="Times New Roman" w:hAnsi="Times New Roman" w:cs="Times New Roman"/>
          <w:sz w:val="18"/>
          <w:szCs w:val="18"/>
        </w:rPr>
        <w:t xml:space="preserve">have </w:t>
      </w:r>
      <w:r>
        <w:rPr>
          <w:rFonts w:ascii="Times New Roman" w:hAnsi="Times New Roman" w:cs="Times New Roman"/>
          <w:sz w:val="18"/>
          <w:szCs w:val="18"/>
        </w:rPr>
        <w:t xml:space="preserve">been shown to have </w:t>
      </w:r>
      <w:r w:rsidRPr="00690484">
        <w:rPr>
          <w:rFonts w:ascii="Times New Roman" w:hAnsi="Times New Roman" w:cs="Times New Roman"/>
          <w:sz w:val="18"/>
          <w:szCs w:val="18"/>
        </w:rPr>
        <w:t xml:space="preserve">potential as </w:t>
      </w:r>
      <w:r>
        <w:rPr>
          <w:rFonts w:ascii="Times New Roman" w:hAnsi="Times New Roman" w:cs="Times New Roman"/>
          <w:sz w:val="18"/>
          <w:szCs w:val="18"/>
        </w:rPr>
        <w:t xml:space="preserve">a </w:t>
      </w:r>
      <w:r w:rsidRPr="00690484">
        <w:rPr>
          <w:rFonts w:ascii="Times New Roman" w:hAnsi="Times New Roman" w:cs="Times New Roman"/>
          <w:sz w:val="18"/>
          <w:szCs w:val="18"/>
        </w:rPr>
        <w:t xml:space="preserve">feed additive for mitigating </w:t>
      </w:r>
      <w:r>
        <w:rPr>
          <w:rFonts w:ascii="Times New Roman" w:hAnsi="Times New Roman" w:cs="Times New Roman"/>
          <w:sz w:val="18"/>
          <w:szCs w:val="18"/>
        </w:rPr>
        <w:t xml:space="preserve">enteric </w:t>
      </w:r>
      <w:r w:rsidRPr="00690484">
        <w:rPr>
          <w:rFonts w:ascii="Times New Roman" w:hAnsi="Times New Roman" w:cs="Times New Roman"/>
          <w:sz w:val="18"/>
          <w:szCs w:val="18"/>
        </w:rPr>
        <w:t>methane</w:t>
      </w:r>
      <w:r>
        <w:rPr>
          <w:rFonts w:ascii="Times New Roman" w:hAnsi="Times New Roman" w:cs="Times New Roman"/>
          <w:sz w:val="18"/>
          <w:szCs w:val="18"/>
        </w:rPr>
        <w:t xml:space="preserve"> but are inherently volatile due to their chemical characteristics. Nevertheless, if</w:t>
      </w:r>
      <w:r w:rsidRPr="00CA1704">
        <w:rPr>
          <w:rFonts w:ascii="Times New Roman" w:hAnsi="Times New Roman" w:cs="Times New Roman"/>
          <w:sz w:val="18"/>
          <w:szCs w:val="18"/>
        </w:rPr>
        <w:t xml:space="preserve"> complexed </w:t>
      </w:r>
      <w:r>
        <w:rPr>
          <w:rFonts w:ascii="Times New Roman" w:hAnsi="Times New Roman" w:cs="Times New Roman"/>
          <w:sz w:val="18"/>
          <w:szCs w:val="18"/>
        </w:rPr>
        <w:t xml:space="preserve">into a stable carrier </w:t>
      </w:r>
      <w:r w:rsidRPr="00CA1704"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z w:val="18"/>
          <w:szCs w:val="18"/>
        </w:rPr>
        <w:t xml:space="preserve">se compounds could be incorporated into various feed preparations and </w:t>
      </w:r>
      <w:r w:rsidRPr="00CA1704">
        <w:rPr>
          <w:rFonts w:ascii="Times New Roman" w:hAnsi="Times New Roman" w:cs="Times New Roman"/>
          <w:sz w:val="18"/>
          <w:szCs w:val="18"/>
        </w:rPr>
        <w:t>release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CA1704">
        <w:rPr>
          <w:rFonts w:ascii="Times New Roman" w:hAnsi="Times New Roman" w:cs="Times New Roman"/>
          <w:sz w:val="18"/>
          <w:szCs w:val="18"/>
        </w:rPr>
        <w:t xml:space="preserve"> in the rumen </w:t>
      </w:r>
      <w:r>
        <w:rPr>
          <w:rFonts w:ascii="Times New Roman" w:hAnsi="Times New Roman" w:cs="Times New Roman"/>
          <w:sz w:val="18"/>
          <w:szCs w:val="18"/>
        </w:rPr>
        <w:t xml:space="preserve">to </w:t>
      </w:r>
      <w:r w:rsidRPr="00CA1704">
        <w:rPr>
          <w:rFonts w:ascii="Times New Roman" w:hAnsi="Times New Roman" w:cs="Times New Roman"/>
          <w:sz w:val="18"/>
          <w:szCs w:val="18"/>
        </w:rPr>
        <w:t>achieve</w:t>
      </w:r>
      <w:r>
        <w:rPr>
          <w:rFonts w:ascii="Times New Roman" w:hAnsi="Times New Roman" w:cs="Times New Roman"/>
          <w:sz w:val="18"/>
          <w:szCs w:val="18"/>
        </w:rPr>
        <w:t xml:space="preserve"> a direct abatement outcome and so contribute to reductions of agricultural emissions. </w:t>
      </w:r>
      <w:r w:rsidRPr="00CA1704">
        <w:rPr>
          <w:rFonts w:ascii="Times New Roman" w:hAnsi="Times New Roman" w:cs="Times New Roman"/>
          <w:sz w:val="18"/>
          <w:szCs w:val="18"/>
        </w:rPr>
        <w:t>The requirement for daily oral administration of</w:t>
      </w:r>
      <w:r>
        <w:rPr>
          <w:rFonts w:ascii="Times New Roman" w:hAnsi="Times New Roman" w:cs="Times New Roman"/>
          <w:sz w:val="18"/>
          <w:szCs w:val="18"/>
        </w:rPr>
        <w:t xml:space="preserve"> compounds may limit utility in extensive production systems but readily aligns with intensive systems such as dairy and feedlot.</w:t>
      </w:r>
      <w:r w:rsidRPr="001B74FB">
        <w:t xml:space="preserve"> </w:t>
      </w:r>
      <w:r w:rsidRPr="001B74FB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aim</w:t>
      </w:r>
      <w:r w:rsidRPr="001B74FB">
        <w:rPr>
          <w:rFonts w:ascii="Times New Roman" w:hAnsi="Times New Roman" w:cs="Times New Roman"/>
          <w:sz w:val="18"/>
          <w:szCs w:val="18"/>
        </w:rPr>
        <w:t xml:space="preserve"> of this study w</w:t>
      </w:r>
      <w:r>
        <w:rPr>
          <w:rFonts w:ascii="Times New Roman" w:hAnsi="Times New Roman" w:cs="Times New Roman"/>
          <w:sz w:val="18"/>
          <w:szCs w:val="18"/>
        </w:rPr>
        <w:t xml:space="preserve">as </w:t>
      </w:r>
      <w:r w:rsidRPr="001B74FB">
        <w:rPr>
          <w:rFonts w:ascii="Times New Roman" w:hAnsi="Times New Roman" w:cs="Times New Roman"/>
          <w:sz w:val="18"/>
          <w:szCs w:val="18"/>
        </w:rPr>
        <w:t xml:space="preserve">to identify </w:t>
      </w:r>
      <w:r>
        <w:rPr>
          <w:rFonts w:ascii="Times New Roman" w:hAnsi="Times New Roman" w:cs="Times New Roman"/>
          <w:sz w:val="18"/>
          <w:szCs w:val="18"/>
        </w:rPr>
        <w:t xml:space="preserve">a solid </w:t>
      </w:r>
      <w:r w:rsidRPr="001B74FB">
        <w:rPr>
          <w:rFonts w:ascii="Times New Roman" w:hAnsi="Times New Roman" w:cs="Times New Roman"/>
          <w:sz w:val="18"/>
          <w:szCs w:val="18"/>
        </w:rPr>
        <w:t>inert carrier</w:t>
      </w:r>
      <w:r>
        <w:rPr>
          <w:rFonts w:ascii="Times New Roman" w:hAnsi="Times New Roman" w:cs="Times New Roman"/>
          <w:sz w:val="18"/>
          <w:szCs w:val="18"/>
        </w:rPr>
        <w:t xml:space="preserve"> used to stabilise the antimethanogenic compound bromoform that would deliver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vitro</w:t>
      </w:r>
      <w:r>
        <w:rPr>
          <w:rFonts w:ascii="Times New Roman" w:hAnsi="Times New Roman" w:cs="Times New Roman"/>
          <w:sz w:val="18"/>
          <w:szCs w:val="18"/>
        </w:rPr>
        <w:t xml:space="preserve"> abatement and could progress to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vivo</w:t>
      </w:r>
      <w:r>
        <w:rPr>
          <w:rFonts w:ascii="Times New Roman" w:hAnsi="Times New Roman" w:cs="Times New Roman"/>
          <w:sz w:val="18"/>
          <w:szCs w:val="18"/>
        </w:rPr>
        <w:t xml:space="preserve"> application.</w:t>
      </w: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362452A9" w14:textId="4A45FD22" w:rsidR="005A6B76" w:rsidRPr="00D947D1" w:rsidRDefault="005A6B76" w:rsidP="005A6B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Two solid inert carriers [activated carbon (AC), polymer resin (PR)] containing bromoform (15% w/w) </w:t>
      </w:r>
      <w:r w:rsidRPr="007644F4">
        <w:rPr>
          <w:rFonts w:ascii="Times New Roman" w:hAnsi="Times New Roman" w:cs="Times New Roman"/>
          <w:sz w:val="18"/>
          <w:szCs w:val="18"/>
        </w:rPr>
        <w:t xml:space="preserve">were dosed </w:t>
      </w:r>
      <w:r>
        <w:rPr>
          <w:rFonts w:ascii="Times New Roman" w:hAnsi="Times New Roman" w:cs="Times New Roman"/>
          <w:sz w:val="18"/>
          <w:szCs w:val="18"/>
        </w:rPr>
        <w:t xml:space="preserve">daily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vitro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644F4">
        <w:rPr>
          <w:rFonts w:ascii="Times New Roman" w:hAnsi="Times New Roman" w:cs="Times New Roman"/>
          <w:sz w:val="18"/>
          <w:szCs w:val="18"/>
        </w:rPr>
        <w:t xml:space="preserve">at a low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644F4">
        <w:rPr>
          <w:rFonts w:ascii="Times New Roman" w:hAnsi="Times New Roman" w:cs="Times New Roman"/>
          <w:sz w:val="18"/>
          <w:szCs w:val="18"/>
        </w:rPr>
        <w:t xml:space="preserve">L) or high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644F4">
        <w:rPr>
          <w:rFonts w:ascii="Times New Roman" w:hAnsi="Times New Roman" w:cs="Times New Roman"/>
          <w:sz w:val="18"/>
          <w:szCs w:val="18"/>
        </w:rPr>
        <w:t xml:space="preserve">H) concentration, creating </w:t>
      </w:r>
      <w:r>
        <w:rPr>
          <w:rFonts w:ascii="Times New Roman" w:hAnsi="Times New Roman" w:cs="Times New Roman"/>
          <w:sz w:val="18"/>
          <w:szCs w:val="18"/>
        </w:rPr>
        <w:t>four</w:t>
      </w:r>
      <w:r w:rsidRPr="007644F4">
        <w:rPr>
          <w:rFonts w:ascii="Times New Roman" w:hAnsi="Times New Roman" w:cs="Times New Roman"/>
          <w:sz w:val="18"/>
          <w:szCs w:val="18"/>
        </w:rPr>
        <w:t xml:space="preserve"> treatments; ACL, ACH, PR</w:t>
      </w:r>
      <w:r>
        <w:rPr>
          <w:rFonts w:ascii="Times New Roman" w:hAnsi="Times New Roman" w:cs="Times New Roman"/>
          <w:sz w:val="18"/>
          <w:szCs w:val="18"/>
        </w:rPr>
        <w:t>L</w:t>
      </w:r>
      <w:r w:rsidRPr="007644F4">
        <w:rPr>
          <w:rFonts w:ascii="Times New Roman" w:hAnsi="Times New Roman" w:cs="Times New Roman"/>
          <w:sz w:val="18"/>
          <w:szCs w:val="18"/>
        </w:rPr>
        <w:t xml:space="preserve"> and PR</w:t>
      </w:r>
      <w:r>
        <w:rPr>
          <w:rFonts w:ascii="Times New Roman" w:hAnsi="Times New Roman" w:cs="Times New Roman"/>
          <w:sz w:val="18"/>
          <w:szCs w:val="18"/>
        </w:rPr>
        <w:t>H</w:t>
      </w:r>
      <w:r w:rsidRPr="007644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equivalent to </w:t>
      </w:r>
      <w:r w:rsidRPr="007644F4">
        <w:rPr>
          <w:rFonts w:ascii="Times New Roman" w:hAnsi="Times New Roman" w:cs="Times New Roman"/>
          <w:sz w:val="18"/>
          <w:szCs w:val="18"/>
        </w:rPr>
        <w:t xml:space="preserve">12.6 and 25.2 mg </w:t>
      </w:r>
      <w:r>
        <w:rPr>
          <w:rFonts w:ascii="Times New Roman" w:hAnsi="Times New Roman" w:cs="Times New Roman"/>
          <w:sz w:val="18"/>
          <w:szCs w:val="18"/>
        </w:rPr>
        <w:t>CHBr</w:t>
      </w:r>
      <w:r w:rsidRPr="007644F4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644F4">
        <w:rPr>
          <w:rFonts w:ascii="Times New Roman" w:hAnsi="Times New Roman" w:cs="Times New Roman"/>
          <w:sz w:val="18"/>
          <w:szCs w:val="18"/>
        </w:rPr>
        <w:t xml:space="preserve">/kg </w:t>
      </w:r>
      <w:r>
        <w:rPr>
          <w:rFonts w:ascii="Times New Roman" w:hAnsi="Times New Roman" w:cs="Times New Roman"/>
          <w:sz w:val="18"/>
          <w:szCs w:val="18"/>
        </w:rPr>
        <w:t xml:space="preserve">DM </w:t>
      </w:r>
      <w:r w:rsidRPr="007644F4">
        <w:rPr>
          <w:rFonts w:ascii="Times New Roman" w:hAnsi="Times New Roman" w:cs="Times New Roman"/>
          <w:sz w:val="18"/>
          <w:szCs w:val="18"/>
        </w:rPr>
        <w:t>for low and high dose</w:t>
      </w:r>
      <w:r>
        <w:rPr>
          <w:rFonts w:ascii="Times New Roman" w:hAnsi="Times New Roman" w:cs="Times New Roman"/>
          <w:sz w:val="18"/>
          <w:szCs w:val="18"/>
        </w:rPr>
        <w:t xml:space="preserve">s, respectively. </w:t>
      </w:r>
      <w:r w:rsidRPr="007644F4">
        <w:rPr>
          <w:rFonts w:ascii="Times New Roman" w:hAnsi="Times New Roman" w:cs="Times New Roman"/>
          <w:sz w:val="18"/>
          <w:szCs w:val="18"/>
        </w:rPr>
        <w:t xml:space="preserve">A substrate only treatment </w:t>
      </w:r>
      <w:r>
        <w:rPr>
          <w:rFonts w:ascii="Times New Roman" w:hAnsi="Times New Roman" w:cs="Times New Roman"/>
          <w:sz w:val="18"/>
          <w:szCs w:val="18"/>
        </w:rPr>
        <w:t xml:space="preserve">of 30 g ground oaten chaff </w:t>
      </w:r>
      <w:r w:rsidRPr="007644F4">
        <w:rPr>
          <w:rFonts w:ascii="Times New Roman" w:hAnsi="Times New Roman" w:cs="Times New Roman"/>
          <w:sz w:val="18"/>
          <w:szCs w:val="18"/>
        </w:rPr>
        <w:t xml:space="preserve">was </w:t>
      </w:r>
      <w:r>
        <w:rPr>
          <w:rFonts w:ascii="Times New Roman" w:hAnsi="Times New Roman" w:cs="Times New Roman"/>
          <w:sz w:val="18"/>
          <w:szCs w:val="18"/>
        </w:rPr>
        <w:t xml:space="preserve">used </w:t>
      </w:r>
      <w:r w:rsidRPr="007644F4">
        <w:rPr>
          <w:rFonts w:ascii="Times New Roman" w:hAnsi="Times New Roman" w:cs="Times New Roman"/>
          <w:sz w:val="18"/>
          <w:szCs w:val="18"/>
        </w:rPr>
        <w:t>as a control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644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Treatments were</w:t>
      </w:r>
      <w:r w:rsidRPr="007644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incubated </w:t>
      </w:r>
      <w:r w:rsidRPr="007644F4">
        <w:rPr>
          <w:rFonts w:ascii="Times New Roman" w:hAnsi="Times New Roman" w:cs="Times New Roman"/>
          <w:sz w:val="18"/>
          <w:szCs w:val="18"/>
        </w:rPr>
        <w:t>in triplicate</w:t>
      </w:r>
      <w:r>
        <w:rPr>
          <w:rFonts w:ascii="Times New Roman" w:hAnsi="Times New Roman" w:cs="Times New Roman"/>
          <w:sz w:val="18"/>
          <w:szCs w:val="18"/>
        </w:rPr>
        <w:t xml:space="preserve"> in </w:t>
      </w:r>
      <w:r w:rsidRPr="00CF05D9">
        <w:rPr>
          <w:rFonts w:ascii="Times New Roman" w:hAnsi="Times New Roman" w:cs="Times New Roman"/>
          <w:sz w:val="18"/>
          <w:szCs w:val="18"/>
        </w:rPr>
        <w:t xml:space="preserve">50 µm pore size nylon </w:t>
      </w:r>
      <w:r>
        <w:rPr>
          <w:rFonts w:ascii="Times New Roman" w:hAnsi="Times New Roman" w:cs="Times New Roman"/>
          <w:sz w:val="18"/>
          <w:szCs w:val="18"/>
        </w:rPr>
        <w:t xml:space="preserve">bags using </w:t>
      </w:r>
      <w:r w:rsidRPr="007644F4">
        <w:rPr>
          <w:rFonts w:ascii="Times New Roman" w:hAnsi="Times New Roman" w:cs="Times New Roman"/>
          <w:sz w:val="18"/>
          <w:szCs w:val="18"/>
        </w:rPr>
        <w:t>an artificial rumen simulation technique (RUSITE</w:t>
      </w:r>
      <w:r>
        <w:rPr>
          <w:rFonts w:ascii="Times New Roman" w:hAnsi="Times New Roman" w:cs="Times New Roman"/>
          <w:sz w:val="18"/>
          <w:szCs w:val="18"/>
        </w:rPr>
        <w:t>C) for 14 days</w:t>
      </w:r>
      <w:r w:rsidRPr="007644F4">
        <w:rPr>
          <w:rFonts w:ascii="Times New Roman" w:hAnsi="Times New Roman" w:cs="Times New Roman"/>
          <w:sz w:val="18"/>
          <w:szCs w:val="18"/>
        </w:rPr>
        <w:t xml:space="preserve"> to assess methane </w:t>
      </w:r>
      <w:r>
        <w:rPr>
          <w:rFonts w:ascii="Times New Roman" w:hAnsi="Times New Roman" w:cs="Times New Roman"/>
          <w:sz w:val="18"/>
          <w:szCs w:val="18"/>
        </w:rPr>
        <w:t xml:space="preserve">mitigation. The </w:t>
      </w:r>
      <w:r w:rsidRPr="00D947D1">
        <w:rPr>
          <w:rFonts w:ascii="Times New Roman" w:hAnsi="Times New Roman" w:cs="Times New Roman"/>
          <w:sz w:val="18"/>
          <w:szCs w:val="18"/>
        </w:rPr>
        <w:t xml:space="preserve">RUSITEC system was </w:t>
      </w:r>
      <w:r>
        <w:rPr>
          <w:rFonts w:ascii="Times New Roman" w:hAnsi="Times New Roman" w:cs="Times New Roman"/>
          <w:sz w:val="18"/>
          <w:szCs w:val="18"/>
        </w:rPr>
        <w:t xml:space="preserve">initiated </w:t>
      </w:r>
      <w:r w:rsidRPr="00D947D1">
        <w:rPr>
          <w:rFonts w:ascii="Times New Roman" w:hAnsi="Times New Roman" w:cs="Times New Roman"/>
          <w:sz w:val="18"/>
          <w:szCs w:val="18"/>
        </w:rPr>
        <w:t xml:space="preserve">and maintained as described by Garcia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et al.,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947D1">
        <w:rPr>
          <w:rFonts w:ascii="Times New Roman" w:hAnsi="Times New Roman" w:cs="Times New Roman"/>
          <w:sz w:val="18"/>
          <w:szCs w:val="18"/>
        </w:rPr>
        <w:t xml:space="preserve">(2019). A constant flow of buffer into </w:t>
      </w:r>
      <w:r>
        <w:rPr>
          <w:rFonts w:ascii="Times New Roman" w:hAnsi="Times New Roman" w:cs="Times New Roman"/>
          <w:sz w:val="18"/>
          <w:szCs w:val="18"/>
        </w:rPr>
        <w:t xml:space="preserve">each </w:t>
      </w:r>
      <w:r w:rsidRPr="00D947D1">
        <w:rPr>
          <w:rFonts w:ascii="Times New Roman" w:hAnsi="Times New Roman" w:cs="Times New Roman"/>
          <w:sz w:val="18"/>
          <w:szCs w:val="18"/>
        </w:rPr>
        <w:t>fermenter maintain</w:t>
      </w:r>
      <w:r>
        <w:rPr>
          <w:rFonts w:ascii="Times New Roman" w:hAnsi="Times New Roman" w:cs="Times New Roman"/>
          <w:sz w:val="18"/>
          <w:szCs w:val="18"/>
        </w:rPr>
        <w:t xml:space="preserve">ed </w:t>
      </w:r>
      <w:r w:rsidRPr="00D947D1">
        <w:rPr>
          <w:rFonts w:ascii="Times New Roman" w:hAnsi="Times New Roman" w:cs="Times New Roman"/>
          <w:sz w:val="18"/>
          <w:szCs w:val="18"/>
        </w:rPr>
        <w:t xml:space="preserve">pH of 6.0 – 7.0. </w:t>
      </w:r>
      <w:r>
        <w:rPr>
          <w:rFonts w:ascii="Times New Roman" w:hAnsi="Times New Roman" w:cs="Times New Roman"/>
          <w:sz w:val="18"/>
          <w:szCs w:val="18"/>
        </w:rPr>
        <w:t>G</w:t>
      </w:r>
      <w:r w:rsidRPr="00D947D1">
        <w:rPr>
          <w:rFonts w:ascii="Times New Roman" w:hAnsi="Times New Roman" w:cs="Times New Roman"/>
          <w:sz w:val="18"/>
          <w:szCs w:val="18"/>
        </w:rPr>
        <w:t>as produced by each fermenter was measured daily</w:t>
      </w:r>
      <w:r>
        <w:rPr>
          <w:rFonts w:ascii="Times New Roman" w:hAnsi="Times New Roman" w:cs="Times New Roman"/>
          <w:sz w:val="18"/>
          <w:szCs w:val="18"/>
        </w:rPr>
        <w:t xml:space="preserve">, sub </w:t>
      </w:r>
      <w:r w:rsidRPr="00D947D1">
        <w:rPr>
          <w:rFonts w:ascii="Times New Roman" w:hAnsi="Times New Roman" w:cs="Times New Roman"/>
          <w:sz w:val="18"/>
          <w:szCs w:val="18"/>
        </w:rPr>
        <w:t>sample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D947D1">
        <w:rPr>
          <w:rFonts w:ascii="Times New Roman" w:hAnsi="Times New Roman" w:cs="Times New Roman"/>
          <w:sz w:val="18"/>
          <w:szCs w:val="18"/>
        </w:rPr>
        <w:t xml:space="preserve"> for methane quantification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947D1">
        <w:rPr>
          <w:rFonts w:ascii="Times New Roman" w:hAnsi="Times New Roman" w:cs="Times New Roman"/>
          <w:sz w:val="18"/>
          <w:szCs w:val="18"/>
        </w:rPr>
        <w:t xml:space="preserve"> fermentation fluid collected for analysis of VFA at three time</w:t>
      </w:r>
      <w:r>
        <w:rPr>
          <w:rFonts w:ascii="Times New Roman" w:hAnsi="Times New Roman" w:cs="Times New Roman"/>
          <w:sz w:val="18"/>
          <w:szCs w:val="18"/>
        </w:rPr>
        <w:t xml:space="preserve"> points over 14 days and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vitro</w:t>
      </w:r>
      <w:r>
        <w:rPr>
          <w:rFonts w:ascii="Times New Roman" w:hAnsi="Times New Roman" w:cs="Times New Roman"/>
          <w:sz w:val="18"/>
          <w:szCs w:val="18"/>
        </w:rPr>
        <w:t xml:space="preserve"> NDF, ADF and DM degradability calculated.</w:t>
      </w:r>
      <w:r w:rsidRPr="00D947D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970619">
        <w:rPr>
          <w:rFonts w:ascii="Times New Roman" w:hAnsi="Times New Roman" w:cs="Times New Roman"/>
          <w:sz w:val="18"/>
          <w:szCs w:val="18"/>
        </w:rPr>
        <w:t>ata w</w:t>
      </w:r>
      <w:r>
        <w:rPr>
          <w:rFonts w:ascii="Times New Roman" w:hAnsi="Times New Roman" w:cs="Times New Roman"/>
          <w:sz w:val="18"/>
          <w:szCs w:val="18"/>
        </w:rPr>
        <w:t>ere</w:t>
      </w:r>
      <w:r w:rsidRPr="00970619">
        <w:rPr>
          <w:rFonts w:ascii="Times New Roman" w:hAnsi="Times New Roman" w:cs="Times New Roman"/>
          <w:sz w:val="18"/>
          <w:szCs w:val="18"/>
        </w:rPr>
        <w:t xml:space="preserve"> analysed</w:t>
      </w:r>
      <w:r w:rsidR="004570A7">
        <w:rPr>
          <w:rFonts w:ascii="Times New Roman" w:hAnsi="Times New Roman" w:cs="Times New Roman"/>
          <w:sz w:val="18"/>
          <w:szCs w:val="18"/>
        </w:rPr>
        <w:t xml:space="preserve"> </w:t>
      </w:r>
      <w:r w:rsidRPr="00970619">
        <w:rPr>
          <w:rFonts w:ascii="Times New Roman" w:hAnsi="Times New Roman" w:cs="Times New Roman"/>
          <w:sz w:val="18"/>
          <w:szCs w:val="18"/>
        </w:rPr>
        <w:t xml:space="preserve">per timepoint using one-way ANOVA </w:t>
      </w:r>
      <w:r w:rsidR="008463E8">
        <w:rPr>
          <w:rFonts w:ascii="Times New Roman" w:hAnsi="Times New Roman" w:cs="Times New Roman"/>
          <w:sz w:val="18"/>
          <w:szCs w:val="18"/>
        </w:rPr>
        <w:t xml:space="preserve">in JMP V15.20 (SAS Inst.) </w:t>
      </w:r>
      <w:r w:rsidRPr="00970619">
        <w:rPr>
          <w:rFonts w:ascii="Times New Roman" w:hAnsi="Times New Roman" w:cs="Times New Roman"/>
          <w:sz w:val="18"/>
          <w:szCs w:val="18"/>
        </w:rPr>
        <w:t xml:space="preserve">with treatments as fixed factors and methane concentration, production, total gas, </w:t>
      </w:r>
      <w:r>
        <w:rPr>
          <w:rFonts w:ascii="Times New Roman" w:hAnsi="Times New Roman" w:cs="Times New Roman"/>
          <w:sz w:val="18"/>
          <w:szCs w:val="18"/>
        </w:rPr>
        <w:t xml:space="preserve">and VFA profile </w:t>
      </w:r>
      <w:r w:rsidRPr="00970619">
        <w:rPr>
          <w:rFonts w:ascii="Times New Roman" w:hAnsi="Times New Roman" w:cs="Times New Roman"/>
          <w:sz w:val="18"/>
          <w:szCs w:val="18"/>
        </w:rPr>
        <w:t>as variables. A Tukey-Kramer HSD pairwise comparison was used when means differed (</w:t>
      </w:r>
      <w:r w:rsidRPr="008C4C14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970619">
        <w:rPr>
          <w:rFonts w:ascii="Times New Roman" w:hAnsi="Times New Roman" w:cs="Times New Roman"/>
          <w:sz w:val="18"/>
          <w:szCs w:val="18"/>
        </w:rPr>
        <w:t>&lt;0.05)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484F0F4D" w14:textId="77777777" w:rsidR="005A6B76" w:rsidRPr="00CC6B9D" w:rsidRDefault="005A6B76" w:rsidP="005A6B76">
      <w:pPr>
        <w:rPr>
          <w:rFonts w:ascii="Times New Roman" w:hAnsi="Times New Roman" w:cs="Times New Roman"/>
          <w:sz w:val="18"/>
          <w:szCs w:val="18"/>
        </w:rPr>
      </w:pPr>
      <w:r w:rsidRPr="00CC6B9D">
        <w:rPr>
          <w:rFonts w:ascii="Times New Roman" w:hAnsi="Times New Roman" w:cs="Times New Roman"/>
          <w:sz w:val="18"/>
          <w:szCs w:val="18"/>
        </w:rPr>
        <w:t xml:space="preserve">All </w:t>
      </w:r>
      <w:r>
        <w:rPr>
          <w:rFonts w:ascii="Times New Roman" w:hAnsi="Times New Roman" w:cs="Times New Roman"/>
          <w:sz w:val="18"/>
          <w:szCs w:val="18"/>
        </w:rPr>
        <w:t xml:space="preserve">carrier types supported significant </w:t>
      </w:r>
      <w:r w:rsidRPr="00CC6B9D">
        <w:rPr>
          <w:rFonts w:ascii="Times New Roman" w:hAnsi="Times New Roman" w:cs="Times New Roman"/>
          <w:sz w:val="18"/>
          <w:szCs w:val="18"/>
        </w:rPr>
        <w:t>reduc</w:t>
      </w:r>
      <w:r>
        <w:rPr>
          <w:rFonts w:ascii="Times New Roman" w:hAnsi="Times New Roman" w:cs="Times New Roman"/>
          <w:sz w:val="18"/>
          <w:szCs w:val="18"/>
        </w:rPr>
        <w:t xml:space="preserve">tions in </w:t>
      </w:r>
      <w:r w:rsidRPr="00CC6B9D">
        <w:rPr>
          <w:rFonts w:ascii="Times New Roman" w:hAnsi="Times New Roman" w:cs="Times New Roman"/>
          <w:sz w:val="18"/>
          <w:szCs w:val="18"/>
        </w:rPr>
        <w:t>methane concentration and yield (</w:t>
      </w:r>
      <w:r w:rsidRPr="008C4C14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CC6B9D">
        <w:rPr>
          <w:rFonts w:ascii="Times New Roman" w:hAnsi="Times New Roman" w:cs="Times New Roman"/>
          <w:sz w:val="18"/>
          <w:szCs w:val="18"/>
        </w:rPr>
        <w:t xml:space="preserve">&lt;0.05). </w:t>
      </w:r>
      <w:r>
        <w:rPr>
          <w:rFonts w:ascii="Times New Roman" w:hAnsi="Times New Roman" w:cs="Times New Roman"/>
          <w:sz w:val="18"/>
          <w:szCs w:val="18"/>
        </w:rPr>
        <w:t xml:space="preserve">The AC carrier delivered </w:t>
      </w:r>
      <w:r w:rsidRPr="00CC6B9D">
        <w:rPr>
          <w:rFonts w:ascii="Times New Roman" w:hAnsi="Times New Roman" w:cs="Times New Roman"/>
          <w:sz w:val="18"/>
          <w:szCs w:val="18"/>
        </w:rPr>
        <w:t xml:space="preserve">the greatest and most persistent </w:t>
      </w:r>
      <w:r>
        <w:rPr>
          <w:rFonts w:ascii="Times New Roman" w:hAnsi="Times New Roman" w:cs="Times New Roman"/>
          <w:sz w:val="18"/>
          <w:szCs w:val="18"/>
        </w:rPr>
        <w:t xml:space="preserve">mitigation </w:t>
      </w:r>
      <w:r w:rsidRPr="00CC6B9D">
        <w:rPr>
          <w:rFonts w:ascii="Times New Roman" w:hAnsi="Times New Roman" w:cs="Times New Roman"/>
          <w:sz w:val="18"/>
          <w:szCs w:val="18"/>
        </w:rPr>
        <w:t>effect</w:t>
      </w:r>
      <w:r>
        <w:rPr>
          <w:rFonts w:ascii="Times New Roman" w:hAnsi="Times New Roman" w:cs="Times New Roman"/>
          <w:sz w:val="18"/>
          <w:szCs w:val="18"/>
        </w:rPr>
        <w:t xml:space="preserve"> regardless of concentration with </w:t>
      </w:r>
      <w:r w:rsidRPr="00CC6B9D">
        <w:rPr>
          <w:rFonts w:ascii="Times New Roman" w:hAnsi="Times New Roman" w:cs="Times New Roman"/>
          <w:sz w:val="18"/>
          <w:szCs w:val="18"/>
        </w:rPr>
        <w:t xml:space="preserve">mean reductions </w:t>
      </w:r>
      <w:r>
        <w:rPr>
          <w:rFonts w:ascii="Times New Roman" w:hAnsi="Times New Roman" w:cs="Times New Roman"/>
          <w:sz w:val="18"/>
          <w:szCs w:val="18"/>
        </w:rPr>
        <w:t xml:space="preserve">of </w:t>
      </w:r>
      <w:r w:rsidRPr="00CC6B9D">
        <w:rPr>
          <w:rFonts w:ascii="Times New Roman" w:hAnsi="Times New Roman" w:cs="Times New Roman"/>
          <w:sz w:val="18"/>
          <w:szCs w:val="18"/>
        </w:rPr>
        <w:t xml:space="preserve">89-91% in the first week and </w:t>
      </w:r>
      <w:r>
        <w:rPr>
          <w:rFonts w:ascii="Times New Roman" w:hAnsi="Times New Roman" w:cs="Times New Roman"/>
          <w:sz w:val="18"/>
          <w:szCs w:val="18"/>
        </w:rPr>
        <w:t xml:space="preserve">despite withdrawal </w:t>
      </w:r>
      <w:r w:rsidRPr="00CC6B9D">
        <w:rPr>
          <w:rFonts w:ascii="Times New Roman" w:hAnsi="Times New Roman" w:cs="Times New Roman"/>
          <w:sz w:val="18"/>
          <w:szCs w:val="18"/>
        </w:rPr>
        <w:t>of ACH during the second week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C6B9D">
        <w:rPr>
          <w:rFonts w:ascii="Times New Roman" w:hAnsi="Times New Roman" w:cs="Times New Roman"/>
          <w:sz w:val="18"/>
          <w:szCs w:val="18"/>
        </w:rPr>
        <w:t>97-99%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CC6B9D">
        <w:rPr>
          <w:rFonts w:ascii="Times New Roman" w:hAnsi="Times New Roman" w:cs="Times New Roman"/>
          <w:sz w:val="18"/>
          <w:szCs w:val="18"/>
        </w:rPr>
        <w:t xml:space="preserve"> indicating a carry-over effect. Treatment PRH demonstrated a mean reduction in methane yield of 76%, during the first week, however, </w:t>
      </w:r>
      <w:r>
        <w:rPr>
          <w:rFonts w:ascii="Times New Roman" w:hAnsi="Times New Roman" w:cs="Times New Roman"/>
          <w:sz w:val="18"/>
          <w:szCs w:val="18"/>
        </w:rPr>
        <w:t xml:space="preserve">this </w:t>
      </w:r>
      <w:r w:rsidRPr="00CC6B9D">
        <w:rPr>
          <w:rFonts w:ascii="Times New Roman" w:hAnsi="Times New Roman" w:cs="Times New Roman"/>
          <w:sz w:val="18"/>
          <w:szCs w:val="18"/>
        </w:rPr>
        <w:t>diminished to 41%, in the second week. There was a delay of at least 72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6B9D">
        <w:rPr>
          <w:rFonts w:ascii="Times New Roman" w:hAnsi="Times New Roman" w:cs="Times New Roman"/>
          <w:sz w:val="18"/>
          <w:szCs w:val="18"/>
        </w:rPr>
        <w:t xml:space="preserve">h </w:t>
      </w:r>
      <w:r>
        <w:rPr>
          <w:rFonts w:ascii="Times New Roman" w:hAnsi="Times New Roman" w:cs="Times New Roman"/>
          <w:sz w:val="18"/>
          <w:szCs w:val="18"/>
        </w:rPr>
        <w:t>to achieve 16-18% methane reductions</w:t>
      </w:r>
      <w:r w:rsidRPr="00CC6B9D">
        <w:rPr>
          <w:rFonts w:ascii="Times New Roman" w:hAnsi="Times New Roman" w:cs="Times New Roman"/>
          <w:sz w:val="18"/>
          <w:szCs w:val="18"/>
        </w:rPr>
        <w:t xml:space="preserve"> for PRL</w:t>
      </w:r>
      <w:r>
        <w:rPr>
          <w:rFonts w:ascii="Times New Roman" w:hAnsi="Times New Roman" w:cs="Times New Roman"/>
          <w:sz w:val="18"/>
          <w:szCs w:val="18"/>
        </w:rPr>
        <w:t xml:space="preserve"> compared with other carrier combinations that demonstrated an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vitro</w:t>
      </w:r>
      <w:r>
        <w:rPr>
          <w:rFonts w:ascii="Times New Roman" w:hAnsi="Times New Roman" w:cs="Times New Roman"/>
          <w:sz w:val="18"/>
          <w:szCs w:val="18"/>
        </w:rPr>
        <w:t xml:space="preserve"> effect within 48 h</w:t>
      </w:r>
      <w:r w:rsidRPr="00CC6B9D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Carrier type did not influence </w:t>
      </w:r>
      <w:r w:rsidRPr="00D66FD7">
        <w:rPr>
          <w:rFonts w:ascii="Times New Roman" w:hAnsi="Times New Roman" w:cs="Times New Roman"/>
          <w:sz w:val="18"/>
          <w:szCs w:val="18"/>
        </w:rPr>
        <w:t>(p&gt;0.05) NDF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D66FD7">
        <w:rPr>
          <w:rFonts w:ascii="Times New Roman" w:hAnsi="Times New Roman" w:cs="Times New Roman"/>
          <w:sz w:val="18"/>
          <w:szCs w:val="18"/>
        </w:rPr>
        <w:t xml:space="preserve"> ADF </w:t>
      </w:r>
      <w:r>
        <w:rPr>
          <w:rFonts w:ascii="Times New Roman" w:hAnsi="Times New Roman" w:cs="Times New Roman"/>
          <w:sz w:val="18"/>
          <w:szCs w:val="18"/>
        </w:rPr>
        <w:t xml:space="preserve">or DM degradation </w:t>
      </w:r>
      <w:r w:rsidRPr="00D66FD7">
        <w:rPr>
          <w:rFonts w:ascii="Times New Roman" w:hAnsi="Times New Roman" w:cs="Times New Roman"/>
          <w:sz w:val="18"/>
          <w:szCs w:val="18"/>
        </w:rPr>
        <w:t xml:space="preserve">compared </w:t>
      </w:r>
      <w:r>
        <w:rPr>
          <w:rFonts w:ascii="Times New Roman" w:hAnsi="Times New Roman" w:cs="Times New Roman"/>
          <w:sz w:val="18"/>
          <w:szCs w:val="18"/>
        </w:rPr>
        <w:t>with</w:t>
      </w:r>
      <w:r w:rsidRPr="00D66FD7">
        <w:rPr>
          <w:rFonts w:ascii="Times New Roman" w:hAnsi="Times New Roman" w:cs="Times New Roman"/>
          <w:sz w:val="18"/>
          <w:szCs w:val="18"/>
        </w:rPr>
        <w:t xml:space="preserve"> the control </w:t>
      </w:r>
      <w:r>
        <w:rPr>
          <w:rFonts w:ascii="Times New Roman" w:hAnsi="Times New Roman" w:cs="Times New Roman"/>
          <w:sz w:val="18"/>
          <w:szCs w:val="18"/>
        </w:rPr>
        <w:t>across s</w:t>
      </w:r>
      <w:r w:rsidRPr="00D66FD7">
        <w:rPr>
          <w:rFonts w:ascii="Times New Roman" w:hAnsi="Times New Roman" w:cs="Times New Roman"/>
          <w:sz w:val="18"/>
          <w:szCs w:val="18"/>
        </w:rPr>
        <w:t xml:space="preserve">ampling timepoints. Total </w:t>
      </w:r>
      <w:r>
        <w:rPr>
          <w:rFonts w:ascii="Times New Roman" w:hAnsi="Times New Roman" w:cs="Times New Roman"/>
          <w:sz w:val="18"/>
          <w:szCs w:val="18"/>
        </w:rPr>
        <w:t xml:space="preserve">mean </w:t>
      </w:r>
      <w:r w:rsidRPr="00D66FD7">
        <w:rPr>
          <w:rFonts w:ascii="Times New Roman" w:hAnsi="Times New Roman" w:cs="Times New Roman"/>
          <w:sz w:val="18"/>
          <w:szCs w:val="18"/>
        </w:rPr>
        <w:t xml:space="preserve">VFA concentrations were similar (p&gt;0.05) between all treatments </w:t>
      </w:r>
      <w:r>
        <w:rPr>
          <w:rFonts w:ascii="Times New Roman" w:hAnsi="Times New Roman" w:cs="Times New Roman"/>
          <w:sz w:val="18"/>
          <w:szCs w:val="18"/>
        </w:rPr>
        <w:t xml:space="preserve">(104 mmol/L) </w:t>
      </w:r>
      <w:r w:rsidRPr="00D66FD7">
        <w:rPr>
          <w:rFonts w:ascii="Times New Roman" w:hAnsi="Times New Roman" w:cs="Times New Roman"/>
          <w:sz w:val="18"/>
          <w:szCs w:val="18"/>
        </w:rPr>
        <w:t xml:space="preserve">and control </w:t>
      </w:r>
      <w:r>
        <w:rPr>
          <w:rFonts w:ascii="Times New Roman" w:hAnsi="Times New Roman" w:cs="Times New Roman"/>
          <w:sz w:val="18"/>
          <w:szCs w:val="18"/>
        </w:rPr>
        <w:t xml:space="preserve">(101 mmol/L) </w:t>
      </w:r>
      <w:r w:rsidRPr="00D66FD7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cross </w:t>
      </w:r>
      <w:r w:rsidRPr="00D66FD7">
        <w:rPr>
          <w:rFonts w:ascii="Times New Roman" w:hAnsi="Times New Roman" w:cs="Times New Roman"/>
          <w:sz w:val="18"/>
          <w:szCs w:val="18"/>
        </w:rPr>
        <w:t>sampling timepoints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CC6B9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An </w:t>
      </w:r>
      <w:r w:rsidRPr="00CC6B9D">
        <w:rPr>
          <w:rFonts w:ascii="Times New Roman" w:hAnsi="Times New Roman" w:cs="Times New Roman"/>
          <w:sz w:val="18"/>
          <w:szCs w:val="18"/>
        </w:rPr>
        <w:t xml:space="preserve">antimethanogenic activity of all treatments </w:t>
      </w:r>
      <w:r>
        <w:rPr>
          <w:rFonts w:ascii="Times New Roman" w:hAnsi="Times New Roman" w:cs="Times New Roman"/>
          <w:sz w:val="18"/>
          <w:szCs w:val="18"/>
        </w:rPr>
        <w:t xml:space="preserve">was apparent </w:t>
      </w:r>
      <w:r w:rsidRPr="00CC6B9D">
        <w:rPr>
          <w:rFonts w:ascii="Times New Roman" w:hAnsi="Times New Roman" w:cs="Times New Roman"/>
          <w:sz w:val="18"/>
          <w:szCs w:val="18"/>
        </w:rPr>
        <w:t xml:space="preserve">without a decrease in total gas production, total VFA concentration </w:t>
      </w:r>
      <w:r>
        <w:rPr>
          <w:rFonts w:ascii="Times New Roman" w:hAnsi="Times New Roman" w:cs="Times New Roman"/>
          <w:sz w:val="18"/>
          <w:szCs w:val="18"/>
        </w:rPr>
        <w:t xml:space="preserve">or </w:t>
      </w:r>
      <w:r w:rsidRPr="00CC6B9D">
        <w:rPr>
          <w:rFonts w:ascii="Times New Roman" w:hAnsi="Times New Roman" w:cs="Times New Roman"/>
          <w:sz w:val="18"/>
          <w:szCs w:val="18"/>
        </w:rPr>
        <w:t>substrate</w:t>
      </w:r>
      <w:r>
        <w:rPr>
          <w:rFonts w:ascii="Times New Roman" w:hAnsi="Times New Roman" w:cs="Times New Roman"/>
          <w:sz w:val="18"/>
          <w:szCs w:val="18"/>
        </w:rPr>
        <w:t xml:space="preserve"> degradability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vitro.</w:t>
      </w:r>
      <w:r>
        <w:rPr>
          <w:rFonts w:ascii="Times New Roman" w:hAnsi="Times New Roman" w:cs="Times New Roman"/>
          <w:sz w:val="18"/>
          <w:szCs w:val="18"/>
        </w:rPr>
        <w:t xml:space="preserve"> These preliminary results indicate that carrier type will influence the mitigation outcome. A 15% (w/w) CHBr</w:t>
      </w:r>
      <w:r w:rsidRPr="00D617A7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for the PR may have exceeded its actual carrying capacity thereby explain the diminishing effect over time</w:t>
      </w:r>
      <w:r>
        <w:rPr>
          <w:rStyle w:val="CommentReference"/>
        </w:rPr>
        <w:t xml:space="preserve">. </w:t>
      </w:r>
      <w:r w:rsidRPr="00D617A7">
        <w:rPr>
          <w:rFonts w:ascii="Times New Roman" w:hAnsi="Times New Roman" w:cs="Times New Roman"/>
          <w:sz w:val="18"/>
          <w:szCs w:val="18"/>
        </w:rPr>
        <w:t>The polymer resin in this study was less effective and less consistent in terms of effects on methane</w:t>
      </w:r>
      <w:r>
        <w:rPr>
          <w:rFonts w:ascii="Times New Roman" w:hAnsi="Times New Roman" w:cs="Times New Roman"/>
          <w:sz w:val="18"/>
          <w:szCs w:val="18"/>
        </w:rPr>
        <w:t xml:space="preserve"> production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vitro</w:t>
      </w:r>
      <w:r>
        <w:rPr>
          <w:rFonts w:ascii="Times New Roman" w:hAnsi="Times New Roman" w:cs="Times New Roman"/>
          <w:sz w:val="18"/>
          <w:szCs w:val="18"/>
        </w:rPr>
        <w:t>. Conversely t</w:t>
      </w:r>
      <w:r w:rsidRPr="0000751C">
        <w:rPr>
          <w:rFonts w:ascii="Times New Roman" w:hAnsi="Times New Roman" w:cs="Times New Roman"/>
          <w:sz w:val="18"/>
          <w:szCs w:val="18"/>
        </w:rPr>
        <w:t>he concentration of CHBr</w:t>
      </w:r>
      <w:r w:rsidRPr="0000751C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00751C">
        <w:rPr>
          <w:rFonts w:ascii="Times New Roman" w:hAnsi="Times New Roman" w:cs="Times New Roman"/>
          <w:sz w:val="18"/>
          <w:szCs w:val="18"/>
        </w:rPr>
        <w:t xml:space="preserve"> on AC could be decreased given almost complete inhibition was achieved</w:t>
      </w:r>
      <w:r>
        <w:rPr>
          <w:rFonts w:ascii="Times New Roman" w:hAnsi="Times New Roman" w:cs="Times New Roman"/>
          <w:sz w:val="18"/>
          <w:szCs w:val="18"/>
        </w:rPr>
        <w:t xml:space="preserve"> at the low concentration</w:t>
      </w:r>
      <w:r w:rsidRPr="0000751C">
        <w:rPr>
          <w:rFonts w:ascii="Times New Roman" w:hAnsi="Times New Roman" w:cs="Times New Roman"/>
          <w:sz w:val="18"/>
          <w:szCs w:val="18"/>
        </w:rPr>
        <w:t>.</w:t>
      </w:r>
    </w:p>
    <w:p w14:paraId="68E461EC" w14:textId="317E835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3251582" w14:textId="77777777" w:rsidR="005A6B76" w:rsidRPr="00CC6B9D" w:rsidRDefault="005A6B76" w:rsidP="005A6B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Bromoform stabilised onto an AC carrier demonstrated greater and more consistent effects on methane mitigation than PR, indicating it is a more promising candidate for progression to </w:t>
      </w:r>
      <w:r w:rsidRPr="00993811">
        <w:rPr>
          <w:rFonts w:ascii="Times New Roman" w:hAnsi="Times New Roman" w:cs="Times New Roman"/>
          <w:i/>
          <w:iCs/>
          <w:sz w:val="18"/>
          <w:szCs w:val="18"/>
        </w:rPr>
        <w:t>in vivo</w:t>
      </w:r>
      <w:r>
        <w:rPr>
          <w:rFonts w:ascii="Times New Roman" w:hAnsi="Times New Roman" w:cs="Times New Roman"/>
          <w:sz w:val="18"/>
          <w:szCs w:val="18"/>
        </w:rPr>
        <w:t xml:space="preserve"> trials. The utility of AC to complex CHBr</w:t>
      </w:r>
      <w:r w:rsidRPr="00D55317">
        <w:rPr>
          <w:rFonts w:ascii="Times New Roman" w:hAnsi="Times New Roman" w:cs="Times New Roman"/>
          <w:sz w:val="18"/>
          <w:szCs w:val="18"/>
          <w:vertAlign w:val="subscript"/>
        </w:rPr>
        <w:t xml:space="preserve">3 </w:t>
      </w:r>
      <w:r>
        <w:rPr>
          <w:rFonts w:ascii="Times New Roman" w:hAnsi="Times New Roman" w:cs="Times New Roman"/>
          <w:sz w:val="18"/>
          <w:szCs w:val="18"/>
        </w:rPr>
        <w:t>in a stable form requires further validation beyond 14 days. Ultimately the c</w:t>
      </w:r>
      <w:r w:rsidRPr="005C002F">
        <w:rPr>
          <w:rFonts w:ascii="Times New Roman" w:hAnsi="Times New Roman" w:cs="Times New Roman"/>
          <w:sz w:val="18"/>
          <w:szCs w:val="18"/>
        </w:rPr>
        <w:t xml:space="preserve">ommercial use of </w:t>
      </w:r>
      <w:r>
        <w:rPr>
          <w:rFonts w:ascii="Times New Roman" w:hAnsi="Times New Roman" w:cs="Times New Roman"/>
          <w:sz w:val="18"/>
          <w:szCs w:val="18"/>
        </w:rPr>
        <w:t xml:space="preserve">inert solid carriers such as AC is dependent on the demonstration of consistent and minimal </w:t>
      </w:r>
      <w:r w:rsidRPr="005C002F">
        <w:rPr>
          <w:rFonts w:ascii="Times New Roman" w:hAnsi="Times New Roman" w:cs="Times New Roman"/>
          <w:sz w:val="18"/>
          <w:szCs w:val="18"/>
        </w:rPr>
        <w:t>level of</w:t>
      </w:r>
      <w:r>
        <w:rPr>
          <w:rFonts w:ascii="Times New Roman" w:hAnsi="Times New Roman" w:cs="Times New Roman"/>
          <w:sz w:val="18"/>
          <w:szCs w:val="18"/>
        </w:rPr>
        <w:t xml:space="preserve"> methane mitigation over an extended </w:t>
      </w:r>
      <w:proofErr w:type="gramStart"/>
      <w:r>
        <w:rPr>
          <w:rFonts w:ascii="Times New Roman" w:hAnsi="Times New Roman" w:cs="Times New Roman"/>
          <w:sz w:val="18"/>
          <w:szCs w:val="18"/>
        </w:rPr>
        <w:t>time period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f</w:t>
      </w:r>
      <w:r w:rsidRPr="005C002F">
        <w:rPr>
          <w:rFonts w:ascii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hAnsi="Times New Roman" w:cs="Times New Roman"/>
          <w:sz w:val="18"/>
          <w:szCs w:val="18"/>
        </w:rPr>
        <w:t xml:space="preserve">either a </w:t>
      </w:r>
      <w:r w:rsidRPr="005C002F">
        <w:rPr>
          <w:rFonts w:ascii="Times New Roman" w:hAnsi="Times New Roman" w:cs="Times New Roman"/>
          <w:sz w:val="18"/>
          <w:szCs w:val="18"/>
        </w:rPr>
        <w:t xml:space="preserve">feedlot </w:t>
      </w:r>
      <w:r>
        <w:rPr>
          <w:rFonts w:ascii="Times New Roman" w:hAnsi="Times New Roman" w:cs="Times New Roman"/>
          <w:sz w:val="18"/>
          <w:szCs w:val="18"/>
        </w:rPr>
        <w:t>or dairy application.</w:t>
      </w:r>
    </w:p>
    <w:p w14:paraId="0ADB320F" w14:textId="5E6F53F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0ACA03C7" w14:textId="7676E8D9" w:rsidR="005A6B76" w:rsidRPr="0000751C" w:rsidRDefault="005A6B76" w:rsidP="005A6B76">
      <w:pPr>
        <w:rPr>
          <w:rFonts w:ascii="Times New Roman" w:hAnsi="Times New Roman" w:cs="Times New Roman"/>
          <w:sz w:val="18"/>
          <w:szCs w:val="18"/>
        </w:rPr>
      </w:pPr>
      <w:r w:rsidRPr="0000751C">
        <w:rPr>
          <w:rFonts w:ascii="Times New Roman" w:hAnsi="Times New Roman" w:cs="Times New Roman"/>
          <w:sz w:val="18"/>
          <w:szCs w:val="18"/>
        </w:rPr>
        <w:t xml:space="preserve">Garcia, F., Vercoe, P., Martínez, M., </w:t>
      </w:r>
      <w:proofErr w:type="spellStart"/>
      <w:r w:rsidRPr="0000751C">
        <w:rPr>
          <w:rFonts w:ascii="Times New Roman" w:hAnsi="Times New Roman" w:cs="Times New Roman"/>
          <w:sz w:val="18"/>
          <w:szCs w:val="18"/>
        </w:rPr>
        <w:t>Durmic</w:t>
      </w:r>
      <w:proofErr w:type="spellEnd"/>
      <w:r w:rsidRPr="0000751C">
        <w:rPr>
          <w:rFonts w:ascii="Times New Roman" w:hAnsi="Times New Roman" w:cs="Times New Roman"/>
          <w:sz w:val="18"/>
          <w:szCs w:val="18"/>
        </w:rPr>
        <w:t xml:space="preserve">, Z., Brunetti, M., Moreno, M., </w:t>
      </w:r>
      <w:proofErr w:type="spellStart"/>
      <w:r w:rsidRPr="0000751C">
        <w:rPr>
          <w:rFonts w:ascii="Times New Roman" w:hAnsi="Times New Roman" w:cs="Times New Roman"/>
          <w:sz w:val="18"/>
          <w:szCs w:val="18"/>
        </w:rPr>
        <w:t>Colombatto</w:t>
      </w:r>
      <w:proofErr w:type="spellEnd"/>
      <w:r w:rsidRPr="0000751C">
        <w:rPr>
          <w:rFonts w:ascii="Times New Roman" w:hAnsi="Times New Roman" w:cs="Times New Roman"/>
          <w:sz w:val="18"/>
          <w:szCs w:val="18"/>
        </w:rPr>
        <w:t>, D.,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0751C">
        <w:rPr>
          <w:rFonts w:ascii="Times New Roman" w:hAnsi="Times New Roman" w:cs="Times New Roman"/>
          <w:sz w:val="18"/>
          <w:szCs w:val="18"/>
        </w:rPr>
        <w:t xml:space="preserve">Lucini, E., </w:t>
      </w:r>
      <w:r w:rsidR="00242A6F">
        <w:rPr>
          <w:rFonts w:ascii="Times New Roman" w:hAnsi="Times New Roman" w:cs="Times New Roman"/>
          <w:sz w:val="18"/>
          <w:szCs w:val="18"/>
        </w:rPr>
        <w:t xml:space="preserve">&amp; </w:t>
      </w:r>
      <w:r w:rsidRPr="0000751C">
        <w:rPr>
          <w:rFonts w:ascii="Times New Roman" w:hAnsi="Times New Roman" w:cs="Times New Roman"/>
          <w:sz w:val="18"/>
          <w:szCs w:val="18"/>
        </w:rPr>
        <w:t>Ferrer, J.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00751C">
        <w:rPr>
          <w:rFonts w:ascii="Times New Roman" w:hAnsi="Times New Roman" w:cs="Times New Roman"/>
          <w:sz w:val="18"/>
          <w:szCs w:val="18"/>
        </w:rPr>
        <w:t>2019. Animal Production Science, 59</w:t>
      </w:r>
      <w:r w:rsidR="00242A6F">
        <w:rPr>
          <w:rFonts w:ascii="Times New Roman" w:hAnsi="Times New Roman" w:cs="Times New Roman"/>
          <w:sz w:val="18"/>
          <w:szCs w:val="18"/>
        </w:rPr>
        <w:t>(4)</w:t>
      </w:r>
      <w:r w:rsidRPr="0000751C">
        <w:rPr>
          <w:rFonts w:ascii="Times New Roman" w:hAnsi="Times New Roman" w:cs="Times New Roman"/>
          <w:sz w:val="18"/>
          <w:szCs w:val="18"/>
        </w:rPr>
        <w:t xml:space="preserve">, 709-720.  </w:t>
      </w:r>
    </w:p>
    <w:p w14:paraId="7DCBB8F6" w14:textId="77777777" w:rsidR="005A6B76" w:rsidRPr="007B30E3" w:rsidRDefault="005A6B76">
      <w:pPr>
        <w:rPr>
          <w:b/>
          <w:bCs/>
          <w:lang w:val="en-US"/>
        </w:rPr>
      </w:pPr>
    </w:p>
    <w:sectPr w:rsidR="005A6B76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117F49"/>
    <w:rsid w:val="00207BE6"/>
    <w:rsid w:val="00242A6F"/>
    <w:rsid w:val="00383DCD"/>
    <w:rsid w:val="00397193"/>
    <w:rsid w:val="004570A7"/>
    <w:rsid w:val="004B2952"/>
    <w:rsid w:val="005A6B76"/>
    <w:rsid w:val="00625B14"/>
    <w:rsid w:val="007B30E3"/>
    <w:rsid w:val="008463E8"/>
    <w:rsid w:val="00933E8C"/>
    <w:rsid w:val="00B22929"/>
    <w:rsid w:val="00B52E4E"/>
    <w:rsid w:val="00C53AE2"/>
    <w:rsid w:val="00C95030"/>
    <w:rsid w:val="00DD21B5"/>
    <w:rsid w:val="00E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6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Nigel Tomkins</cp:lastModifiedBy>
  <cp:revision>2</cp:revision>
  <dcterms:created xsi:type="dcterms:W3CDTF">2025-01-13T05:53:00Z</dcterms:created>
  <dcterms:modified xsi:type="dcterms:W3CDTF">2025-01-13T05:53:00Z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