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BD28F" w14:textId="05A3F114" w:rsidR="008C08A4" w:rsidRPr="00BE2B8C" w:rsidRDefault="007B30E3" w:rsidP="008C08A4">
      <w:pPr>
        <w:jc w:val="both"/>
        <w:rPr>
          <w:rFonts w:ascii="Aptos" w:hAnsi="Aptos" w:cs="Times New Roman"/>
        </w:rPr>
      </w:pPr>
      <w:r>
        <w:rPr>
          <w:b/>
          <w:bCs/>
          <w:lang w:val="en-US"/>
        </w:rPr>
        <w:t>Application</w:t>
      </w:r>
      <w:r w:rsidR="008C08A4">
        <w:rPr>
          <w:b/>
          <w:bCs/>
          <w:lang w:val="en-US"/>
        </w:rPr>
        <w:t xml:space="preserve"> </w:t>
      </w:r>
      <w:r w:rsidR="008C08A4" w:rsidRPr="00BE2B8C">
        <w:rPr>
          <w:rFonts w:ascii="Aptos" w:hAnsi="Aptos" w:cs="Times New Roman"/>
        </w:rPr>
        <w:t xml:space="preserve">Making </w:t>
      </w:r>
      <w:r w:rsidR="00B71D18">
        <w:rPr>
          <w:rFonts w:ascii="Aptos" w:hAnsi="Aptos" w:cs="Times New Roman"/>
        </w:rPr>
        <w:t>increased</w:t>
      </w:r>
      <w:r w:rsidR="008C08A4" w:rsidRPr="00BE2B8C">
        <w:rPr>
          <w:rFonts w:ascii="Aptos" w:hAnsi="Aptos" w:cs="Times New Roman"/>
        </w:rPr>
        <w:t xml:space="preserve"> use of </w:t>
      </w:r>
      <w:r w:rsidR="008C08A4">
        <w:rPr>
          <w:rFonts w:ascii="Aptos" w:hAnsi="Aptos" w:cs="Times New Roman"/>
        </w:rPr>
        <w:t>low-human-edible feeds</w:t>
      </w:r>
      <w:r w:rsidR="008C08A4" w:rsidRPr="00BE2B8C">
        <w:rPr>
          <w:rFonts w:ascii="Aptos" w:hAnsi="Aptos" w:cs="Times New Roman"/>
        </w:rPr>
        <w:t xml:space="preserve"> in dairy rations can contribute to the development of </w:t>
      </w:r>
      <w:r w:rsidR="00B71D18">
        <w:rPr>
          <w:rFonts w:ascii="Aptos" w:hAnsi="Aptos" w:cs="Times New Roman"/>
        </w:rPr>
        <w:t xml:space="preserve">more </w:t>
      </w:r>
      <w:r w:rsidR="008C08A4" w:rsidRPr="00BE2B8C">
        <w:rPr>
          <w:rFonts w:ascii="Aptos" w:hAnsi="Aptos" w:cs="Times New Roman"/>
        </w:rPr>
        <w:t>sustainable milk production systems.</w:t>
      </w:r>
    </w:p>
    <w:p w14:paraId="167B5498" w14:textId="1A4F633A" w:rsidR="007B30E3" w:rsidRDefault="007B30E3" w:rsidP="008C08A4">
      <w:pPr>
        <w:jc w:val="both"/>
        <w:rPr>
          <w:b/>
          <w:bCs/>
          <w:lang w:val="en-US"/>
        </w:rPr>
      </w:pPr>
      <w:r>
        <w:rPr>
          <w:b/>
          <w:bCs/>
          <w:lang w:val="en-US"/>
        </w:rPr>
        <w:t>Introduction</w:t>
      </w:r>
      <w:r w:rsidR="008C08A4">
        <w:rPr>
          <w:b/>
          <w:bCs/>
          <w:lang w:val="en-US"/>
        </w:rPr>
        <w:t xml:space="preserve"> </w:t>
      </w:r>
      <w:r w:rsidR="008C08A4" w:rsidRPr="00BE2B8C">
        <w:rPr>
          <w:rFonts w:ascii="Aptos" w:hAnsi="Aptos" w:cs="Times New Roman"/>
        </w:rPr>
        <w:t>The current study examined milk production and feed efficiency responses of dairy cows offered concentrates differing in human-edible fraction (HEF).</w:t>
      </w:r>
    </w:p>
    <w:p w14:paraId="31DE43A2" w14:textId="0CB7E8B1" w:rsidR="007B30E3" w:rsidRDefault="007B30E3" w:rsidP="008C08A4">
      <w:pPr>
        <w:jc w:val="both"/>
        <w:rPr>
          <w:b/>
          <w:bCs/>
          <w:lang w:val="en-US"/>
        </w:rPr>
      </w:pPr>
      <w:r>
        <w:rPr>
          <w:b/>
          <w:bCs/>
          <w:lang w:val="en-US"/>
        </w:rPr>
        <w:t>Materials and Methods</w:t>
      </w:r>
      <w:r w:rsidR="008C08A4" w:rsidRPr="008C08A4">
        <w:rPr>
          <w:rFonts w:ascii="Aptos" w:hAnsi="Aptos" w:cs="Times New Roman"/>
        </w:rPr>
        <w:t xml:space="preserve"> </w:t>
      </w:r>
      <w:r w:rsidR="008C08A4" w:rsidRPr="00BE2B8C">
        <w:rPr>
          <w:rFonts w:ascii="Aptos" w:hAnsi="Aptos" w:cs="Times New Roman"/>
        </w:rPr>
        <w:t xml:space="preserve">A three-period partial changeover design experiment using 32 early lactation dairy cows </w:t>
      </w:r>
      <w:r w:rsidR="004D71BC">
        <w:rPr>
          <w:rFonts w:ascii="Aptos" w:hAnsi="Aptos" w:cs="Times New Roman"/>
        </w:rPr>
        <w:t xml:space="preserve">(mean of 50 days calved) </w:t>
      </w:r>
      <w:r w:rsidR="008C08A4" w:rsidRPr="00BE2B8C">
        <w:rPr>
          <w:rFonts w:ascii="Aptos" w:hAnsi="Aptos" w:cs="Times New Roman"/>
        </w:rPr>
        <w:t xml:space="preserve">examined the effects of offering four concentrates differing in HEF </w:t>
      </w:r>
      <w:r w:rsidR="008C08A4" w:rsidRPr="00B71D18">
        <w:rPr>
          <w:rFonts w:cs="Times New Roman"/>
        </w:rPr>
        <w:t>(</w:t>
      </w:r>
      <w:r w:rsidR="00B71D18" w:rsidRPr="00B71D18">
        <w:rPr>
          <w:rFonts w:cs="Times New Roman"/>
        </w:rPr>
        <w:t>proportionately 0.17, 0.28, 0.38 and 0.48 on a fresh basis;</w:t>
      </w:r>
      <w:r w:rsidR="00B71D18">
        <w:rPr>
          <w:rFonts w:ascii="Times New Roman" w:hAnsi="Times New Roman" w:cs="Times New Roman"/>
          <w:sz w:val="18"/>
          <w:szCs w:val="18"/>
        </w:rPr>
        <w:t xml:space="preserve"> </w:t>
      </w:r>
      <w:r w:rsidR="008C08A4" w:rsidRPr="00BE2B8C">
        <w:rPr>
          <w:rFonts w:ascii="Aptos" w:hAnsi="Aptos" w:cs="Times New Roman"/>
        </w:rPr>
        <w:t xml:space="preserve">0.17HE, 0.28HE, 0.38HE and 0.48HE respectively) </w:t>
      </w:r>
      <w:r w:rsidR="008C08A4">
        <w:rPr>
          <w:rFonts w:ascii="Aptos" w:hAnsi="Aptos" w:cs="Times New Roman"/>
        </w:rPr>
        <w:t>with</w:t>
      </w:r>
      <w:r w:rsidR="008C08A4" w:rsidRPr="00BE2B8C">
        <w:rPr>
          <w:rFonts w:ascii="Aptos" w:hAnsi="Aptos" w:cs="Times New Roman"/>
        </w:rPr>
        <w:t xml:space="preserve"> a grass silage based diet. </w:t>
      </w:r>
      <w:r w:rsidR="004D37B8">
        <w:rPr>
          <w:rFonts w:ascii="Aptos" w:hAnsi="Aptos" w:cs="Times New Roman"/>
        </w:rPr>
        <w:t>The latter treatment most closely represent</w:t>
      </w:r>
      <w:r w:rsidR="00CB07CB">
        <w:rPr>
          <w:rFonts w:ascii="Aptos" w:hAnsi="Aptos" w:cs="Times New Roman"/>
        </w:rPr>
        <w:t>ed</w:t>
      </w:r>
      <w:r w:rsidR="004D37B8">
        <w:rPr>
          <w:rFonts w:ascii="Aptos" w:hAnsi="Aptos" w:cs="Times New Roman"/>
        </w:rPr>
        <w:t xml:space="preserve"> a “conventional dairy cow diet”. </w:t>
      </w:r>
      <w:r w:rsidR="008C08A4" w:rsidRPr="00BE2B8C">
        <w:rPr>
          <w:rFonts w:ascii="Aptos" w:hAnsi="Aptos" w:cs="Times New Roman"/>
        </w:rPr>
        <w:t xml:space="preserve">Cows were offered 12 kg/day of their treatment concentrate via two out-of-parlour feeding stations. Two </w:t>
      </w:r>
      <w:r w:rsidR="00B71D18">
        <w:rPr>
          <w:rFonts w:ascii="Aptos" w:hAnsi="Aptos" w:cs="Times New Roman"/>
        </w:rPr>
        <w:t xml:space="preserve">iso-energetic and iso-nitrogenous </w:t>
      </w:r>
      <w:r w:rsidR="008C08A4" w:rsidRPr="00BE2B8C">
        <w:rPr>
          <w:rFonts w:ascii="Aptos" w:hAnsi="Aptos" w:cs="Times New Roman"/>
        </w:rPr>
        <w:t>concentrate types were produced (0.17HE and 0.48 HE) and blended in different proportions through the stations to achieve the 0.28HE and 0.38</w:t>
      </w:r>
      <w:r w:rsidR="006E1CA4">
        <w:rPr>
          <w:rFonts w:ascii="Aptos" w:hAnsi="Aptos" w:cs="Times New Roman"/>
        </w:rPr>
        <w:t>HE</w:t>
      </w:r>
      <w:r w:rsidR="008C08A4" w:rsidRPr="00BE2B8C">
        <w:rPr>
          <w:rFonts w:ascii="Aptos" w:hAnsi="Aptos" w:cs="Times New Roman"/>
        </w:rPr>
        <w:t xml:space="preserve"> treatments. The 0.48HE concentrate was based on cereals and soya-bean meal, while these </w:t>
      </w:r>
      <w:r w:rsidR="00077260">
        <w:rPr>
          <w:rFonts w:ascii="Aptos" w:hAnsi="Aptos" w:cs="Times New Roman"/>
        </w:rPr>
        <w:t xml:space="preserve">ingredients </w:t>
      </w:r>
      <w:r w:rsidR="008C08A4" w:rsidRPr="00BE2B8C">
        <w:rPr>
          <w:rFonts w:ascii="Aptos" w:hAnsi="Aptos" w:cs="Times New Roman"/>
        </w:rPr>
        <w:t xml:space="preserve">were replaced with by-product feeds </w:t>
      </w:r>
      <w:r w:rsidR="00F63A00">
        <w:rPr>
          <w:rFonts w:ascii="Aptos" w:hAnsi="Aptos" w:cs="Times New Roman"/>
        </w:rPr>
        <w:t xml:space="preserve">like sugar beet pulp and distillers dark grains </w:t>
      </w:r>
      <w:r w:rsidR="008C08A4" w:rsidRPr="00BE2B8C">
        <w:rPr>
          <w:rFonts w:ascii="Aptos" w:hAnsi="Aptos" w:cs="Times New Roman"/>
        </w:rPr>
        <w:t xml:space="preserve">in 0.17HE concentrate. The HEF of the diets were calculated </w:t>
      </w:r>
      <w:r w:rsidR="008C08A4">
        <w:rPr>
          <w:rFonts w:ascii="Aptos" w:hAnsi="Aptos" w:cs="Times New Roman"/>
        </w:rPr>
        <w:t>as</w:t>
      </w:r>
      <w:r w:rsidR="008C08A4" w:rsidRPr="00BE2B8C">
        <w:rPr>
          <w:rFonts w:ascii="Aptos" w:hAnsi="Aptos" w:cs="Times New Roman"/>
        </w:rPr>
        <w:t xml:space="preserve"> described by Wilkinson (2011).  The forage component comprised grass silage and rotagrind straw (latter at 3.5% dry matter, (DM))</w:t>
      </w:r>
      <w:r w:rsidR="00B71D18">
        <w:rPr>
          <w:rFonts w:ascii="Aptos" w:hAnsi="Aptos" w:cs="Times New Roman"/>
        </w:rPr>
        <w:t>, which was mixed in a diet-feeder before being offered to the cows</w:t>
      </w:r>
      <w:r w:rsidR="008C08A4" w:rsidRPr="00BE2B8C">
        <w:rPr>
          <w:rFonts w:ascii="Aptos" w:hAnsi="Aptos" w:cs="Times New Roman"/>
        </w:rPr>
        <w:t xml:space="preserve">. </w:t>
      </w:r>
      <w:r w:rsidR="008C08A4">
        <w:rPr>
          <w:rFonts w:ascii="Aptos" w:hAnsi="Aptos" w:cs="Times New Roman"/>
        </w:rPr>
        <w:t>C</w:t>
      </w:r>
      <w:r w:rsidR="008C08A4" w:rsidRPr="00BE2B8C">
        <w:rPr>
          <w:rFonts w:ascii="Aptos" w:hAnsi="Aptos" w:cs="Times New Roman"/>
        </w:rPr>
        <w:t xml:space="preserve">ows </w:t>
      </w:r>
      <w:r w:rsidR="00B71D18">
        <w:rPr>
          <w:rFonts w:ascii="Aptos" w:hAnsi="Aptos" w:cs="Times New Roman"/>
        </w:rPr>
        <w:t xml:space="preserve">also </w:t>
      </w:r>
      <w:r w:rsidR="008C08A4" w:rsidRPr="00BE2B8C">
        <w:rPr>
          <w:rFonts w:ascii="Aptos" w:hAnsi="Aptos" w:cs="Times New Roman"/>
        </w:rPr>
        <w:t>received 0.</w:t>
      </w:r>
      <w:r w:rsidR="00B71D18">
        <w:rPr>
          <w:rFonts w:ascii="Aptos" w:hAnsi="Aptos" w:cs="Times New Roman"/>
        </w:rPr>
        <w:t>2</w:t>
      </w:r>
      <w:r w:rsidR="008C08A4" w:rsidRPr="00BE2B8C">
        <w:rPr>
          <w:rFonts w:ascii="Aptos" w:hAnsi="Aptos" w:cs="Times New Roman"/>
        </w:rPr>
        <w:t>5 kg of a commercial conce</w:t>
      </w:r>
      <w:r w:rsidR="008C08A4">
        <w:rPr>
          <w:rFonts w:ascii="Aptos" w:hAnsi="Aptos" w:cs="Times New Roman"/>
        </w:rPr>
        <w:t>ntrate</w:t>
      </w:r>
      <w:r w:rsidR="00B71D18">
        <w:rPr>
          <w:rFonts w:ascii="Aptos" w:hAnsi="Aptos" w:cs="Times New Roman"/>
        </w:rPr>
        <w:t xml:space="preserve"> at each milking</w:t>
      </w:r>
      <w:r w:rsidR="008C08A4">
        <w:rPr>
          <w:rFonts w:ascii="Aptos" w:hAnsi="Aptos" w:cs="Times New Roman"/>
        </w:rPr>
        <w:t xml:space="preserve">. </w:t>
      </w:r>
      <w:r w:rsidR="008C08A4" w:rsidRPr="00BE2B8C">
        <w:rPr>
          <w:rFonts w:ascii="Aptos" w:hAnsi="Aptos" w:cs="Times New Roman"/>
        </w:rPr>
        <w:t xml:space="preserve">Feed intake, milk yield and milk composition was recorded during the fourth week of each period. Feed conversion rate (FCR) was calculated as energy corrected milk yield (ECM) per kg DM intake (DMI). Edible feed conversion rate (eFCR) was calculated as human-edible output </w:t>
      </w:r>
      <w:r w:rsidR="008C08A4">
        <w:rPr>
          <w:rFonts w:ascii="Aptos" w:hAnsi="Aptos" w:cs="Times New Roman"/>
        </w:rPr>
        <w:t>divided by</w:t>
      </w:r>
      <w:r w:rsidR="008C08A4" w:rsidRPr="00BE2B8C">
        <w:rPr>
          <w:rFonts w:ascii="Aptos" w:hAnsi="Aptos" w:cs="Times New Roman"/>
        </w:rPr>
        <w:t xml:space="preserve"> human-edible input per day. Net Food Production (NFP) was expressed as </w:t>
      </w:r>
      <w:r w:rsidR="00F63A00">
        <w:rPr>
          <w:rFonts w:ascii="Aptos" w:hAnsi="Aptos" w:cs="Times New Roman"/>
        </w:rPr>
        <w:t>daily human</w:t>
      </w:r>
      <w:r w:rsidR="009C4ADA">
        <w:rPr>
          <w:rFonts w:ascii="Aptos" w:hAnsi="Aptos" w:cs="Times New Roman"/>
        </w:rPr>
        <w:t>-</w:t>
      </w:r>
      <w:r w:rsidR="008C08A4" w:rsidRPr="00BE2B8C">
        <w:rPr>
          <w:rFonts w:ascii="Aptos" w:hAnsi="Aptos" w:cs="Times New Roman"/>
        </w:rPr>
        <w:t>edible output minus</w:t>
      </w:r>
      <w:r w:rsidR="00F63A00">
        <w:rPr>
          <w:rFonts w:ascii="Aptos" w:hAnsi="Aptos" w:cs="Times New Roman"/>
        </w:rPr>
        <w:t xml:space="preserve"> daily</w:t>
      </w:r>
      <w:r w:rsidR="008C08A4" w:rsidRPr="00BE2B8C">
        <w:rPr>
          <w:rFonts w:ascii="Aptos" w:hAnsi="Aptos" w:cs="Times New Roman"/>
        </w:rPr>
        <w:t xml:space="preserve"> human-edible input using HEF values described by Ertl et al. (2015)</w:t>
      </w:r>
      <w:r w:rsidR="00B95019">
        <w:rPr>
          <w:rFonts w:ascii="Aptos" w:hAnsi="Aptos" w:cs="Times New Roman"/>
        </w:rPr>
        <w:t xml:space="preserve"> under current standard extraction allowances</w:t>
      </w:r>
      <w:r w:rsidR="008C08A4" w:rsidRPr="00BE2B8C">
        <w:rPr>
          <w:rFonts w:ascii="Aptos" w:hAnsi="Aptos" w:cs="Times New Roman"/>
        </w:rPr>
        <w:t>. Data was analysed using linear mixed model methodology (REML)</w:t>
      </w:r>
      <w:r w:rsidR="00B71D18">
        <w:rPr>
          <w:rFonts w:ascii="Aptos" w:hAnsi="Aptos" w:cs="Times New Roman"/>
        </w:rPr>
        <w:t xml:space="preserve"> with Cow and Period as a fixed effect. Linear and quadratic effects of treatment level were examined using polynomial contrasts.</w:t>
      </w:r>
    </w:p>
    <w:p w14:paraId="092950CD" w14:textId="15C52D01" w:rsidR="006C64A1" w:rsidRDefault="007B30E3" w:rsidP="008C08A4">
      <w:pPr>
        <w:jc w:val="both"/>
        <w:rPr>
          <w:rFonts w:ascii="Aptos" w:hAnsi="Aptos" w:cs="Times New Roman"/>
        </w:rPr>
      </w:pPr>
      <w:r>
        <w:rPr>
          <w:b/>
          <w:bCs/>
          <w:lang w:val="en-US"/>
        </w:rPr>
        <w:t>Results</w:t>
      </w:r>
      <w:r w:rsidR="008C08A4">
        <w:rPr>
          <w:b/>
          <w:bCs/>
          <w:lang w:val="en-US"/>
        </w:rPr>
        <w:t xml:space="preserve"> </w:t>
      </w:r>
      <w:r w:rsidR="008C08A4" w:rsidRPr="00BE2B8C">
        <w:rPr>
          <w:rFonts w:ascii="Aptos" w:hAnsi="Aptos" w:cs="Times New Roman"/>
        </w:rPr>
        <w:t>The silage had a DM</w:t>
      </w:r>
      <w:r w:rsidR="00B95019">
        <w:rPr>
          <w:rFonts w:ascii="Aptos" w:hAnsi="Aptos" w:cs="Times New Roman"/>
        </w:rPr>
        <w:t>, crude protein (CP)</w:t>
      </w:r>
      <w:r w:rsidR="00F63A00">
        <w:rPr>
          <w:rFonts w:ascii="Aptos" w:hAnsi="Aptos" w:cs="Times New Roman"/>
        </w:rPr>
        <w:t xml:space="preserve"> and lactic acid</w:t>
      </w:r>
      <w:r w:rsidR="00B95019">
        <w:rPr>
          <w:rFonts w:ascii="Aptos" w:hAnsi="Aptos" w:cs="Times New Roman"/>
        </w:rPr>
        <w:t xml:space="preserve"> concentration</w:t>
      </w:r>
      <w:r w:rsidR="008C08A4">
        <w:rPr>
          <w:rFonts w:ascii="Aptos" w:hAnsi="Aptos" w:cs="Times New Roman"/>
        </w:rPr>
        <w:t xml:space="preserve"> </w:t>
      </w:r>
      <w:r w:rsidR="008C08A4" w:rsidRPr="00BE2B8C">
        <w:rPr>
          <w:rFonts w:ascii="Aptos" w:hAnsi="Aptos" w:cs="Times New Roman"/>
        </w:rPr>
        <w:t>and D-value of 283 g/kg</w:t>
      </w:r>
      <w:r w:rsidR="00B95019">
        <w:rPr>
          <w:rFonts w:ascii="Aptos" w:hAnsi="Aptos" w:cs="Times New Roman"/>
        </w:rPr>
        <w:t>, 157 g/kg DM</w:t>
      </w:r>
      <w:r w:rsidR="00F63A00">
        <w:rPr>
          <w:rFonts w:ascii="Aptos" w:hAnsi="Aptos" w:cs="Times New Roman"/>
        </w:rPr>
        <w:t>, 121 g/kg DM</w:t>
      </w:r>
      <w:r w:rsidR="008C08A4">
        <w:rPr>
          <w:rFonts w:ascii="Aptos" w:hAnsi="Aptos" w:cs="Times New Roman"/>
        </w:rPr>
        <w:t xml:space="preserve"> </w:t>
      </w:r>
      <w:r w:rsidR="008C08A4" w:rsidRPr="00BE2B8C">
        <w:rPr>
          <w:rFonts w:ascii="Aptos" w:hAnsi="Aptos" w:cs="Times New Roman"/>
        </w:rPr>
        <w:t>and 711 g/kg DM respectively. Increasing the HEF of the concentrate tended to increase total DM intake (P=0.067, Lin) but reduced ECM yield (P&lt;0.001, Lin.). Milk fat and protein concentration was unaffected by changes in HEF</w:t>
      </w:r>
      <w:r w:rsidR="00C55C09">
        <w:rPr>
          <w:rFonts w:ascii="Aptos" w:hAnsi="Aptos" w:cs="Times New Roman"/>
        </w:rPr>
        <w:t xml:space="preserve"> in the concentrate</w:t>
      </w:r>
      <w:r w:rsidR="008C08A4" w:rsidRPr="00BE2B8C">
        <w:rPr>
          <w:rFonts w:ascii="Aptos" w:hAnsi="Aptos" w:cs="Times New Roman"/>
        </w:rPr>
        <w:t xml:space="preserve">. </w:t>
      </w:r>
      <w:r w:rsidR="00B95019">
        <w:rPr>
          <w:rFonts w:ascii="Aptos" w:hAnsi="Aptos" w:cs="Times New Roman"/>
        </w:rPr>
        <w:t>However i</w:t>
      </w:r>
      <w:r w:rsidR="008C08A4" w:rsidRPr="00BE2B8C">
        <w:rPr>
          <w:rFonts w:ascii="Aptos" w:hAnsi="Aptos" w:cs="Times New Roman"/>
        </w:rPr>
        <w:t xml:space="preserve">ncreasing the HEF reduced the concentration of </w:t>
      </w:r>
      <w:r w:rsidR="00987EC7">
        <w:rPr>
          <w:rFonts w:ascii="Aptos" w:hAnsi="Aptos" w:cs="Times New Roman"/>
        </w:rPr>
        <w:t xml:space="preserve">total poly-unsaturated acids (PUFA) and </w:t>
      </w:r>
      <w:r w:rsidR="008C08A4" w:rsidRPr="00BE2B8C">
        <w:rPr>
          <w:rFonts w:ascii="Aptos" w:hAnsi="Aptos" w:cs="Times New Roman"/>
        </w:rPr>
        <w:t>conjugated linolenic acid (CLA) (P&lt;0.001</w:t>
      </w:r>
      <w:r w:rsidR="00DC4A39">
        <w:rPr>
          <w:rFonts w:ascii="Aptos" w:hAnsi="Aptos" w:cs="Times New Roman"/>
        </w:rPr>
        <w:t>, Lin.</w:t>
      </w:r>
      <w:r w:rsidR="008C08A4" w:rsidRPr="00BE2B8C">
        <w:rPr>
          <w:rFonts w:ascii="Aptos" w:hAnsi="Aptos" w:cs="Times New Roman"/>
        </w:rPr>
        <w:t>)</w:t>
      </w:r>
      <w:r w:rsidR="008C08A4">
        <w:rPr>
          <w:rFonts w:ascii="Aptos" w:hAnsi="Aptos" w:cs="Times New Roman"/>
        </w:rPr>
        <w:t xml:space="preserve"> and </w:t>
      </w:r>
      <w:r w:rsidR="008C08A4" w:rsidRPr="00BE2B8C">
        <w:rPr>
          <w:rFonts w:ascii="Aptos" w:hAnsi="Aptos" w:cs="Times New Roman"/>
        </w:rPr>
        <w:t>reduced FCR, eFCR and NFP (P&lt;0.001</w:t>
      </w:r>
      <w:r w:rsidR="00DC4A39">
        <w:rPr>
          <w:rFonts w:ascii="Aptos" w:hAnsi="Aptos" w:cs="Times New Roman"/>
        </w:rPr>
        <w:t>, Lin.</w:t>
      </w:r>
      <w:r w:rsidR="008C08A4" w:rsidRPr="00BE2B8C">
        <w:rPr>
          <w:rFonts w:ascii="Aptos" w:hAnsi="Aptos" w:cs="Times New Roman"/>
        </w:rPr>
        <w:t>)</w:t>
      </w:r>
      <w:r w:rsidR="00B462A4">
        <w:rPr>
          <w:rFonts w:ascii="Aptos" w:hAnsi="Aptos" w:cs="Times New Roman"/>
        </w:rPr>
        <w:t>.</w:t>
      </w:r>
    </w:p>
    <w:p w14:paraId="56AB8548" w14:textId="7A361DFC" w:rsidR="008C08A4" w:rsidRPr="00BE2B8C" w:rsidRDefault="008C08A4" w:rsidP="008C08A4">
      <w:pPr>
        <w:jc w:val="both"/>
        <w:rPr>
          <w:rFonts w:ascii="Aptos" w:hAnsi="Aptos" w:cs="Times New Roman"/>
        </w:rPr>
      </w:pPr>
      <w:r w:rsidRPr="00BE2B8C">
        <w:rPr>
          <w:rFonts w:ascii="Aptos" w:hAnsi="Aptos" w:cs="Times New Roman"/>
        </w:rPr>
        <w:t>Table 1. Performance of cows offered concentrates with differing levels of human-edible ingredients</w:t>
      </w:r>
    </w:p>
    <w:tbl>
      <w:tblPr>
        <w:tblStyle w:val="ListTable2"/>
        <w:tblW w:w="0" w:type="auto"/>
        <w:tblBorders>
          <w:insideH w:val="none" w:sz="0" w:space="0" w:color="auto"/>
        </w:tblBorders>
        <w:tblLook w:val="04A0" w:firstRow="1" w:lastRow="0" w:firstColumn="1" w:lastColumn="0" w:noHBand="0" w:noVBand="1"/>
      </w:tblPr>
      <w:tblGrid>
        <w:gridCol w:w="1208"/>
        <w:gridCol w:w="873"/>
        <w:gridCol w:w="910"/>
        <w:gridCol w:w="910"/>
        <w:gridCol w:w="913"/>
        <w:gridCol w:w="496"/>
        <w:gridCol w:w="414"/>
        <w:gridCol w:w="749"/>
        <w:gridCol w:w="867"/>
        <w:gridCol w:w="867"/>
        <w:gridCol w:w="804"/>
        <w:gridCol w:w="15"/>
      </w:tblGrid>
      <w:tr w:rsidR="008C08A4" w:rsidRPr="00BE2B8C" w14:paraId="70BA6644" w14:textId="77777777" w:rsidTr="00841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Borders>
              <w:top w:val="single" w:sz="4" w:space="0" w:color="666666" w:themeColor="text1" w:themeTint="99"/>
              <w:bottom w:val="nil"/>
            </w:tcBorders>
            <w:shd w:val="clear" w:color="auto" w:fill="auto"/>
          </w:tcPr>
          <w:p w14:paraId="0D24FE37" w14:textId="77777777" w:rsidR="008C08A4" w:rsidRPr="00BE2B8C" w:rsidRDefault="008C08A4" w:rsidP="00F71435">
            <w:pPr>
              <w:jc w:val="both"/>
              <w:rPr>
                <w:rFonts w:ascii="Aptos" w:hAnsi="Aptos" w:cs="Times New Roman"/>
                <w:b w:val="0"/>
              </w:rPr>
            </w:pPr>
          </w:p>
        </w:tc>
        <w:tc>
          <w:tcPr>
            <w:tcW w:w="3606" w:type="dxa"/>
            <w:gridSpan w:val="4"/>
            <w:tcBorders>
              <w:top w:val="single" w:sz="4" w:space="0" w:color="666666" w:themeColor="text1" w:themeTint="99"/>
              <w:bottom w:val="nil"/>
            </w:tcBorders>
            <w:shd w:val="clear" w:color="auto" w:fill="auto"/>
          </w:tcPr>
          <w:p w14:paraId="5F393C66" w14:textId="7D42EF1F" w:rsidR="008C08A4" w:rsidRPr="00BE2B8C" w:rsidRDefault="008C08A4" w:rsidP="00F71435">
            <w:pPr>
              <w:jc w:val="center"/>
              <w:cnfStyle w:val="100000000000" w:firstRow="1" w:lastRow="0" w:firstColumn="0" w:lastColumn="0" w:oddVBand="0" w:evenVBand="0" w:oddHBand="0" w:evenHBand="0" w:firstRowFirstColumn="0" w:firstRowLastColumn="0" w:lastRowFirstColumn="0" w:lastRowLastColumn="0"/>
              <w:rPr>
                <w:rFonts w:ascii="Aptos" w:hAnsi="Aptos" w:cs="Times New Roman"/>
                <w:b w:val="0"/>
              </w:rPr>
            </w:pPr>
            <w:r w:rsidRPr="00BE2B8C">
              <w:rPr>
                <w:rFonts w:ascii="Aptos" w:hAnsi="Aptos" w:cs="Times New Roman"/>
                <w:b w:val="0"/>
              </w:rPr>
              <w:t xml:space="preserve">    </w:t>
            </w:r>
            <w:r>
              <w:rPr>
                <w:rFonts w:ascii="Aptos" w:hAnsi="Aptos" w:cs="Times New Roman"/>
                <w:b w:val="0"/>
              </w:rPr>
              <w:t xml:space="preserve">                                   </w:t>
            </w:r>
            <w:r w:rsidRPr="00BE2B8C">
              <w:rPr>
                <w:rFonts w:ascii="Aptos" w:hAnsi="Aptos" w:cs="Times New Roman"/>
                <w:b w:val="0"/>
              </w:rPr>
              <w:t>Treatment</w:t>
            </w:r>
          </w:p>
        </w:tc>
        <w:tc>
          <w:tcPr>
            <w:tcW w:w="496" w:type="dxa"/>
            <w:tcBorders>
              <w:top w:val="single" w:sz="4" w:space="0" w:color="666666" w:themeColor="text1" w:themeTint="99"/>
              <w:bottom w:val="nil"/>
            </w:tcBorders>
            <w:shd w:val="clear" w:color="auto" w:fill="auto"/>
          </w:tcPr>
          <w:p w14:paraId="31CF0CA4" w14:textId="77777777" w:rsidR="008C08A4" w:rsidRPr="00BE2B8C" w:rsidRDefault="008C08A4" w:rsidP="00F71435">
            <w:pPr>
              <w:jc w:val="center"/>
              <w:cnfStyle w:val="100000000000" w:firstRow="1" w:lastRow="0" w:firstColumn="0" w:lastColumn="0" w:oddVBand="0" w:evenVBand="0" w:oddHBand="0" w:evenHBand="0" w:firstRowFirstColumn="0" w:firstRowLastColumn="0" w:lastRowFirstColumn="0" w:lastRowLastColumn="0"/>
              <w:rPr>
                <w:rFonts w:ascii="Aptos" w:hAnsi="Aptos" w:cs="Times New Roman"/>
                <w:b w:val="0"/>
              </w:rPr>
            </w:pPr>
          </w:p>
        </w:tc>
        <w:tc>
          <w:tcPr>
            <w:tcW w:w="3716" w:type="dxa"/>
            <w:gridSpan w:val="6"/>
            <w:tcBorders>
              <w:top w:val="single" w:sz="4" w:space="0" w:color="666666" w:themeColor="text1" w:themeTint="99"/>
              <w:bottom w:val="nil"/>
              <w:right w:val="nil"/>
            </w:tcBorders>
            <w:shd w:val="clear" w:color="auto" w:fill="auto"/>
          </w:tcPr>
          <w:p w14:paraId="6F24C585" w14:textId="1C56D2FC" w:rsidR="008C08A4" w:rsidRPr="00BE2B8C" w:rsidRDefault="008C08A4" w:rsidP="00F71435">
            <w:pPr>
              <w:jc w:val="center"/>
              <w:cnfStyle w:val="100000000000" w:firstRow="1" w:lastRow="0" w:firstColumn="0" w:lastColumn="0" w:oddVBand="0" w:evenVBand="0" w:oddHBand="0" w:evenHBand="0" w:firstRowFirstColumn="0" w:firstRowLastColumn="0" w:lastRowFirstColumn="0" w:lastRowLastColumn="0"/>
              <w:rPr>
                <w:rFonts w:ascii="Aptos" w:hAnsi="Aptos" w:cs="Times New Roman"/>
                <w:b w:val="0"/>
              </w:rPr>
            </w:pPr>
            <w:r w:rsidRPr="00BE2B8C">
              <w:rPr>
                <w:rFonts w:ascii="Aptos" w:hAnsi="Aptos" w:cs="Times New Roman"/>
                <w:b w:val="0"/>
              </w:rPr>
              <w:t xml:space="preserve">          </w:t>
            </w:r>
            <w:r>
              <w:rPr>
                <w:rFonts w:ascii="Aptos" w:hAnsi="Aptos" w:cs="Times New Roman"/>
                <w:b w:val="0"/>
              </w:rPr>
              <w:t xml:space="preserve">  </w:t>
            </w:r>
            <w:r w:rsidRPr="00BE2B8C">
              <w:rPr>
                <w:rFonts w:ascii="Aptos" w:hAnsi="Aptos" w:cs="Times New Roman"/>
                <w:b w:val="0"/>
              </w:rPr>
              <w:t xml:space="preserve"> </w:t>
            </w:r>
            <w:r w:rsidR="005C5A34">
              <w:rPr>
                <w:rFonts w:ascii="Aptos" w:hAnsi="Aptos" w:cs="Times New Roman"/>
                <w:b w:val="0"/>
              </w:rPr>
              <w:t xml:space="preserve">            </w:t>
            </w:r>
            <w:r w:rsidRPr="00BE2B8C">
              <w:rPr>
                <w:rFonts w:ascii="Aptos" w:hAnsi="Aptos" w:cs="Times New Roman"/>
                <w:b w:val="0"/>
              </w:rPr>
              <w:t>P-value</w:t>
            </w:r>
          </w:p>
        </w:tc>
      </w:tr>
      <w:tr w:rsidR="008C08A4" w:rsidRPr="00BE2B8C" w14:paraId="3313A35D" w14:textId="77777777" w:rsidTr="006B6052">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tcBorders>
              <w:top w:val="nil"/>
              <w:bottom w:val="single" w:sz="4" w:space="0" w:color="auto"/>
            </w:tcBorders>
            <w:shd w:val="clear" w:color="auto" w:fill="auto"/>
          </w:tcPr>
          <w:p w14:paraId="39F22EB9" w14:textId="77777777" w:rsidR="008C08A4" w:rsidRPr="00BE2B8C" w:rsidRDefault="008C08A4" w:rsidP="00F71435">
            <w:pPr>
              <w:jc w:val="both"/>
              <w:rPr>
                <w:rFonts w:ascii="Aptos" w:hAnsi="Aptos" w:cs="Times New Roman"/>
              </w:rPr>
            </w:pPr>
          </w:p>
        </w:tc>
        <w:tc>
          <w:tcPr>
            <w:tcW w:w="910" w:type="dxa"/>
            <w:tcBorders>
              <w:top w:val="single" w:sz="4" w:space="0" w:color="auto"/>
              <w:bottom w:val="single" w:sz="4" w:space="0" w:color="auto"/>
            </w:tcBorders>
            <w:shd w:val="clear" w:color="auto" w:fill="auto"/>
          </w:tcPr>
          <w:p w14:paraId="1AF737F7"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0.17HE</w:t>
            </w:r>
          </w:p>
        </w:tc>
        <w:tc>
          <w:tcPr>
            <w:tcW w:w="910" w:type="dxa"/>
            <w:tcBorders>
              <w:top w:val="single" w:sz="4" w:space="0" w:color="auto"/>
              <w:bottom w:val="single" w:sz="4" w:space="0" w:color="auto"/>
            </w:tcBorders>
            <w:shd w:val="clear" w:color="auto" w:fill="auto"/>
          </w:tcPr>
          <w:p w14:paraId="192AC085"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0.28HE</w:t>
            </w:r>
          </w:p>
        </w:tc>
        <w:tc>
          <w:tcPr>
            <w:tcW w:w="913" w:type="dxa"/>
            <w:tcBorders>
              <w:top w:val="single" w:sz="4" w:space="0" w:color="auto"/>
              <w:bottom w:val="single" w:sz="4" w:space="0" w:color="auto"/>
            </w:tcBorders>
            <w:shd w:val="clear" w:color="auto" w:fill="auto"/>
          </w:tcPr>
          <w:p w14:paraId="1828743A"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0.38HE</w:t>
            </w:r>
          </w:p>
        </w:tc>
        <w:tc>
          <w:tcPr>
            <w:tcW w:w="910" w:type="dxa"/>
            <w:gridSpan w:val="2"/>
            <w:tcBorders>
              <w:top w:val="single" w:sz="4" w:space="0" w:color="auto"/>
              <w:bottom w:val="single" w:sz="4" w:space="0" w:color="auto"/>
            </w:tcBorders>
            <w:shd w:val="clear" w:color="auto" w:fill="auto"/>
          </w:tcPr>
          <w:p w14:paraId="62FF9A9A"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0.48HE</w:t>
            </w:r>
          </w:p>
        </w:tc>
        <w:tc>
          <w:tcPr>
            <w:tcW w:w="749" w:type="dxa"/>
            <w:tcBorders>
              <w:top w:val="nil"/>
              <w:bottom w:val="single" w:sz="4" w:space="0" w:color="auto"/>
            </w:tcBorders>
            <w:shd w:val="clear" w:color="auto" w:fill="auto"/>
          </w:tcPr>
          <w:p w14:paraId="02DAF55E"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SED</w:t>
            </w:r>
          </w:p>
        </w:tc>
        <w:tc>
          <w:tcPr>
            <w:tcW w:w="867" w:type="dxa"/>
            <w:tcBorders>
              <w:top w:val="single" w:sz="4" w:space="0" w:color="auto"/>
              <w:bottom w:val="single" w:sz="4" w:space="0" w:color="auto"/>
            </w:tcBorders>
            <w:shd w:val="clear" w:color="auto" w:fill="auto"/>
          </w:tcPr>
          <w:p w14:paraId="2503CE73"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Treat.</w:t>
            </w:r>
          </w:p>
        </w:tc>
        <w:tc>
          <w:tcPr>
            <w:tcW w:w="867" w:type="dxa"/>
            <w:tcBorders>
              <w:top w:val="single" w:sz="4" w:space="0" w:color="auto"/>
              <w:bottom w:val="single" w:sz="4" w:space="0" w:color="auto"/>
            </w:tcBorders>
            <w:shd w:val="clear" w:color="auto" w:fill="auto"/>
          </w:tcPr>
          <w:p w14:paraId="1E13C735"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Lin.</w:t>
            </w:r>
          </w:p>
        </w:tc>
        <w:tc>
          <w:tcPr>
            <w:tcW w:w="804" w:type="dxa"/>
            <w:tcBorders>
              <w:top w:val="single" w:sz="4" w:space="0" w:color="auto"/>
              <w:bottom w:val="single" w:sz="4" w:space="0" w:color="auto"/>
              <w:right w:val="nil"/>
            </w:tcBorders>
            <w:shd w:val="clear" w:color="auto" w:fill="auto"/>
          </w:tcPr>
          <w:p w14:paraId="77CDF3EC"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Quad.</w:t>
            </w:r>
          </w:p>
        </w:tc>
      </w:tr>
      <w:tr w:rsidR="008C08A4" w:rsidRPr="00BE2B8C" w14:paraId="04430D1A" w14:textId="77777777" w:rsidTr="006B6052">
        <w:trPr>
          <w:gridAfter w:val="1"/>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tcBorders>
              <w:top w:val="single" w:sz="4" w:space="0" w:color="auto"/>
            </w:tcBorders>
            <w:shd w:val="clear" w:color="auto" w:fill="auto"/>
          </w:tcPr>
          <w:p w14:paraId="136EFFBA" w14:textId="77777777" w:rsidR="008C08A4" w:rsidRPr="00BE2B8C" w:rsidRDefault="008C08A4" w:rsidP="00F71435">
            <w:pPr>
              <w:jc w:val="both"/>
              <w:rPr>
                <w:rFonts w:ascii="Aptos" w:hAnsi="Aptos" w:cs="Times New Roman"/>
                <w:b w:val="0"/>
              </w:rPr>
            </w:pPr>
            <w:r w:rsidRPr="00BE2B8C">
              <w:rPr>
                <w:rFonts w:ascii="Aptos" w:hAnsi="Aptos" w:cs="Times New Roman"/>
                <w:b w:val="0"/>
              </w:rPr>
              <w:t>Total DMI (kg/day)</w:t>
            </w:r>
          </w:p>
        </w:tc>
        <w:tc>
          <w:tcPr>
            <w:tcW w:w="910" w:type="dxa"/>
            <w:tcBorders>
              <w:top w:val="single" w:sz="4" w:space="0" w:color="auto"/>
            </w:tcBorders>
            <w:shd w:val="clear" w:color="auto" w:fill="auto"/>
          </w:tcPr>
          <w:p w14:paraId="24554D5A"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23.2</w:t>
            </w:r>
          </w:p>
        </w:tc>
        <w:tc>
          <w:tcPr>
            <w:tcW w:w="910" w:type="dxa"/>
            <w:tcBorders>
              <w:top w:val="single" w:sz="4" w:space="0" w:color="auto"/>
            </w:tcBorders>
            <w:shd w:val="clear" w:color="auto" w:fill="auto"/>
          </w:tcPr>
          <w:p w14:paraId="778533CF"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23.6</w:t>
            </w:r>
          </w:p>
        </w:tc>
        <w:tc>
          <w:tcPr>
            <w:tcW w:w="913" w:type="dxa"/>
            <w:tcBorders>
              <w:top w:val="single" w:sz="4" w:space="0" w:color="auto"/>
            </w:tcBorders>
            <w:shd w:val="clear" w:color="auto" w:fill="auto"/>
          </w:tcPr>
          <w:p w14:paraId="4C217C4B"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23.8</w:t>
            </w:r>
          </w:p>
        </w:tc>
        <w:tc>
          <w:tcPr>
            <w:tcW w:w="910" w:type="dxa"/>
            <w:gridSpan w:val="2"/>
            <w:tcBorders>
              <w:top w:val="single" w:sz="4" w:space="0" w:color="auto"/>
            </w:tcBorders>
            <w:shd w:val="clear" w:color="auto" w:fill="auto"/>
          </w:tcPr>
          <w:p w14:paraId="3BAA18E5"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23.8</w:t>
            </w:r>
          </w:p>
        </w:tc>
        <w:tc>
          <w:tcPr>
            <w:tcW w:w="749" w:type="dxa"/>
            <w:tcBorders>
              <w:top w:val="single" w:sz="4" w:space="0" w:color="auto"/>
            </w:tcBorders>
            <w:shd w:val="clear" w:color="auto" w:fill="auto"/>
          </w:tcPr>
          <w:p w14:paraId="0789E642"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0.28</w:t>
            </w:r>
          </w:p>
        </w:tc>
        <w:tc>
          <w:tcPr>
            <w:tcW w:w="867" w:type="dxa"/>
            <w:tcBorders>
              <w:top w:val="single" w:sz="4" w:space="0" w:color="auto"/>
              <w:bottom w:val="nil"/>
            </w:tcBorders>
            <w:shd w:val="clear" w:color="auto" w:fill="auto"/>
          </w:tcPr>
          <w:p w14:paraId="50531604"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0.205</w:t>
            </w:r>
          </w:p>
        </w:tc>
        <w:tc>
          <w:tcPr>
            <w:tcW w:w="867" w:type="dxa"/>
            <w:tcBorders>
              <w:top w:val="single" w:sz="4" w:space="0" w:color="auto"/>
              <w:bottom w:val="nil"/>
            </w:tcBorders>
            <w:shd w:val="clear" w:color="auto" w:fill="auto"/>
          </w:tcPr>
          <w:p w14:paraId="1E807F75"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0.067</w:t>
            </w:r>
          </w:p>
        </w:tc>
        <w:tc>
          <w:tcPr>
            <w:tcW w:w="804" w:type="dxa"/>
            <w:tcBorders>
              <w:top w:val="single" w:sz="4" w:space="0" w:color="auto"/>
              <w:bottom w:val="nil"/>
              <w:right w:val="nil"/>
            </w:tcBorders>
            <w:shd w:val="clear" w:color="auto" w:fill="auto"/>
          </w:tcPr>
          <w:p w14:paraId="42A6637A"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0.297</w:t>
            </w:r>
          </w:p>
        </w:tc>
      </w:tr>
      <w:tr w:rsidR="008C08A4" w:rsidRPr="00BE2B8C" w14:paraId="19F7DCCC" w14:textId="77777777" w:rsidTr="006B6052">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1B5A4064" w14:textId="77777777" w:rsidR="008C08A4" w:rsidRPr="00BE2B8C" w:rsidRDefault="008C08A4" w:rsidP="00F71435">
            <w:pPr>
              <w:jc w:val="both"/>
              <w:rPr>
                <w:rFonts w:ascii="Aptos" w:hAnsi="Aptos" w:cs="Times New Roman"/>
                <w:b w:val="0"/>
              </w:rPr>
            </w:pPr>
            <w:r w:rsidRPr="00BE2B8C">
              <w:rPr>
                <w:rFonts w:ascii="Aptos" w:hAnsi="Aptos" w:cs="Times New Roman"/>
                <w:b w:val="0"/>
              </w:rPr>
              <w:t>ECM yield (kg/day)</w:t>
            </w:r>
          </w:p>
        </w:tc>
        <w:tc>
          <w:tcPr>
            <w:tcW w:w="910" w:type="dxa"/>
            <w:shd w:val="clear" w:color="auto" w:fill="auto"/>
          </w:tcPr>
          <w:p w14:paraId="7064FAAA" w14:textId="3D20C8B9"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39</w:t>
            </w:r>
            <w:r w:rsidR="00C97977">
              <w:rPr>
                <w:rFonts w:ascii="Aptos" w:hAnsi="Aptos" w:cs="Times New Roman"/>
              </w:rPr>
              <w:t>.0</w:t>
            </w:r>
          </w:p>
        </w:tc>
        <w:tc>
          <w:tcPr>
            <w:tcW w:w="910" w:type="dxa"/>
            <w:shd w:val="clear" w:color="auto" w:fill="auto"/>
          </w:tcPr>
          <w:p w14:paraId="6CF150C1"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37.7</w:t>
            </w:r>
          </w:p>
        </w:tc>
        <w:tc>
          <w:tcPr>
            <w:tcW w:w="913" w:type="dxa"/>
            <w:shd w:val="clear" w:color="auto" w:fill="auto"/>
          </w:tcPr>
          <w:p w14:paraId="00B3E5D7"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37.0</w:t>
            </w:r>
          </w:p>
        </w:tc>
        <w:tc>
          <w:tcPr>
            <w:tcW w:w="910" w:type="dxa"/>
            <w:gridSpan w:val="2"/>
            <w:shd w:val="clear" w:color="auto" w:fill="auto"/>
          </w:tcPr>
          <w:p w14:paraId="108527F9"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36.1</w:t>
            </w:r>
          </w:p>
        </w:tc>
        <w:tc>
          <w:tcPr>
            <w:tcW w:w="749" w:type="dxa"/>
            <w:shd w:val="clear" w:color="auto" w:fill="auto"/>
          </w:tcPr>
          <w:p w14:paraId="5F5B3E25"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0.73</w:t>
            </w:r>
          </w:p>
        </w:tc>
        <w:tc>
          <w:tcPr>
            <w:tcW w:w="867" w:type="dxa"/>
            <w:tcBorders>
              <w:top w:val="nil"/>
            </w:tcBorders>
            <w:shd w:val="clear" w:color="auto" w:fill="auto"/>
          </w:tcPr>
          <w:p w14:paraId="4A6BE9BE" w14:textId="0B1EE317" w:rsidR="008C08A4" w:rsidRPr="00BE2B8C" w:rsidRDefault="00987EC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0.002</w:t>
            </w:r>
          </w:p>
        </w:tc>
        <w:tc>
          <w:tcPr>
            <w:tcW w:w="867" w:type="dxa"/>
            <w:tcBorders>
              <w:top w:val="nil"/>
            </w:tcBorders>
            <w:shd w:val="clear" w:color="auto" w:fill="auto"/>
          </w:tcPr>
          <w:p w14:paraId="28F30D85" w14:textId="1180E5F5" w:rsidR="008C08A4" w:rsidRPr="00BE2B8C" w:rsidRDefault="00987EC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04" w:type="dxa"/>
            <w:tcBorders>
              <w:top w:val="nil"/>
            </w:tcBorders>
            <w:shd w:val="clear" w:color="auto" w:fill="auto"/>
          </w:tcPr>
          <w:p w14:paraId="0F5A6596"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0.749</w:t>
            </w:r>
          </w:p>
        </w:tc>
      </w:tr>
      <w:tr w:rsidR="008C08A4" w:rsidRPr="00BE2B8C" w14:paraId="0176D189" w14:textId="77777777" w:rsidTr="006B6052">
        <w:trPr>
          <w:gridAfter w:val="1"/>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54DE4584" w14:textId="77777777" w:rsidR="008C08A4" w:rsidRPr="00BE2B8C" w:rsidRDefault="008C08A4" w:rsidP="00F71435">
            <w:pPr>
              <w:jc w:val="both"/>
              <w:rPr>
                <w:rFonts w:ascii="Aptos" w:hAnsi="Aptos" w:cs="Times New Roman"/>
                <w:b w:val="0"/>
              </w:rPr>
            </w:pPr>
            <w:r w:rsidRPr="00BE2B8C">
              <w:rPr>
                <w:rFonts w:ascii="Aptos" w:hAnsi="Aptos" w:cs="Times New Roman"/>
                <w:b w:val="0"/>
              </w:rPr>
              <w:t>Milk fat (g/kg)</w:t>
            </w:r>
          </w:p>
        </w:tc>
        <w:tc>
          <w:tcPr>
            <w:tcW w:w="910" w:type="dxa"/>
            <w:shd w:val="clear" w:color="auto" w:fill="auto"/>
          </w:tcPr>
          <w:p w14:paraId="6E1DB6C3"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44.9</w:t>
            </w:r>
          </w:p>
        </w:tc>
        <w:tc>
          <w:tcPr>
            <w:tcW w:w="910" w:type="dxa"/>
            <w:shd w:val="clear" w:color="auto" w:fill="auto"/>
          </w:tcPr>
          <w:p w14:paraId="04F94091"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44.6</w:t>
            </w:r>
          </w:p>
        </w:tc>
        <w:tc>
          <w:tcPr>
            <w:tcW w:w="913" w:type="dxa"/>
            <w:shd w:val="clear" w:color="auto" w:fill="auto"/>
          </w:tcPr>
          <w:p w14:paraId="692EB98A"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45.5</w:t>
            </w:r>
          </w:p>
        </w:tc>
        <w:tc>
          <w:tcPr>
            <w:tcW w:w="910" w:type="dxa"/>
            <w:gridSpan w:val="2"/>
            <w:shd w:val="clear" w:color="auto" w:fill="auto"/>
          </w:tcPr>
          <w:p w14:paraId="4090CC2F"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45.6</w:t>
            </w:r>
          </w:p>
        </w:tc>
        <w:tc>
          <w:tcPr>
            <w:tcW w:w="749" w:type="dxa"/>
            <w:shd w:val="clear" w:color="auto" w:fill="auto"/>
          </w:tcPr>
          <w:p w14:paraId="0DF5F3E1"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0.90</w:t>
            </w:r>
          </w:p>
        </w:tc>
        <w:tc>
          <w:tcPr>
            <w:tcW w:w="867" w:type="dxa"/>
            <w:shd w:val="clear" w:color="auto" w:fill="auto"/>
          </w:tcPr>
          <w:p w14:paraId="2F99B92F"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0.645</w:t>
            </w:r>
          </w:p>
        </w:tc>
        <w:tc>
          <w:tcPr>
            <w:tcW w:w="867" w:type="dxa"/>
            <w:shd w:val="clear" w:color="auto" w:fill="auto"/>
          </w:tcPr>
          <w:p w14:paraId="37620DA0"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0.300</w:t>
            </w:r>
          </w:p>
        </w:tc>
        <w:tc>
          <w:tcPr>
            <w:tcW w:w="804" w:type="dxa"/>
            <w:shd w:val="clear" w:color="auto" w:fill="auto"/>
          </w:tcPr>
          <w:p w14:paraId="47B18CE4" w14:textId="31DCF6A9"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0.7</w:t>
            </w:r>
            <w:r w:rsidR="00CA4A26">
              <w:rPr>
                <w:rFonts w:ascii="Aptos" w:hAnsi="Aptos" w:cs="Times New Roman"/>
              </w:rPr>
              <w:t>2</w:t>
            </w:r>
            <w:r w:rsidRPr="00BE2B8C">
              <w:rPr>
                <w:rFonts w:ascii="Aptos" w:hAnsi="Aptos" w:cs="Times New Roman"/>
              </w:rPr>
              <w:t>5</w:t>
            </w:r>
          </w:p>
        </w:tc>
      </w:tr>
      <w:tr w:rsidR="006B6052" w:rsidRPr="00BE2B8C" w14:paraId="54F0BF8D" w14:textId="77777777" w:rsidTr="00CC280D">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9011" w:type="dxa"/>
            <w:gridSpan w:val="11"/>
            <w:shd w:val="clear" w:color="auto" w:fill="auto"/>
          </w:tcPr>
          <w:p w14:paraId="28A8206D" w14:textId="61663CB2" w:rsidR="006B6052" w:rsidRPr="006B6052" w:rsidRDefault="006B6052" w:rsidP="006B6052">
            <w:pPr>
              <w:rPr>
                <w:rFonts w:ascii="Aptos" w:hAnsi="Aptos" w:cs="Times New Roman"/>
                <w:b w:val="0"/>
                <w:bCs w:val="0"/>
              </w:rPr>
            </w:pPr>
            <w:r w:rsidRPr="006B6052">
              <w:rPr>
                <w:rFonts w:ascii="Aptos" w:hAnsi="Aptos" w:cs="Times New Roman"/>
                <w:b w:val="0"/>
                <w:bCs w:val="0"/>
              </w:rPr>
              <w:t>Milk fatty acid concentration (g/100 g total fatty acids)</w:t>
            </w:r>
          </w:p>
        </w:tc>
      </w:tr>
      <w:tr w:rsidR="00987EC7" w:rsidRPr="00BE2B8C" w14:paraId="68D2293C" w14:textId="77777777" w:rsidTr="006B6052">
        <w:trPr>
          <w:gridAfter w:val="1"/>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4A063E38" w14:textId="2A335A72" w:rsidR="00987EC7" w:rsidRPr="00987EC7" w:rsidRDefault="00987EC7" w:rsidP="00F71435">
            <w:pPr>
              <w:jc w:val="both"/>
              <w:rPr>
                <w:rFonts w:ascii="Aptos" w:hAnsi="Aptos" w:cs="Times New Roman"/>
                <w:b w:val="0"/>
                <w:bCs w:val="0"/>
              </w:rPr>
            </w:pPr>
            <w:r>
              <w:rPr>
                <w:rFonts w:ascii="Aptos" w:hAnsi="Aptos" w:cs="Times New Roman"/>
                <w:b w:val="0"/>
                <w:bCs w:val="0"/>
              </w:rPr>
              <w:t xml:space="preserve">Total </w:t>
            </w:r>
            <w:r w:rsidRPr="00987EC7">
              <w:rPr>
                <w:rFonts w:ascii="Aptos" w:hAnsi="Aptos" w:cs="Times New Roman"/>
                <w:b w:val="0"/>
                <w:bCs w:val="0"/>
              </w:rPr>
              <w:t xml:space="preserve">PUFA </w:t>
            </w:r>
          </w:p>
        </w:tc>
        <w:tc>
          <w:tcPr>
            <w:tcW w:w="910" w:type="dxa"/>
            <w:shd w:val="clear" w:color="auto" w:fill="auto"/>
          </w:tcPr>
          <w:p w14:paraId="6C8DC0CF" w14:textId="6F36CAA0"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2.4</w:t>
            </w:r>
          </w:p>
        </w:tc>
        <w:tc>
          <w:tcPr>
            <w:tcW w:w="910" w:type="dxa"/>
            <w:shd w:val="clear" w:color="auto" w:fill="auto"/>
          </w:tcPr>
          <w:p w14:paraId="152AB692" w14:textId="07D8B9C9"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2.4</w:t>
            </w:r>
          </w:p>
        </w:tc>
        <w:tc>
          <w:tcPr>
            <w:tcW w:w="913" w:type="dxa"/>
            <w:shd w:val="clear" w:color="auto" w:fill="auto"/>
          </w:tcPr>
          <w:p w14:paraId="22AAABC6" w14:textId="47D6A491"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2.3</w:t>
            </w:r>
          </w:p>
        </w:tc>
        <w:tc>
          <w:tcPr>
            <w:tcW w:w="910" w:type="dxa"/>
            <w:gridSpan w:val="2"/>
            <w:shd w:val="clear" w:color="auto" w:fill="auto"/>
          </w:tcPr>
          <w:p w14:paraId="088C8F45" w14:textId="0E745D51"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2.2</w:t>
            </w:r>
          </w:p>
        </w:tc>
        <w:tc>
          <w:tcPr>
            <w:tcW w:w="749" w:type="dxa"/>
            <w:shd w:val="clear" w:color="auto" w:fill="auto"/>
          </w:tcPr>
          <w:p w14:paraId="1360F05C" w14:textId="2E8E7ED6"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0.04</w:t>
            </w:r>
          </w:p>
        </w:tc>
        <w:tc>
          <w:tcPr>
            <w:tcW w:w="867" w:type="dxa"/>
            <w:shd w:val="clear" w:color="auto" w:fill="auto"/>
          </w:tcPr>
          <w:p w14:paraId="08F1A5EF" w14:textId="7E0B78EA"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0.003</w:t>
            </w:r>
          </w:p>
        </w:tc>
        <w:tc>
          <w:tcPr>
            <w:tcW w:w="867" w:type="dxa"/>
            <w:shd w:val="clear" w:color="auto" w:fill="auto"/>
          </w:tcPr>
          <w:p w14:paraId="39777141" w14:textId="26FE49A3"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&lt;0.001</w:t>
            </w:r>
          </w:p>
        </w:tc>
        <w:tc>
          <w:tcPr>
            <w:tcW w:w="804" w:type="dxa"/>
            <w:shd w:val="clear" w:color="auto" w:fill="auto"/>
          </w:tcPr>
          <w:p w14:paraId="3640A3A1" w14:textId="5088E919" w:rsidR="00987EC7" w:rsidRPr="00BE2B8C" w:rsidRDefault="00987EC7"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0.278</w:t>
            </w:r>
          </w:p>
        </w:tc>
      </w:tr>
      <w:tr w:rsidR="008C08A4" w:rsidRPr="00BE2B8C" w14:paraId="5E09DFF7" w14:textId="77777777" w:rsidTr="006B6052">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46512BEB" w14:textId="0F21A2D4" w:rsidR="008C08A4" w:rsidRPr="00BE2B8C" w:rsidRDefault="008C08A4" w:rsidP="00F71435">
            <w:pPr>
              <w:jc w:val="both"/>
              <w:rPr>
                <w:rFonts w:ascii="Aptos" w:hAnsi="Aptos" w:cs="Times New Roman"/>
                <w:b w:val="0"/>
              </w:rPr>
            </w:pPr>
            <w:r w:rsidRPr="00BE2B8C">
              <w:rPr>
                <w:rFonts w:ascii="Aptos" w:hAnsi="Aptos" w:cs="Times New Roman"/>
                <w:b w:val="0"/>
              </w:rPr>
              <w:t>CLA</w:t>
            </w:r>
            <w:r>
              <w:rPr>
                <w:rFonts w:ascii="Aptos" w:hAnsi="Aptos" w:cs="Times New Roman"/>
                <w:b w:val="0"/>
              </w:rPr>
              <w:t xml:space="preserve"> </w:t>
            </w:r>
          </w:p>
        </w:tc>
        <w:tc>
          <w:tcPr>
            <w:tcW w:w="910" w:type="dxa"/>
            <w:shd w:val="clear" w:color="auto" w:fill="auto"/>
          </w:tcPr>
          <w:p w14:paraId="330EA439"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0.53</w:t>
            </w:r>
          </w:p>
        </w:tc>
        <w:tc>
          <w:tcPr>
            <w:tcW w:w="910" w:type="dxa"/>
            <w:shd w:val="clear" w:color="auto" w:fill="auto"/>
          </w:tcPr>
          <w:p w14:paraId="53BEF972"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0.50</w:t>
            </w:r>
          </w:p>
        </w:tc>
        <w:tc>
          <w:tcPr>
            <w:tcW w:w="913" w:type="dxa"/>
            <w:shd w:val="clear" w:color="auto" w:fill="auto"/>
          </w:tcPr>
          <w:p w14:paraId="607462FA"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0.46</w:t>
            </w:r>
          </w:p>
        </w:tc>
        <w:tc>
          <w:tcPr>
            <w:tcW w:w="910" w:type="dxa"/>
            <w:gridSpan w:val="2"/>
            <w:shd w:val="clear" w:color="auto" w:fill="auto"/>
          </w:tcPr>
          <w:p w14:paraId="6C06057B"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0.39</w:t>
            </w:r>
          </w:p>
        </w:tc>
        <w:tc>
          <w:tcPr>
            <w:tcW w:w="749" w:type="dxa"/>
            <w:shd w:val="clear" w:color="auto" w:fill="auto"/>
          </w:tcPr>
          <w:p w14:paraId="3E0D38C5"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0.036</w:t>
            </w:r>
          </w:p>
        </w:tc>
        <w:tc>
          <w:tcPr>
            <w:tcW w:w="867" w:type="dxa"/>
            <w:shd w:val="clear" w:color="auto" w:fill="auto"/>
          </w:tcPr>
          <w:p w14:paraId="1C47A56D" w14:textId="44EBFD20" w:rsidR="008C08A4" w:rsidRPr="00BE2B8C" w:rsidRDefault="00987EC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0.001</w:t>
            </w:r>
          </w:p>
        </w:tc>
        <w:tc>
          <w:tcPr>
            <w:tcW w:w="867" w:type="dxa"/>
            <w:shd w:val="clear" w:color="auto" w:fill="auto"/>
          </w:tcPr>
          <w:p w14:paraId="03A2017F" w14:textId="2FDB890D" w:rsidR="008C08A4" w:rsidRPr="00BE2B8C" w:rsidRDefault="00987EC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04" w:type="dxa"/>
            <w:shd w:val="clear" w:color="auto" w:fill="auto"/>
          </w:tcPr>
          <w:p w14:paraId="79200FC5"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0.407</w:t>
            </w:r>
          </w:p>
        </w:tc>
      </w:tr>
      <w:tr w:rsidR="008C08A4" w:rsidRPr="00BE2B8C" w14:paraId="3E713D9B" w14:textId="77777777" w:rsidTr="006B6052">
        <w:trPr>
          <w:gridAfter w:val="1"/>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3BE1FA0C" w14:textId="77777777" w:rsidR="008C08A4" w:rsidRPr="00BE2B8C" w:rsidRDefault="008C08A4" w:rsidP="00F71435">
            <w:pPr>
              <w:jc w:val="both"/>
              <w:rPr>
                <w:rFonts w:ascii="Aptos" w:hAnsi="Aptos" w:cs="Times New Roman"/>
                <w:b w:val="0"/>
                <w:bCs w:val="0"/>
              </w:rPr>
            </w:pPr>
            <w:r w:rsidRPr="00BE2B8C">
              <w:rPr>
                <w:rFonts w:ascii="Aptos" w:hAnsi="Aptos" w:cs="Times New Roman"/>
                <w:b w:val="0"/>
                <w:bCs w:val="0"/>
              </w:rPr>
              <w:t>Milk protein (g/kg)</w:t>
            </w:r>
          </w:p>
        </w:tc>
        <w:tc>
          <w:tcPr>
            <w:tcW w:w="910" w:type="dxa"/>
            <w:shd w:val="clear" w:color="auto" w:fill="auto"/>
          </w:tcPr>
          <w:p w14:paraId="674266BD"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32.4</w:t>
            </w:r>
          </w:p>
        </w:tc>
        <w:tc>
          <w:tcPr>
            <w:tcW w:w="910" w:type="dxa"/>
            <w:shd w:val="clear" w:color="auto" w:fill="auto"/>
          </w:tcPr>
          <w:p w14:paraId="796C4C54"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32.5</w:t>
            </w:r>
          </w:p>
        </w:tc>
        <w:tc>
          <w:tcPr>
            <w:tcW w:w="913" w:type="dxa"/>
            <w:shd w:val="clear" w:color="auto" w:fill="auto"/>
          </w:tcPr>
          <w:p w14:paraId="4AB93364"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32.6</w:t>
            </w:r>
          </w:p>
        </w:tc>
        <w:tc>
          <w:tcPr>
            <w:tcW w:w="910" w:type="dxa"/>
            <w:gridSpan w:val="2"/>
            <w:shd w:val="clear" w:color="auto" w:fill="auto"/>
          </w:tcPr>
          <w:p w14:paraId="3DF56D5A" w14:textId="3993072C"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32.</w:t>
            </w:r>
            <w:r w:rsidR="00DF6351">
              <w:rPr>
                <w:rFonts w:ascii="Aptos" w:hAnsi="Aptos" w:cs="Times New Roman"/>
              </w:rPr>
              <w:t>9</w:t>
            </w:r>
          </w:p>
        </w:tc>
        <w:tc>
          <w:tcPr>
            <w:tcW w:w="749" w:type="dxa"/>
            <w:shd w:val="clear" w:color="auto" w:fill="auto"/>
          </w:tcPr>
          <w:p w14:paraId="0B70F05D"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0.35</w:t>
            </w:r>
          </w:p>
        </w:tc>
        <w:tc>
          <w:tcPr>
            <w:tcW w:w="867" w:type="dxa"/>
            <w:shd w:val="clear" w:color="auto" w:fill="auto"/>
          </w:tcPr>
          <w:p w14:paraId="06C1CB06"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0.822</w:t>
            </w:r>
          </w:p>
        </w:tc>
        <w:tc>
          <w:tcPr>
            <w:tcW w:w="867" w:type="dxa"/>
            <w:shd w:val="clear" w:color="auto" w:fill="auto"/>
          </w:tcPr>
          <w:p w14:paraId="5396513D"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0.957</w:t>
            </w:r>
          </w:p>
        </w:tc>
        <w:tc>
          <w:tcPr>
            <w:tcW w:w="804" w:type="dxa"/>
            <w:shd w:val="clear" w:color="auto" w:fill="auto"/>
          </w:tcPr>
          <w:p w14:paraId="48B76382"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0.394</w:t>
            </w:r>
          </w:p>
        </w:tc>
      </w:tr>
      <w:tr w:rsidR="008C08A4" w:rsidRPr="00BE2B8C" w14:paraId="42C646EE" w14:textId="77777777" w:rsidTr="006B6052">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195532CF" w14:textId="77777777" w:rsidR="008C08A4" w:rsidRPr="00BE2B8C" w:rsidRDefault="008C08A4" w:rsidP="00F71435">
            <w:pPr>
              <w:jc w:val="both"/>
              <w:rPr>
                <w:rFonts w:ascii="Aptos" w:hAnsi="Aptos" w:cs="Times New Roman"/>
                <w:b w:val="0"/>
              </w:rPr>
            </w:pPr>
            <w:r w:rsidRPr="00BE2B8C">
              <w:rPr>
                <w:rFonts w:ascii="Aptos" w:hAnsi="Aptos" w:cs="Times New Roman"/>
                <w:b w:val="0"/>
              </w:rPr>
              <w:t>FCR</w:t>
            </w:r>
          </w:p>
        </w:tc>
        <w:tc>
          <w:tcPr>
            <w:tcW w:w="910" w:type="dxa"/>
            <w:shd w:val="clear" w:color="auto" w:fill="auto"/>
          </w:tcPr>
          <w:p w14:paraId="748AFE52"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1.68</w:t>
            </w:r>
          </w:p>
        </w:tc>
        <w:tc>
          <w:tcPr>
            <w:tcW w:w="910" w:type="dxa"/>
            <w:shd w:val="clear" w:color="auto" w:fill="auto"/>
          </w:tcPr>
          <w:p w14:paraId="134B88CD"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1.60</w:t>
            </w:r>
          </w:p>
        </w:tc>
        <w:tc>
          <w:tcPr>
            <w:tcW w:w="913" w:type="dxa"/>
            <w:shd w:val="clear" w:color="auto" w:fill="auto"/>
          </w:tcPr>
          <w:p w14:paraId="53CBE16F"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1.54</w:t>
            </w:r>
          </w:p>
        </w:tc>
        <w:tc>
          <w:tcPr>
            <w:tcW w:w="910" w:type="dxa"/>
            <w:gridSpan w:val="2"/>
            <w:shd w:val="clear" w:color="auto" w:fill="auto"/>
          </w:tcPr>
          <w:p w14:paraId="4F944BAB"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1.52</w:t>
            </w:r>
          </w:p>
        </w:tc>
        <w:tc>
          <w:tcPr>
            <w:tcW w:w="749" w:type="dxa"/>
            <w:shd w:val="clear" w:color="auto" w:fill="auto"/>
          </w:tcPr>
          <w:p w14:paraId="0727D1FD"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0.033</w:t>
            </w:r>
          </w:p>
        </w:tc>
        <w:tc>
          <w:tcPr>
            <w:tcW w:w="867" w:type="dxa"/>
            <w:shd w:val="clear" w:color="auto" w:fill="auto"/>
          </w:tcPr>
          <w:p w14:paraId="1DAF9BD9" w14:textId="5C64D1AC" w:rsidR="008C08A4" w:rsidRPr="00BE2B8C" w:rsidRDefault="006372B6"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67" w:type="dxa"/>
            <w:shd w:val="clear" w:color="auto" w:fill="auto"/>
          </w:tcPr>
          <w:p w14:paraId="74FA8B80" w14:textId="69A471D7" w:rsidR="008C08A4" w:rsidRPr="00BE2B8C" w:rsidRDefault="006372B6"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04" w:type="dxa"/>
            <w:shd w:val="clear" w:color="auto" w:fill="auto"/>
          </w:tcPr>
          <w:p w14:paraId="4AC6AC21"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0.314</w:t>
            </w:r>
          </w:p>
        </w:tc>
      </w:tr>
      <w:tr w:rsidR="008C08A4" w:rsidRPr="00BE2B8C" w14:paraId="519CD0B7" w14:textId="77777777" w:rsidTr="006B6052">
        <w:trPr>
          <w:gridAfter w:val="1"/>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4B9BE33D" w14:textId="77777777" w:rsidR="008C08A4" w:rsidRPr="00BE2B8C" w:rsidRDefault="008C08A4" w:rsidP="00F71435">
            <w:pPr>
              <w:jc w:val="both"/>
              <w:rPr>
                <w:rFonts w:ascii="Aptos" w:hAnsi="Aptos" w:cs="Times New Roman"/>
                <w:b w:val="0"/>
              </w:rPr>
            </w:pPr>
            <w:r w:rsidRPr="00BE2B8C">
              <w:rPr>
                <w:rFonts w:ascii="Aptos" w:hAnsi="Aptos" w:cs="Times New Roman"/>
                <w:b w:val="0"/>
              </w:rPr>
              <w:t>eFCR (energy)</w:t>
            </w:r>
          </w:p>
        </w:tc>
        <w:tc>
          <w:tcPr>
            <w:tcW w:w="910" w:type="dxa"/>
            <w:shd w:val="clear" w:color="auto" w:fill="auto"/>
          </w:tcPr>
          <w:p w14:paraId="36697FA4"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3.57</w:t>
            </w:r>
          </w:p>
        </w:tc>
        <w:tc>
          <w:tcPr>
            <w:tcW w:w="910" w:type="dxa"/>
            <w:shd w:val="clear" w:color="auto" w:fill="auto"/>
          </w:tcPr>
          <w:p w14:paraId="08528050"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2.22</w:t>
            </w:r>
          </w:p>
        </w:tc>
        <w:tc>
          <w:tcPr>
            <w:tcW w:w="913" w:type="dxa"/>
            <w:shd w:val="clear" w:color="auto" w:fill="auto"/>
          </w:tcPr>
          <w:p w14:paraId="60112659"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1.59</w:t>
            </w:r>
          </w:p>
        </w:tc>
        <w:tc>
          <w:tcPr>
            <w:tcW w:w="910" w:type="dxa"/>
            <w:gridSpan w:val="2"/>
            <w:shd w:val="clear" w:color="auto" w:fill="auto"/>
          </w:tcPr>
          <w:p w14:paraId="0CF90165"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1.23</w:t>
            </w:r>
          </w:p>
        </w:tc>
        <w:tc>
          <w:tcPr>
            <w:tcW w:w="749" w:type="dxa"/>
            <w:shd w:val="clear" w:color="auto" w:fill="auto"/>
          </w:tcPr>
          <w:p w14:paraId="47B74A18"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0.016</w:t>
            </w:r>
          </w:p>
        </w:tc>
        <w:tc>
          <w:tcPr>
            <w:tcW w:w="867" w:type="dxa"/>
            <w:shd w:val="clear" w:color="auto" w:fill="auto"/>
          </w:tcPr>
          <w:p w14:paraId="5DA262B8" w14:textId="0A02339F" w:rsidR="008C08A4" w:rsidRPr="00BE2B8C" w:rsidRDefault="006372B6"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&lt;0.001</w:t>
            </w:r>
          </w:p>
        </w:tc>
        <w:tc>
          <w:tcPr>
            <w:tcW w:w="867" w:type="dxa"/>
            <w:shd w:val="clear" w:color="auto" w:fill="auto"/>
          </w:tcPr>
          <w:p w14:paraId="39B20B2E" w14:textId="2CEADA1B" w:rsidR="008C08A4" w:rsidRPr="00BE2B8C" w:rsidRDefault="006372B6"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Pr>
                <w:rFonts w:ascii="Aptos" w:hAnsi="Aptos" w:cs="Times New Roman"/>
              </w:rPr>
              <w:t>&lt;0.001</w:t>
            </w:r>
          </w:p>
        </w:tc>
        <w:tc>
          <w:tcPr>
            <w:tcW w:w="804" w:type="dxa"/>
            <w:shd w:val="clear" w:color="auto" w:fill="auto"/>
          </w:tcPr>
          <w:p w14:paraId="7E63B17C" w14:textId="77777777" w:rsidR="008C08A4" w:rsidRPr="00BE2B8C" w:rsidRDefault="008C08A4" w:rsidP="00F7143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rPr>
            </w:pPr>
            <w:r w:rsidRPr="00BE2B8C">
              <w:rPr>
                <w:rFonts w:ascii="Aptos" w:hAnsi="Aptos" w:cs="Times New Roman"/>
              </w:rPr>
              <w:t>0.626</w:t>
            </w:r>
          </w:p>
        </w:tc>
      </w:tr>
      <w:tr w:rsidR="008C08A4" w:rsidRPr="00BE2B8C" w14:paraId="5F3104B6" w14:textId="77777777" w:rsidTr="006B6052">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081" w:type="dxa"/>
            <w:gridSpan w:val="2"/>
            <w:shd w:val="clear" w:color="auto" w:fill="auto"/>
          </w:tcPr>
          <w:p w14:paraId="07FFE143" w14:textId="42B27A90" w:rsidR="008C08A4" w:rsidRPr="00BE2B8C" w:rsidRDefault="008C08A4" w:rsidP="00F71435">
            <w:pPr>
              <w:jc w:val="both"/>
              <w:rPr>
                <w:rFonts w:ascii="Aptos" w:hAnsi="Aptos" w:cs="Times New Roman"/>
                <w:b w:val="0"/>
              </w:rPr>
            </w:pPr>
            <w:r w:rsidRPr="00BE2B8C">
              <w:rPr>
                <w:rFonts w:ascii="Aptos" w:hAnsi="Aptos" w:cs="Times New Roman"/>
                <w:b w:val="0"/>
              </w:rPr>
              <w:t>NFP</w:t>
            </w:r>
            <w:r w:rsidR="00E101E8">
              <w:rPr>
                <w:rFonts w:ascii="Aptos" w:hAnsi="Aptos" w:cs="Times New Roman"/>
                <w:b w:val="0"/>
              </w:rPr>
              <w:t>(Protein</w:t>
            </w:r>
            <w:r w:rsidRPr="00BE2B8C">
              <w:rPr>
                <w:rFonts w:ascii="Aptos" w:hAnsi="Aptos" w:cs="Times New Roman"/>
                <w:b w:val="0"/>
              </w:rPr>
              <w:t>)</w:t>
            </w:r>
            <w:r w:rsidR="002331B1">
              <w:rPr>
                <w:rFonts w:ascii="Aptos" w:hAnsi="Aptos" w:cs="Times New Roman"/>
                <w:b w:val="0"/>
              </w:rPr>
              <w:t>(</w:t>
            </w:r>
            <w:r w:rsidRPr="00BE2B8C">
              <w:rPr>
                <w:rFonts w:ascii="Aptos" w:hAnsi="Aptos" w:cs="Times New Roman"/>
                <w:b w:val="0"/>
              </w:rPr>
              <w:t>g/day)</w:t>
            </w:r>
          </w:p>
        </w:tc>
        <w:tc>
          <w:tcPr>
            <w:tcW w:w="910" w:type="dxa"/>
            <w:shd w:val="clear" w:color="auto" w:fill="auto"/>
          </w:tcPr>
          <w:p w14:paraId="7E718693" w14:textId="240B607D" w:rsidR="008C08A4" w:rsidRPr="00BE2B8C" w:rsidRDefault="0019234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815</w:t>
            </w:r>
          </w:p>
        </w:tc>
        <w:tc>
          <w:tcPr>
            <w:tcW w:w="910" w:type="dxa"/>
            <w:shd w:val="clear" w:color="auto" w:fill="auto"/>
          </w:tcPr>
          <w:p w14:paraId="6444C14B" w14:textId="46460EF5" w:rsidR="008C08A4" w:rsidRPr="00BE2B8C" w:rsidRDefault="0019234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609</w:t>
            </w:r>
          </w:p>
        </w:tc>
        <w:tc>
          <w:tcPr>
            <w:tcW w:w="913" w:type="dxa"/>
            <w:shd w:val="clear" w:color="auto" w:fill="auto"/>
          </w:tcPr>
          <w:p w14:paraId="3CB838E2" w14:textId="768EAE6E" w:rsidR="008C08A4" w:rsidRPr="00BE2B8C" w:rsidRDefault="0019234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412</w:t>
            </w:r>
          </w:p>
        </w:tc>
        <w:tc>
          <w:tcPr>
            <w:tcW w:w="910" w:type="dxa"/>
            <w:gridSpan w:val="2"/>
            <w:shd w:val="clear" w:color="auto" w:fill="auto"/>
          </w:tcPr>
          <w:p w14:paraId="026AF964" w14:textId="10EA3DF3" w:rsidR="008C08A4" w:rsidRPr="00BE2B8C" w:rsidRDefault="00192347"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209</w:t>
            </w:r>
          </w:p>
        </w:tc>
        <w:tc>
          <w:tcPr>
            <w:tcW w:w="749" w:type="dxa"/>
            <w:shd w:val="clear" w:color="auto" w:fill="auto"/>
          </w:tcPr>
          <w:p w14:paraId="5CEE2926"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26.0</w:t>
            </w:r>
          </w:p>
        </w:tc>
        <w:tc>
          <w:tcPr>
            <w:tcW w:w="867" w:type="dxa"/>
            <w:shd w:val="clear" w:color="auto" w:fill="auto"/>
          </w:tcPr>
          <w:p w14:paraId="37AD7D03" w14:textId="4A6139A6" w:rsidR="008C08A4" w:rsidRPr="00BE2B8C" w:rsidRDefault="006372B6"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67" w:type="dxa"/>
            <w:shd w:val="clear" w:color="auto" w:fill="auto"/>
          </w:tcPr>
          <w:p w14:paraId="15A19D48" w14:textId="5FF38F96" w:rsidR="008C08A4" w:rsidRPr="00BE2B8C" w:rsidRDefault="006372B6"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Pr>
                <w:rFonts w:ascii="Aptos" w:hAnsi="Aptos" w:cs="Times New Roman"/>
              </w:rPr>
              <w:t>&lt;0.001</w:t>
            </w:r>
          </w:p>
        </w:tc>
        <w:tc>
          <w:tcPr>
            <w:tcW w:w="804" w:type="dxa"/>
            <w:shd w:val="clear" w:color="auto" w:fill="auto"/>
          </w:tcPr>
          <w:p w14:paraId="741B87AE" w14:textId="77777777" w:rsidR="008C08A4" w:rsidRPr="00BE2B8C" w:rsidRDefault="008C08A4" w:rsidP="00F71435">
            <w:pPr>
              <w:jc w:val="center"/>
              <w:cnfStyle w:val="000000100000" w:firstRow="0" w:lastRow="0" w:firstColumn="0" w:lastColumn="0" w:oddVBand="0" w:evenVBand="0" w:oddHBand="1" w:evenHBand="0" w:firstRowFirstColumn="0" w:firstRowLastColumn="0" w:lastRowFirstColumn="0" w:lastRowLastColumn="0"/>
              <w:rPr>
                <w:rFonts w:ascii="Aptos" w:hAnsi="Aptos" w:cs="Times New Roman"/>
              </w:rPr>
            </w:pPr>
            <w:r w:rsidRPr="00BE2B8C">
              <w:rPr>
                <w:rFonts w:ascii="Aptos" w:hAnsi="Aptos" w:cs="Times New Roman"/>
              </w:rPr>
              <w:t>0.925</w:t>
            </w:r>
          </w:p>
        </w:tc>
      </w:tr>
    </w:tbl>
    <w:p w14:paraId="3D5C9672" w14:textId="61470976" w:rsidR="007B30E3" w:rsidRPr="00E101E8" w:rsidRDefault="007B30E3" w:rsidP="00E101E8">
      <w:pPr>
        <w:rPr>
          <w:lang w:val="en-US"/>
        </w:rPr>
      </w:pPr>
    </w:p>
    <w:p w14:paraId="568AFA8B" w14:textId="297719EE" w:rsidR="008C08A4" w:rsidRDefault="007B30E3" w:rsidP="008C08A4">
      <w:pPr>
        <w:jc w:val="both"/>
        <w:rPr>
          <w:rFonts w:ascii="Aptos" w:hAnsi="Aptos" w:cs="Times New Roman"/>
        </w:rPr>
      </w:pPr>
      <w:r>
        <w:rPr>
          <w:b/>
          <w:bCs/>
          <w:lang w:val="en-US"/>
        </w:rPr>
        <w:lastRenderedPageBreak/>
        <w:t>Conclusions</w:t>
      </w:r>
      <w:r w:rsidR="008C08A4" w:rsidRPr="00BE2B8C">
        <w:rPr>
          <w:rFonts w:ascii="Aptos" w:hAnsi="Aptos" w:cs="Times New Roman"/>
          <w:b/>
        </w:rPr>
        <w:t xml:space="preserve"> </w:t>
      </w:r>
      <w:r w:rsidR="008C08A4" w:rsidRPr="00BE2B8C">
        <w:rPr>
          <w:rFonts w:ascii="Aptos" w:hAnsi="Aptos" w:cs="Times New Roman"/>
        </w:rPr>
        <w:t>Increasing the HEF of the concentrate offered to dairy cows resulted in a reduction in milk yield and eFCR.</w:t>
      </w:r>
    </w:p>
    <w:p w14:paraId="60A09532" w14:textId="3EAAB017" w:rsidR="00B95019" w:rsidRPr="00B95019" w:rsidRDefault="00B95019" w:rsidP="008C08A4">
      <w:pPr>
        <w:jc w:val="both"/>
        <w:rPr>
          <w:rFonts w:ascii="Aptos" w:hAnsi="Aptos" w:cs="Times New Roman"/>
          <w:b/>
          <w:bCs/>
        </w:rPr>
      </w:pPr>
      <w:r w:rsidRPr="00B95019">
        <w:rPr>
          <w:rFonts w:ascii="Aptos" w:hAnsi="Aptos" w:cs="Times New Roman"/>
          <w:b/>
          <w:bCs/>
        </w:rPr>
        <w:t xml:space="preserve">Acknowledgements </w:t>
      </w:r>
      <w:r w:rsidRPr="00B95019">
        <w:rPr>
          <w:rFonts w:cs="Times New Roman"/>
        </w:rPr>
        <w:t>This project was funded by Department of Agriculture, Environment and Rural Affairs (DAERA).</w:t>
      </w:r>
    </w:p>
    <w:p w14:paraId="4CE42EB8" w14:textId="77777777" w:rsidR="008C08A4" w:rsidRDefault="007B30E3" w:rsidP="008C08A4">
      <w:pPr>
        <w:spacing w:line="240" w:lineRule="auto"/>
        <w:jc w:val="both"/>
        <w:rPr>
          <w:b/>
          <w:bCs/>
          <w:lang w:val="en-US"/>
        </w:rPr>
      </w:pPr>
      <w:r>
        <w:rPr>
          <w:b/>
          <w:bCs/>
          <w:lang w:val="en-US"/>
        </w:rPr>
        <w:t>References</w:t>
      </w:r>
      <w:r w:rsidR="008C08A4">
        <w:rPr>
          <w:b/>
          <w:bCs/>
          <w:lang w:val="en-US"/>
        </w:rPr>
        <w:t xml:space="preserve"> </w:t>
      </w:r>
    </w:p>
    <w:p w14:paraId="34C0DE06" w14:textId="251F1AD1" w:rsidR="008C08A4" w:rsidRPr="00F250A0" w:rsidRDefault="008C08A4" w:rsidP="008C08A4">
      <w:pPr>
        <w:spacing w:line="240" w:lineRule="auto"/>
        <w:jc w:val="both"/>
        <w:rPr>
          <w:rFonts w:ascii="Aptos" w:hAnsi="Aptos" w:cs="Times New Roman"/>
          <w:b/>
        </w:rPr>
      </w:pPr>
      <w:r w:rsidRPr="00BE2B8C">
        <w:rPr>
          <w:rFonts w:ascii="Aptos" w:hAnsi="Aptos" w:cs="Times New Roman"/>
        </w:rPr>
        <w:t>Ertl, P., Klocker, H., Hortenhuber, S., Knaus, W. and Zollitsch, W. (2015).  Agricultural Systems, 137: 119-125</w:t>
      </w:r>
      <w:r w:rsidR="00F51245">
        <w:rPr>
          <w:rFonts w:ascii="Aptos" w:hAnsi="Aptos" w:cs="Times New Roman"/>
        </w:rPr>
        <w:t>.</w:t>
      </w:r>
    </w:p>
    <w:p w14:paraId="66125169" w14:textId="355488C9" w:rsidR="008C08A4" w:rsidRPr="00BE2B8C" w:rsidRDefault="008C08A4" w:rsidP="008C08A4">
      <w:pPr>
        <w:spacing w:line="240" w:lineRule="auto"/>
        <w:jc w:val="both"/>
        <w:rPr>
          <w:rFonts w:ascii="Aptos" w:hAnsi="Aptos" w:cs="Times New Roman"/>
        </w:rPr>
      </w:pPr>
      <w:r w:rsidRPr="00BE2B8C">
        <w:rPr>
          <w:rFonts w:ascii="Aptos" w:hAnsi="Aptos" w:cs="Times New Roman"/>
        </w:rPr>
        <w:t xml:space="preserve">Wilkinson, J.M. (2011).  Animal, 5: 1014-1022 </w:t>
      </w:r>
      <w:r w:rsidR="00F51245">
        <w:rPr>
          <w:rFonts w:ascii="Aptos" w:hAnsi="Aptos" w:cs="Times New Roman"/>
        </w:rPr>
        <w:t>.</w:t>
      </w:r>
    </w:p>
    <w:p w14:paraId="72D3C694" w14:textId="77777777" w:rsidR="008C08A4" w:rsidRPr="007B30E3" w:rsidRDefault="008C08A4">
      <w:pPr>
        <w:rPr>
          <w:b/>
          <w:bCs/>
          <w:lang w:val="en-US"/>
        </w:rPr>
      </w:pPr>
    </w:p>
    <w:sectPr w:rsidR="008C08A4"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B0501"/>
    <w:multiLevelType w:val="hybridMultilevel"/>
    <w:tmpl w:val="9022D7F0"/>
    <w:lvl w:ilvl="0" w:tplc="F84C20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 w:numId="2" w16cid:durableId="155079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77260"/>
    <w:rsid w:val="000C4D22"/>
    <w:rsid w:val="00135CF6"/>
    <w:rsid w:val="00192347"/>
    <w:rsid w:val="002331B1"/>
    <w:rsid w:val="00383DCD"/>
    <w:rsid w:val="00397193"/>
    <w:rsid w:val="003C7D6B"/>
    <w:rsid w:val="004D37B8"/>
    <w:rsid w:val="004D71BC"/>
    <w:rsid w:val="005C5A34"/>
    <w:rsid w:val="00625B14"/>
    <w:rsid w:val="006372B6"/>
    <w:rsid w:val="006B6052"/>
    <w:rsid w:val="006C64A1"/>
    <w:rsid w:val="006E1CA4"/>
    <w:rsid w:val="00764950"/>
    <w:rsid w:val="007B30E3"/>
    <w:rsid w:val="007B3438"/>
    <w:rsid w:val="007C5940"/>
    <w:rsid w:val="00841BA2"/>
    <w:rsid w:val="00841FBE"/>
    <w:rsid w:val="008854CB"/>
    <w:rsid w:val="008C08A4"/>
    <w:rsid w:val="00933E8C"/>
    <w:rsid w:val="00987EC7"/>
    <w:rsid w:val="009C4ADA"/>
    <w:rsid w:val="00A13391"/>
    <w:rsid w:val="00B462A4"/>
    <w:rsid w:val="00B52E4E"/>
    <w:rsid w:val="00B71D18"/>
    <w:rsid w:val="00B95019"/>
    <w:rsid w:val="00BE765A"/>
    <w:rsid w:val="00C53AE2"/>
    <w:rsid w:val="00C55C09"/>
    <w:rsid w:val="00C95030"/>
    <w:rsid w:val="00C97977"/>
    <w:rsid w:val="00CA4A26"/>
    <w:rsid w:val="00CB07CB"/>
    <w:rsid w:val="00CC0251"/>
    <w:rsid w:val="00CD7454"/>
    <w:rsid w:val="00DC4A39"/>
    <w:rsid w:val="00DD21B5"/>
    <w:rsid w:val="00DF6351"/>
    <w:rsid w:val="00E101E8"/>
    <w:rsid w:val="00E27EE6"/>
    <w:rsid w:val="00F51245"/>
    <w:rsid w:val="00F63A00"/>
    <w:rsid w:val="00F83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table" w:styleId="ListTable2">
    <w:name w:val="List Table 2"/>
    <w:basedOn w:val="TableNormal"/>
    <w:uiPriority w:val="47"/>
    <w:rsid w:val="008C08A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617</Words>
  <Characters>3415</Characters>
  <Application>Microsoft Office Word</Application>
  <DocSecurity>0</DocSecurity>
  <Lines>142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Cushnahan, Aidan</cp:lastModifiedBy>
  <cp:revision>8</cp:revision>
  <cp:lastPrinted>2024-12-20T13:54:00Z</cp:lastPrinted>
  <dcterms:created xsi:type="dcterms:W3CDTF">2024-12-20T13:40:00Z</dcterms:created>
  <dcterms:modified xsi:type="dcterms:W3CDTF">2024-12-20T13:59:00Z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