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1978" w14:textId="2DC5F4E2" w:rsidR="00091903" w:rsidRPr="007A0C12" w:rsidRDefault="00091903" w:rsidP="00061DD8">
      <w:pPr>
        <w:jc w:val="both"/>
        <w:rPr>
          <w:rFonts w:ascii="Calibri" w:hAnsi="Calibri" w:cs="Calibri"/>
        </w:rPr>
      </w:pPr>
      <w:bookmarkStart w:id="0" w:name="_Hlk150858327"/>
      <w:r w:rsidRPr="007A0C12">
        <w:rPr>
          <w:rFonts w:ascii="Calibri" w:hAnsi="Calibri" w:cs="Calibri"/>
          <w:b/>
          <w:bCs/>
        </w:rPr>
        <w:t>Title</w:t>
      </w:r>
      <w:r w:rsidR="00D2628E" w:rsidRPr="007A0C12">
        <w:rPr>
          <w:rFonts w:ascii="Calibri" w:hAnsi="Calibri" w:cs="Calibri"/>
        </w:rPr>
        <w:t xml:space="preserve">: </w:t>
      </w:r>
      <w:r w:rsidRPr="007A0C12">
        <w:rPr>
          <w:rFonts w:ascii="Calibri" w:hAnsi="Calibri" w:cs="Calibri"/>
        </w:rPr>
        <w:t>The effect of sward</w:t>
      </w:r>
      <w:r w:rsidR="0084553D" w:rsidRPr="007A0C12">
        <w:rPr>
          <w:rFonts w:ascii="Calibri" w:hAnsi="Calibri" w:cs="Calibri"/>
        </w:rPr>
        <w:t xml:space="preserve"> type and </w:t>
      </w:r>
      <w:r w:rsidRPr="007A0C12">
        <w:rPr>
          <w:rFonts w:ascii="Calibri" w:hAnsi="Calibri" w:cs="Calibri"/>
        </w:rPr>
        <w:t xml:space="preserve">targeted selective treatment </w:t>
      </w:r>
      <w:r w:rsidR="00E46CC6" w:rsidRPr="007A0C12">
        <w:rPr>
          <w:rFonts w:ascii="Calibri" w:hAnsi="Calibri" w:cs="Calibri"/>
        </w:rPr>
        <w:t>o</w:t>
      </w:r>
      <w:r w:rsidR="0084553D" w:rsidRPr="007A0C12">
        <w:rPr>
          <w:rFonts w:ascii="Calibri" w:hAnsi="Calibri" w:cs="Calibri"/>
        </w:rPr>
        <w:t>n lamb performance and anthelmintic usage</w:t>
      </w:r>
    </w:p>
    <w:p w14:paraId="7506E039" w14:textId="12459891" w:rsidR="005A796E" w:rsidRPr="007A0C12" w:rsidRDefault="00D2628E" w:rsidP="00BE0464">
      <w:pPr>
        <w:pStyle w:val="calibri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  <w:lang w:val="en-US"/>
        </w:rPr>
      </w:pPr>
      <w:r w:rsidRPr="007A0C12">
        <w:rPr>
          <w:b/>
          <w:bCs/>
        </w:rPr>
        <w:t>Application:</w:t>
      </w:r>
      <w:r w:rsidRPr="007A0C12">
        <w:t xml:space="preserve"> Th</w:t>
      </w:r>
      <w:r w:rsidR="00B65C65" w:rsidRPr="007A0C12">
        <w:t>is</w:t>
      </w:r>
      <w:r w:rsidRPr="007A0C12">
        <w:t xml:space="preserve"> work s</w:t>
      </w:r>
      <w:r w:rsidR="003D2647" w:rsidRPr="007A0C12">
        <w:t xml:space="preserve">ought </w:t>
      </w:r>
      <w:r w:rsidRPr="007A0C12">
        <w:t>to</w:t>
      </w:r>
      <w:r w:rsidRPr="007A0C12">
        <w:rPr>
          <w:lang w:val="en-US"/>
        </w:rPr>
        <w:t xml:space="preserve"> investigate the effect</w:t>
      </w:r>
      <w:r w:rsidR="00AE2C96" w:rsidRPr="007A0C12">
        <w:rPr>
          <w:lang w:val="en-US"/>
        </w:rPr>
        <w:t xml:space="preserve"> that</w:t>
      </w:r>
      <w:r w:rsidR="00B65C65" w:rsidRPr="007A0C12">
        <w:rPr>
          <w:lang w:val="en-US"/>
        </w:rPr>
        <w:t xml:space="preserve"> multispecies sward grazing and </w:t>
      </w:r>
      <w:r w:rsidR="003908E8" w:rsidRPr="007A0C12">
        <w:rPr>
          <w:lang w:val="en-US"/>
        </w:rPr>
        <w:t xml:space="preserve">targeted </w:t>
      </w:r>
      <w:r w:rsidRPr="007A0C12">
        <w:t>selective treatment</w:t>
      </w:r>
      <w:r w:rsidR="00B65C65" w:rsidRPr="007A0C12">
        <w:t>s</w:t>
      </w:r>
      <w:r w:rsidR="002756F9" w:rsidRPr="007A0C12">
        <w:t xml:space="preserve"> (TST)</w:t>
      </w:r>
      <w:r w:rsidRPr="007A0C12">
        <w:rPr>
          <w:lang w:val="en-US"/>
        </w:rPr>
        <w:t xml:space="preserve"> </w:t>
      </w:r>
      <w:r w:rsidR="00B65C65" w:rsidRPr="007A0C12">
        <w:rPr>
          <w:lang w:val="en-US"/>
        </w:rPr>
        <w:t xml:space="preserve">have </w:t>
      </w:r>
      <w:r w:rsidRPr="007A0C12">
        <w:rPr>
          <w:lang w:val="en-US"/>
        </w:rPr>
        <w:t>on anthelmintic usage and performance of finishing lambs compared to perennial ryegrass</w:t>
      </w:r>
      <w:r w:rsidR="00B65C65" w:rsidRPr="007A0C12">
        <w:rPr>
          <w:lang w:val="en-US"/>
        </w:rPr>
        <w:t xml:space="preserve"> grazing</w:t>
      </w:r>
      <w:r w:rsidRPr="007A0C12">
        <w:rPr>
          <w:lang w:val="en-US"/>
        </w:rPr>
        <w:t>. Individually, multispecies swards and TST have been found in other studies</w:t>
      </w:r>
      <w:r w:rsidR="00512FD2" w:rsidRPr="007A0C12">
        <w:rPr>
          <w:lang w:val="en-US"/>
        </w:rPr>
        <w:t xml:space="preserve"> </w:t>
      </w:r>
      <w:r w:rsidRPr="007A0C12">
        <w:rPr>
          <w:lang w:val="en-US"/>
        </w:rPr>
        <w:t>to be effective in improving performance and reducing anthelmintic usage respectively</w:t>
      </w:r>
      <w:r w:rsidR="00B65C65" w:rsidRPr="007A0C12">
        <w:rPr>
          <w:lang w:val="en-US"/>
        </w:rPr>
        <w:t>.</w:t>
      </w:r>
      <w:r w:rsidR="00E23E02" w:rsidRPr="007A0C12">
        <w:rPr>
          <w:color w:val="000000"/>
          <w:bdr w:val="none" w:sz="0" w:space="0" w:color="auto" w:frame="1"/>
          <w:lang w:val="en-US"/>
        </w:rPr>
        <w:t xml:space="preserve"> </w:t>
      </w:r>
      <w:r w:rsidR="001C5024" w:rsidRPr="007A0C12">
        <w:rPr>
          <w:color w:val="000000"/>
          <w:bdr w:val="none" w:sz="0" w:space="0" w:color="auto" w:frame="1"/>
          <w:lang w:val="en-US"/>
        </w:rPr>
        <w:t>In this study,</w:t>
      </w:r>
      <w:r w:rsidR="009E6E65" w:rsidRPr="007A0C12">
        <w:rPr>
          <w:color w:val="000000"/>
          <w:bdr w:val="none" w:sz="0" w:space="0" w:color="auto" w:frame="1"/>
          <w:lang w:val="en-US"/>
        </w:rPr>
        <w:t xml:space="preserve"> grazing multispecies swards reduced the number of anthelmintic treatments administered to lambs compared to</w:t>
      </w:r>
      <w:r w:rsidR="005A796E" w:rsidRPr="007A0C12">
        <w:rPr>
          <w:color w:val="000000"/>
          <w:bdr w:val="none" w:sz="0" w:space="0" w:color="auto" w:frame="1"/>
          <w:lang w:val="en-US"/>
        </w:rPr>
        <w:t xml:space="preserve"> lambs grazing perennial ryegrass</w:t>
      </w:r>
      <w:r w:rsidR="009E6E65" w:rsidRPr="007A0C12">
        <w:rPr>
          <w:color w:val="000000"/>
          <w:bdr w:val="none" w:sz="0" w:space="0" w:color="auto" w:frame="1"/>
          <w:lang w:val="en-US"/>
        </w:rPr>
        <w:t xml:space="preserve">. </w:t>
      </w:r>
      <w:r w:rsidR="005A796E" w:rsidRPr="007A0C12">
        <w:rPr>
          <w:color w:val="000000"/>
          <w:bdr w:val="none" w:sz="0" w:space="0" w:color="auto" w:frame="1"/>
          <w:lang w:val="en-US"/>
        </w:rPr>
        <w:t>The implementation of this strategy represents a viable approach to maintain refugia of susceptible parasites and prevent the rapid onset of anthelmintic resistance.</w:t>
      </w:r>
    </w:p>
    <w:p w14:paraId="3B0FFB90" w14:textId="0231283D" w:rsidR="008C4448" w:rsidRPr="007A0C12" w:rsidRDefault="0057197B" w:rsidP="005B1AC6">
      <w:pPr>
        <w:shd w:val="clear" w:color="auto" w:fill="FFFFFF"/>
        <w:spacing w:before="100" w:beforeAutospacing="1" w:after="150" w:line="240" w:lineRule="auto"/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</w:pPr>
      <w:r w:rsidRPr="007A0C12">
        <w:rPr>
          <w:rFonts w:ascii="Calibri" w:hAnsi="Calibri" w:cs="Calibri"/>
          <w:b/>
          <w:bCs/>
        </w:rPr>
        <w:t>Introduction</w:t>
      </w:r>
      <w:r w:rsidR="00061DD8" w:rsidRPr="007A0C12">
        <w:rPr>
          <w:rFonts w:ascii="Calibri" w:hAnsi="Calibri" w:cs="Calibri"/>
          <w:b/>
          <w:bCs/>
        </w:rPr>
        <w:t xml:space="preserve">: </w:t>
      </w:r>
      <w:r w:rsidRPr="007A0C12">
        <w:rPr>
          <w:rFonts w:ascii="Calibri" w:hAnsi="Calibri" w:cs="Calibri"/>
        </w:rPr>
        <w:t>Anthelmintic resistance</w:t>
      </w:r>
      <w:r w:rsidR="009212B9" w:rsidRPr="007A0C12">
        <w:rPr>
          <w:rFonts w:ascii="Calibri" w:hAnsi="Calibri" w:cs="Calibri"/>
        </w:rPr>
        <w:t xml:space="preserve"> creates</w:t>
      </w:r>
      <w:r w:rsidRPr="007A0C12">
        <w:rPr>
          <w:rFonts w:ascii="Calibri" w:hAnsi="Calibri" w:cs="Calibri"/>
        </w:rPr>
        <w:t xml:space="preserve"> </w:t>
      </w:r>
      <w:r w:rsidR="009212B9" w:rsidRPr="007A0C12">
        <w:rPr>
          <w:rFonts w:ascii="Calibri" w:hAnsi="Calibri" w:cs="Calibri"/>
        </w:rPr>
        <w:t>challenges for</w:t>
      </w:r>
      <w:r w:rsidR="00C73DC9" w:rsidRPr="007A0C12">
        <w:rPr>
          <w:rFonts w:ascii="Calibri" w:hAnsi="Calibri" w:cs="Calibri"/>
        </w:rPr>
        <w:t xml:space="preserve"> sustainable</w:t>
      </w:r>
      <w:r w:rsidR="009212B9" w:rsidRPr="007A0C12">
        <w:rPr>
          <w:rFonts w:ascii="Calibri" w:hAnsi="Calibri" w:cs="Calibri"/>
        </w:rPr>
        <w:t xml:space="preserve"> </w:t>
      </w:r>
      <w:r w:rsidR="00CB37E3" w:rsidRPr="007A0C12">
        <w:rPr>
          <w:rFonts w:ascii="Calibri" w:hAnsi="Calibri" w:cs="Calibri"/>
        </w:rPr>
        <w:t xml:space="preserve">livestock farming </w:t>
      </w:r>
      <w:r w:rsidR="00C73DC9" w:rsidRPr="007A0C12">
        <w:rPr>
          <w:rFonts w:ascii="Calibri" w:hAnsi="Calibri" w:cs="Calibri"/>
        </w:rPr>
        <w:t xml:space="preserve">and </w:t>
      </w:r>
      <w:r w:rsidR="00B65C65" w:rsidRPr="007A0C12">
        <w:rPr>
          <w:rFonts w:ascii="Calibri" w:hAnsi="Calibri" w:cs="Calibri"/>
        </w:rPr>
        <w:t>limits</w:t>
      </w:r>
      <w:r w:rsidR="00E85158" w:rsidRPr="007A0C12">
        <w:rPr>
          <w:rFonts w:ascii="Calibri" w:hAnsi="Calibri" w:cs="Calibri"/>
        </w:rPr>
        <w:t xml:space="preserve"> </w:t>
      </w:r>
      <w:r w:rsidR="00CB37E3" w:rsidRPr="007A0C12">
        <w:rPr>
          <w:rFonts w:ascii="Calibri" w:hAnsi="Calibri" w:cs="Calibri"/>
        </w:rPr>
        <w:t>sheep productivity</w:t>
      </w:r>
      <w:r w:rsidR="00B65C65" w:rsidRPr="007A0C12">
        <w:rPr>
          <w:rFonts w:ascii="Calibri" w:hAnsi="Calibri" w:cs="Calibri"/>
        </w:rPr>
        <w:t xml:space="preserve"> due to reduced </w:t>
      </w:r>
      <w:r w:rsidR="003017EE" w:rsidRPr="007A0C12">
        <w:rPr>
          <w:rFonts w:ascii="Calibri" w:hAnsi="Calibri" w:cs="Calibri"/>
        </w:rPr>
        <w:t xml:space="preserve">anthelmintic </w:t>
      </w:r>
      <w:r w:rsidR="00B65C65" w:rsidRPr="007A0C12">
        <w:rPr>
          <w:rFonts w:ascii="Calibri" w:hAnsi="Calibri" w:cs="Calibri"/>
        </w:rPr>
        <w:t>efficacy against parasites</w:t>
      </w:r>
      <w:r w:rsidR="00CB37E3" w:rsidRPr="007A0C12">
        <w:rPr>
          <w:rFonts w:ascii="Calibri" w:hAnsi="Calibri" w:cs="Calibri"/>
        </w:rPr>
        <w:t>.</w:t>
      </w:r>
      <w:r w:rsidR="00296BA6" w:rsidRPr="007A0C12">
        <w:rPr>
          <w:rFonts w:ascii="Calibri" w:hAnsi="Calibri" w:cs="Calibri"/>
        </w:rPr>
        <w:t xml:space="preserve"> </w:t>
      </w:r>
      <w:bookmarkStart w:id="1" w:name="_Hlk155903923"/>
      <w:r w:rsidR="003908E8" w:rsidRPr="007A0C12">
        <w:rPr>
          <w:rFonts w:ascii="Calibri" w:hAnsi="Calibri" w:cs="Calibri"/>
        </w:rPr>
        <w:t xml:space="preserve">Instead of treating all animals in a group, which is commonly practiced, TST is </w:t>
      </w:r>
      <w:r w:rsidR="003908E8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>a</w:t>
      </w:r>
      <w:r w:rsidR="005B1AC6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 xml:space="preserve"> method of gastrointestinal nematode (GIN) control </w:t>
      </w:r>
      <w:r w:rsidR="003908E8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>that</w:t>
      </w:r>
      <w:r w:rsidR="005B1AC6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 xml:space="preserve"> treats </w:t>
      </w:r>
      <w:r w:rsidR="005B1AC6" w:rsidRPr="007A0C12">
        <w:rPr>
          <w:rFonts w:ascii="Calibri" w:hAnsi="Calibri" w:cs="Calibri"/>
        </w:rPr>
        <w:t>only a proportion of the flock based on consideration of indicators</w:t>
      </w:r>
      <w:r w:rsidR="005B1AC6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 xml:space="preserve"> </w:t>
      </w:r>
      <w:bookmarkEnd w:id="1"/>
      <w:r w:rsidR="00547B74" w:rsidRPr="007A0C12">
        <w:rPr>
          <w:rFonts w:ascii="Calibri" w:hAnsi="Calibri" w:cs="Calibri"/>
        </w:rPr>
        <w:t>such as faecal egg count</w:t>
      </w:r>
      <w:r w:rsidR="002756F9" w:rsidRPr="007A0C12">
        <w:rPr>
          <w:rFonts w:ascii="Calibri" w:hAnsi="Calibri" w:cs="Calibri"/>
        </w:rPr>
        <w:t xml:space="preserve"> (FEC)</w:t>
      </w:r>
      <w:r w:rsidR="00547B74" w:rsidRPr="007A0C12">
        <w:rPr>
          <w:rFonts w:ascii="Calibri" w:hAnsi="Calibri" w:cs="Calibri"/>
        </w:rPr>
        <w:t xml:space="preserve">, </w:t>
      </w:r>
      <w:r w:rsidR="001C5024" w:rsidRPr="007A0C12">
        <w:rPr>
          <w:rFonts w:ascii="Calibri" w:hAnsi="Calibri" w:cs="Calibri"/>
        </w:rPr>
        <w:t>DLWG</w:t>
      </w:r>
      <w:r w:rsidR="00547B74" w:rsidRPr="007A0C12">
        <w:rPr>
          <w:rFonts w:ascii="Calibri" w:hAnsi="Calibri" w:cs="Calibri"/>
        </w:rPr>
        <w:t xml:space="preserve"> or dag score. </w:t>
      </w:r>
      <w:r w:rsidR="00FE42E6" w:rsidRPr="007A0C12">
        <w:rPr>
          <w:rFonts w:ascii="Calibri" w:hAnsi="Calibri" w:cs="Calibri"/>
        </w:rPr>
        <w:t xml:space="preserve">When TST is </w:t>
      </w:r>
      <w:r w:rsidR="002756F9" w:rsidRPr="007A0C12">
        <w:rPr>
          <w:rFonts w:ascii="Calibri" w:hAnsi="Calibri" w:cs="Calibri"/>
        </w:rPr>
        <w:t>utilis</w:t>
      </w:r>
      <w:r w:rsidR="00FE42E6" w:rsidRPr="007A0C12">
        <w:rPr>
          <w:rFonts w:ascii="Calibri" w:hAnsi="Calibri" w:cs="Calibri"/>
        </w:rPr>
        <w:t>ed</w:t>
      </w:r>
      <w:r w:rsidR="002756F9" w:rsidRPr="007A0C12">
        <w:rPr>
          <w:rFonts w:ascii="Calibri" w:hAnsi="Calibri" w:cs="Calibri"/>
        </w:rPr>
        <w:t>, there have</w:t>
      </w:r>
      <w:r w:rsidRPr="007A0C12">
        <w:rPr>
          <w:rFonts w:ascii="Calibri" w:hAnsi="Calibri" w:cs="Calibri"/>
        </w:rPr>
        <w:t xml:space="preserve"> been report</w:t>
      </w:r>
      <w:r w:rsidR="002756F9" w:rsidRPr="007A0C12">
        <w:rPr>
          <w:rFonts w:ascii="Calibri" w:hAnsi="Calibri" w:cs="Calibri"/>
        </w:rPr>
        <w:t>s of</w:t>
      </w:r>
      <w:r w:rsidRPr="007A0C12">
        <w:rPr>
          <w:rFonts w:ascii="Calibri" w:hAnsi="Calibri" w:cs="Calibri"/>
        </w:rPr>
        <w:t xml:space="preserve"> reduce</w:t>
      </w:r>
      <w:r w:rsidR="002756F9" w:rsidRPr="007A0C12">
        <w:rPr>
          <w:rFonts w:ascii="Calibri" w:hAnsi="Calibri" w:cs="Calibri"/>
        </w:rPr>
        <w:t>d</w:t>
      </w:r>
      <w:r w:rsidRPr="007A0C12">
        <w:rPr>
          <w:rFonts w:ascii="Calibri" w:hAnsi="Calibri" w:cs="Calibri"/>
        </w:rPr>
        <w:t xml:space="preserve"> number of anthelmintic treatments administered</w:t>
      </w:r>
      <w:r w:rsidR="00CB37E3" w:rsidRPr="007A0C12">
        <w:rPr>
          <w:rFonts w:ascii="Calibri" w:hAnsi="Calibri" w:cs="Calibri"/>
        </w:rPr>
        <w:t xml:space="preserve"> while not compromising productivity of animals </w:t>
      </w:r>
      <w:r w:rsidR="008A46CA" w:rsidRPr="007A0C12">
        <w:rPr>
          <w:rFonts w:ascii="Calibri" w:hAnsi="Calibri" w:cs="Calibri"/>
        </w:rPr>
        <w:t>(Busin et al., 2014)</w:t>
      </w:r>
      <w:r w:rsidR="00CB37E3" w:rsidRPr="007A0C12">
        <w:rPr>
          <w:rFonts w:ascii="Calibri" w:hAnsi="Calibri" w:cs="Calibri"/>
        </w:rPr>
        <w:t>.</w:t>
      </w:r>
      <w:r w:rsidRPr="007A0C12">
        <w:rPr>
          <w:rFonts w:ascii="Calibri" w:hAnsi="Calibri" w:cs="Calibri"/>
        </w:rPr>
        <w:t xml:space="preserve"> This </w:t>
      </w:r>
      <w:r w:rsidR="009212B9" w:rsidRPr="007A0C12">
        <w:rPr>
          <w:rFonts w:ascii="Calibri" w:hAnsi="Calibri" w:cs="Calibri"/>
        </w:rPr>
        <w:t xml:space="preserve">helps </w:t>
      </w:r>
      <w:r w:rsidR="003C0B2A" w:rsidRPr="007A0C12">
        <w:rPr>
          <w:rFonts w:ascii="Calibri" w:hAnsi="Calibri" w:cs="Calibri"/>
        </w:rPr>
        <w:t xml:space="preserve">maintain </w:t>
      </w:r>
      <w:r w:rsidRPr="007A0C12">
        <w:rPr>
          <w:rFonts w:ascii="Calibri" w:hAnsi="Calibri" w:cs="Calibri"/>
        </w:rPr>
        <w:t>a population of untreated</w:t>
      </w:r>
      <w:r w:rsidR="001C5024" w:rsidRPr="007A0C12">
        <w:rPr>
          <w:rFonts w:ascii="Calibri" w:hAnsi="Calibri" w:cs="Calibri"/>
        </w:rPr>
        <w:t>,</w:t>
      </w:r>
      <w:r w:rsidRPr="007A0C12">
        <w:rPr>
          <w:rFonts w:ascii="Calibri" w:hAnsi="Calibri" w:cs="Calibri"/>
        </w:rPr>
        <w:t xml:space="preserve"> susceptible nematodes in refugia. </w:t>
      </w:r>
      <w:r w:rsidR="00694885" w:rsidRPr="007A0C12">
        <w:rPr>
          <w:rFonts w:ascii="Calibri" w:hAnsi="Calibri" w:cs="Calibri"/>
        </w:rPr>
        <w:t xml:space="preserve">Multispecies swards </w:t>
      </w:r>
      <w:r w:rsidR="00296BA6" w:rsidRPr="007A0C12">
        <w:rPr>
          <w:rFonts w:ascii="Calibri" w:hAnsi="Calibri" w:cs="Calibri"/>
        </w:rPr>
        <w:t>can reduce the need for anthelmintic treatment as they contain plant secondary metabolites that have been reported to have anthelmintic properties (</w:t>
      </w:r>
      <w:r w:rsidR="00E609E1" w:rsidRPr="007A0C12">
        <w:rPr>
          <w:rFonts w:ascii="Calibri" w:hAnsi="Calibri" w:cs="Calibri"/>
        </w:rPr>
        <w:t>Marley et al., 2002</w:t>
      </w:r>
      <w:r w:rsidR="00296BA6" w:rsidRPr="007A0C12">
        <w:rPr>
          <w:rFonts w:ascii="Calibri" w:hAnsi="Calibri" w:cs="Calibri"/>
        </w:rPr>
        <w:t xml:space="preserve">). Although the effect of TST on </w:t>
      </w:r>
      <w:r w:rsidR="001A7EEA" w:rsidRPr="007A0C12">
        <w:rPr>
          <w:rFonts w:ascii="Calibri" w:hAnsi="Calibri" w:cs="Calibri"/>
        </w:rPr>
        <w:t>GIN</w:t>
      </w:r>
      <w:r w:rsidR="00B65C65" w:rsidRPr="007A0C12">
        <w:rPr>
          <w:rFonts w:ascii="Calibri" w:hAnsi="Calibri" w:cs="Calibri"/>
        </w:rPr>
        <w:t>s</w:t>
      </w:r>
      <w:r w:rsidR="00296BA6" w:rsidRPr="007A0C12">
        <w:rPr>
          <w:rFonts w:ascii="Calibri" w:hAnsi="Calibri" w:cs="Calibri"/>
        </w:rPr>
        <w:t xml:space="preserve"> and performance of sheep has been evaluated</w:t>
      </w:r>
      <w:r w:rsidR="001A7EEA" w:rsidRPr="007A0C12">
        <w:rPr>
          <w:rFonts w:ascii="Calibri" w:hAnsi="Calibri" w:cs="Calibri"/>
        </w:rPr>
        <w:t xml:space="preserve"> </w:t>
      </w:r>
      <w:r w:rsidR="00296BA6" w:rsidRPr="007A0C12">
        <w:rPr>
          <w:rFonts w:ascii="Calibri" w:hAnsi="Calibri" w:cs="Calibri"/>
        </w:rPr>
        <w:t>(</w:t>
      </w:r>
      <w:r w:rsidR="001A7EEA" w:rsidRPr="007A0C12">
        <w:rPr>
          <w:rFonts w:ascii="Calibri" w:hAnsi="Calibri" w:cs="Calibri"/>
        </w:rPr>
        <w:t>Busin et al., 2014</w:t>
      </w:r>
      <w:r w:rsidR="00296BA6" w:rsidRPr="007A0C12">
        <w:rPr>
          <w:rFonts w:ascii="Calibri" w:hAnsi="Calibri" w:cs="Calibri"/>
        </w:rPr>
        <w:t xml:space="preserve">), there is a lack of research on the effects of combining TST with rotationally grazing </w:t>
      </w:r>
      <w:r w:rsidR="002756F9" w:rsidRPr="007A0C12">
        <w:rPr>
          <w:rFonts w:ascii="Calibri" w:hAnsi="Calibri" w:cs="Calibri"/>
        </w:rPr>
        <w:t>multispecies swards</w:t>
      </w:r>
      <w:r w:rsidR="00296BA6" w:rsidRPr="007A0C12">
        <w:rPr>
          <w:rFonts w:ascii="Calibri" w:hAnsi="Calibri" w:cs="Calibri"/>
        </w:rPr>
        <w:t xml:space="preserve"> on lamb performance and </w:t>
      </w:r>
      <w:r w:rsidR="005B1834" w:rsidRPr="007A0C12">
        <w:rPr>
          <w:rFonts w:ascii="Calibri" w:hAnsi="Calibri" w:cs="Calibri"/>
        </w:rPr>
        <w:t xml:space="preserve">parasite </w:t>
      </w:r>
      <w:r w:rsidR="002756F9" w:rsidRPr="007A0C12">
        <w:rPr>
          <w:rFonts w:ascii="Calibri" w:hAnsi="Calibri" w:cs="Calibri"/>
        </w:rPr>
        <w:t>FEC.</w:t>
      </w:r>
    </w:p>
    <w:p w14:paraId="29E9D90B" w14:textId="6F47298C" w:rsidR="005D0B63" w:rsidRPr="007A0C12" w:rsidRDefault="00D2628E" w:rsidP="00061DD8">
      <w:pPr>
        <w:jc w:val="both"/>
        <w:rPr>
          <w:rFonts w:ascii="Calibri" w:hAnsi="Calibri" w:cs="Calibri"/>
          <w:shd w:val="clear" w:color="auto" w:fill="FFFFFF" w:themeFill="background1"/>
        </w:rPr>
      </w:pPr>
      <w:r w:rsidRPr="007A0C12">
        <w:rPr>
          <w:rFonts w:ascii="Calibri" w:hAnsi="Calibri" w:cs="Calibri"/>
          <w:b/>
          <w:bCs/>
        </w:rPr>
        <w:t xml:space="preserve">Materials and </w:t>
      </w:r>
      <w:r w:rsidR="00BB46F4" w:rsidRPr="007A0C12">
        <w:rPr>
          <w:rFonts w:ascii="Calibri" w:hAnsi="Calibri" w:cs="Calibri"/>
          <w:b/>
          <w:bCs/>
        </w:rPr>
        <w:t xml:space="preserve">methods: </w:t>
      </w:r>
      <w:r w:rsidR="00694885" w:rsidRPr="007A0C12">
        <w:rPr>
          <w:rFonts w:ascii="Calibri" w:hAnsi="Calibri" w:cs="Calibri"/>
          <w:shd w:val="clear" w:color="auto" w:fill="FFFFFF" w:themeFill="background1"/>
        </w:rPr>
        <w:t>Weaned lambs were allocated to three grazing sward groups</w:t>
      </w:r>
      <w:r w:rsidR="005B31FE" w:rsidRPr="007A0C12">
        <w:rPr>
          <w:rFonts w:ascii="Calibri" w:hAnsi="Calibri" w:cs="Calibri"/>
          <w:shd w:val="clear" w:color="auto" w:fill="FFFFFF" w:themeFill="background1"/>
        </w:rPr>
        <w:t xml:space="preserve">: </w:t>
      </w:r>
      <w:r w:rsidR="00B81657" w:rsidRPr="007A0C12">
        <w:rPr>
          <w:rFonts w:ascii="Calibri" w:hAnsi="Calibri" w:cs="Calibri"/>
          <w:shd w:val="clear" w:color="auto" w:fill="FFFFFF" w:themeFill="background1"/>
        </w:rPr>
        <w:t xml:space="preserve">(i) </w:t>
      </w:r>
      <w:r w:rsidR="005B31FE" w:rsidRPr="007A0C12">
        <w:rPr>
          <w:rFonts w:ascii="Calibri" w:hAnsi="Calibri" w:cs="Calibri"/>
          <w:shd w:val="clear" w:color="auto" w:fill="FFFFFF" w:themeFill="background1"/>
        </w:rPr>
        <w:t xml:space="preserve">Perennial </w:t>
      </w:r>
      <w:r w:rsidR="00694885" w:rsidRPr="007A0C12">
        <w:rPr>
          <w:rFonts w:ascii="Calibri" w:hAnsi="Calibri" w:cs="Calibri"/>
          <w:shd w:val="clear" w:color="auto" w:fill="FFFFFF" w:themeFill="background1"/>
        </w:rPr>
        <w:t>ryegrass with white clover (PRG</w:t>
      </w:r>
      <w:r w:rsidR="007044F2" w:rsidRPr="007A0C12">
        <w:rPr>
          <w:rFonts w:ascii="Calibri" w:hAnsi="Calibri" w:cs="Calibri"/>
          <w:shd w:val="clear" w:color="auto" w:fill="FFFFFF" w:themeFill="background1"/>
        </w:rPr>
        <w:t>/WC</w:t>
      </w:r>
      <w:r w:rsidR="001A022A" w:rsidRPr="007A0C12">
        <w:rPr>
          <w:rFonts w:ascii="Calibri" w:hAnsi="Calibri" w:cs="Calibri"/>
          <w:shd w:val="clear" w:color="auto" w:fill="FFFFFF" w:themeFill="background1"/>
        </w:rPr>
        <w:t>),</w:t>
      </w:r>
      <w:r w:rsidR="00B81657" w:rsidRPr="007A0C12">
        <w:rPr>
          <w:rFonts w:ascii="Calibri" w:hAnsi="Calibri" w:cs="Calibri"/>
          <w:shd w:val="clear" w:color="auto" w:fill="FFFFFF" w:themeFill="background1"/>
        </w:rPr>
        <w:t xml:space="preserve"> (ii) </w:t>
      </w:r>
      <w:r w:rsidR="00CB5376" w:rsidRPr="007A0C12">
        <w:rPr>
          <w:rFonts w:ascii="Calibri" w:hAnsi="Calibri" w:cs="Calibri"/>
          <w:shd w:val="clear" w:color="auto" w:fill="FFFFFF" w:themeFill="background1"/>
        </w:rPr>
        <w:t xml:space="preserve">a multispecies sward consisting of </w:t>
      </w:r>
      <w:r w:rsidR="005B31FE" w:rsidRPr="007A0C12">
        <w:rPr>
          <w:rFonts w:ascii="Calibri" w:hAnsi="Calibri" w:cs="Calibri"/>
          <w:shd w:val="clear" w:color="auto" w:fill="FFFFFF" w:themeFill="background1"/>
        </w:rPr>
        <w:t>perennial ryegrass</w:t>
      </w:r>
      <w:r w:rsidR="00CB5376" w:rsidRPr="007A0C12">
        <w:rPr>
          <w:rFonts w:ascii="Calibri" w:hAnsi="Calibri" w:cs="Calibri"/>
          <w:shd w:val="clear" w:color="auto" w:fill="FFFFFF" w:themeFill="background1"/>
        </w:rPr>
        <w:t xml:space="preserve">, </w:t>
      </w:r>
      <w:r w:rsidR="007A2057" w:rsidRPr="007A0C12">
        <w:rPr>
          <w:rFonts w:ascii="Calibri" w:hAnsi="Calibri" w:cs="Calibri"/>
          <w:shd w:val="clear" w:color="auto" w:fill="FFFFFF" w:themeFill="background1"/>
        </w:rPr>
        <w:t xml:space="preserve">timothy, </w:t>
      </w:r>
      <w:r w:rsidR="002061C0" w:rsidRPr="007A0C12">
        <w:rPr>
          <w:rFonts w:ascii="Calibri" w:hAnsi="Calibri" w:cs="Calibri"/>
          <w:shd w:val="clear" w:color="auto" w:fill="FFFFFF" w:themeFill="background1"/>
        </w:rPr>
        <w:t>white clover</w:t>
      </w:r>
      <w:r w:rsidR="00CB5376" w:rsidRPr="007A0C12">
        <w:rPr>
          <w:rFonts w:ascii="Calibri" w:hAnsi="Calibri" w:cs="Calibri"/>
          <w:shd w:val="clear" w:color="auto" w:fill="FFFFFF" w:themeFill="background1"/>
        </w:rPr>
        <w:t xml:space="preserve">, </w:t>
      </w:r>
      <w:r w:rsidR="00860E33" w:rsidRPr="007A0C12">
        <w:rPr>
          <w:rFonts w:ascii="Calibri" w:hAnsi="Calibri" w:cs="Calibri"/>
          <w:shd w:val="clear" w:color="auto" w:fill="FFFFFF" w:themeFill="background1"/>
        </w:rPr>
        <w:t>red clover, ribwort plantain and chicory (MSS) or</w:t>
      </w:r>
      <w:r w:rsidR="00B81657" w:rsidRPr="007A0C12">
        <w:rPr>
          <w:rFonts w:ascii="Calibri" w:hAnsi="Calibri" w:cs="Calibri"/>
          <w:shd w:val="clear" w:color="auto" w:fill="FFFFFF" w:themeFill="background1"/>
        </w:rPr>
        <w:t xml:space="preserve"> (iii)</w:t>
      </w:r>
      <w:r w:rsidR="00F5337F" w:rsidRPr="007A0C12">
        <w:rPr>
          <w:rFonts w:ascii="Calibri" w:hAnsi="Calibri" w:cs="Calibri"/>
          <w:shd w:val="clear" w:color="auto" w:fill="FFFFFF" w:themeFill="background1"/>
        </w:rPr>
        <w:t xml:space="preserve"> </w:t>
      </w:r>
      <w:r w:rsidR="008516E9" w:rsidRPr="007A0C12">
        <w:rPr>
          <w:rFonts w:ascii="Calibri" w:hAnsi="Calibri" w:cs="Calibri"/>
          <w:shd w:val="clear" w:color="auto" w:fill="FFFFFF" w:themeFill="background1"/>
        </w:rPr>
        <w:t xml:space="preserve">alternating </w:t>
      </w:r>
      <w:r w:rsidR="007A2057" w:rsidRPr="007A0C12">
        <w:rPr>
          <w:rFonts w:ascii="Calibri" w:hAnsi="Calibri" w:cs="Calibri"/>
          <w:shd w:val="clear" w:color="auto" w:fill="FFFFFF" w:themeFill="background1"/>
        </w:rPr>
        <w:t xml:space="preserve">between </w:t>
      </w:r>
      <w:r w:rsidR="00CB5376" w:rsidRPr="007A0C12">
        <w:rPr>
          <w:rFonts w:ascii="Calibri" w:hAnsi="Calibri" w:cs="Calibri"/>
          <w:shd w:val="clear" w:color="auto" w:fill="FFFFFF" w:themeFill="background1"/>
        </w:rPr>
        <w:t>perennial ryegrass</w:t>
      </w:r>
      <w:r w:rsidR="008516E9" w:rsidRPr="007A0C12">
        <w:rPr>
          <w:rFonts w:ascii="Calibri" w:hAnsi="Calibri" w:cs="Calibri"/>
          <w:shd w:val="clear" w:color="auto" w:fill="FFFFFF" w:themeFill="background1"/>
        </w:rPr>
        <w:t xml:space="preserve"> and </w:t>
      </w:r>
      <w:r w:rsidR="00CB5376" w:rsidRPr="007A0C12">
        <w:rPr>
          <w:rFonts w:ascii="Calibri" w:hAnsi="Calibri" w:cs="Calibri"/>
          <w:shd w:val="clear" w:color="auto" w:fill="FFFFFF" w:themeFill="background1"/>
        </w:rPr>
        <w:t>multispecies sward</w:t>
      </w:r>
      <w:r w:rsidR="008516E9" w:rsidRPr="007A0C12">
        <w:rPr>
          <w:rFonts w:ascii="Calibri" w:hAnsi="Calibri" w:cs="Calibri"/>
          <w:shd w:val="clear" w:color="auto" w:fill="FFFFFF" w:themeFill="background1"/>
        </w:rPr>
        <w:t xml:space="preserve"> </w:t>
      </w:r>
      <w:r w:rsidR="00F5337F" w:rsidRPr="007A0C12">
        <w:rPr>
          <w:rFonts w:ascii="Calibri" w:hAnsi="Calibri" w:cs="Calibri"/>
          <w:shd w:val="clear" w:color="auto" w:fill="FFFFFF" w:themeFill="background1"/>
        </w:rPr>
        <w:t>(50</w:t>
      </w:r>
      <w:r w:rsidR="001A022A" w:rsidRPr="007A0C12">
        <w:rPr>
          <w:rFonts w:ascii="Calibri" w:hAnsi="Calibri" w:cs="Calibri"/>
          <w:shd w:val="clear" w:color="auto" w:fill="FFFFFF" w:themeFill="background1"/>
        </w:rPr>
        <w:t>:</w:t>
      </w:r>
      <w:r w:rsidR="00F5337F" w:rsidRPr="007A0C12">
        <w:rPr>
          <w:rFonts w:ascii="Calibri" w:hAnsi="Calibri" w:cs="Calibri"/>
          <w:shd w:val="clear" w:color="auto" w:fill="FFFFFF" w:themeFill="background1"/>
        </w:rPr>
        <w:t>50)</w:t>
      </w:r>
      <w:r w:rsidR="00C73DC9" w:rsidRPr="007A0C12">
        <w:rPr>
          <w:rFonts w:ascii="Calibri" w:hAnsi="Calibri" w:cs="Calibri"/>
          <w:shd w:val="clear" w:color="auto" w:fill="FFFFFF" w:themeFill="background1"/>
        </w:rPr>
        <w:t xml:space="preserve"> from July to October 2023</w:t>
      </w:r>
      <w:r w:rsidR="00FA2483" w:rsidRPr="007A0C12">
        <w:rPr>
          <w:rFonts w:ascii="Calibri" w:hAnsi="Calibri" w:cs="Calibri"/>
          <w:shd w:val="clear" w:color="auto" w:fill="FFFFFF" w:themeFill="background1"/>
        </w:rPr>
        <w:t xml:space="preserve"> (n=85, 91, 92)</w:t>
      </w:r>
      <w:r w:rsidR="00C73DC9" w:rsidRPr="007A0C12">
        <w:rPr>
          <w:rFonts w:ascii="Calibri" w:hAnsi="Calibri" w:cs="Calibri"/>
          <w:shd w:val="clear" w:color="auto" w:fill="FFFFFF" w:themeFill="background1"/>
        </w:rPr>
        <w:t>.</w:t>
      </w:r>
      <w:r w:rsidR="000E6A52" w:rsidRPr="007A0C12">
        <w:rPr>
          <w:rFonts w:ascii="Calibri" w:hAnsi="Calibri" w:cs="Calibri"/>
          <w:shd w:val="clear" w:color="auto" w:fill="FFFFFF" w:themeFill="background1"/>
        </w:rPr>
        <w:t xml:space="preserve"> </w:t>
      </w:r>
      <w:r w:rsidR="00061DD8" w:rsidRPr="007A0C12">
        <w:rPr>
          <w:rFonts w:ascii="Calibri" w:hAnsi="Calibri" w:cs="Calibri"/>
        </w:rPr>
        <w:t>Ram lambs were slaughtered as they reached target slaughter weight (47 kg) and ewe lambs were removed from the study for breeding on 30/08/2023</w:t>
      </w:r>
      <w:r w:rsidR="00323B3B" w:rsidRPr="007A0C12">
        <w:rPr>
          <w:rFonts w:ascii="Calibri" w:hAnsi="Calibri" w:cs="Calibri"/>
        </w:rPr>
        <w:t xml:space="preserve"> when average age of ewe lambs for PRG/WC, MSS and 50:50 were 152.2, 148.4 and 150.8 days old respectively (P=0.26)</w:t>
      </w:r>
      <w:r w:rsidR="00061DD8" w:rsidRPr="007A0C12">
        <w:rPr>
          <w:rFonts w:ascii="Calibri" w:hAnsi="Calibri" w:cs="Calibri"/>
        </w:rPr>
        <w:t>.</w:t>
      </w:r>
      <w:r w:rsidR="00860E33" w:rsidRPr="007A0C12">
        <w:rPr>
          <w:rFonts w:ascii="Calibri" w:hAnsi="Calibri" w:cs="Calibri"/>
          <w:shd w:val="clear" w:color="auto" w:fill="FFFFFF" w:themeFill="background1"/>
        </w:rPr>
        <w:t xml:space="preserve"> </w:t>
      </w:r>
      <w:r w:rsidR="00B81657" w:rsidRPr="007A0C12">
        <w:rPr>
          <w:rFonts w:ascii="Calibri" w:hAnsi="Calibri" w:cs="Calibri"/>
        </w:rPr>
        <w:t>L</w:t>
      </w:r>
      <w:r w:rsidR="00D52636" w:rsidRPr="007A0C12">
        <w:rPr>
          <w:rFonts w:ascii="Calibri" w:hAnsi="Calibri" w:cs="Calibri"/>
        </w:rPr>
        <w:t xml:space="preserve">iveweight and </w:t>
      </w:r>
      <w:r w:rsidR="00B81657" w:rsidRPr="007A0C12">
        <w:rPr>
          <w:rFonts w:ascii="Calibri" w:hAnsi="Calibri" w:cs="Calibri"/>
        </w:rPr>
        <w:t xml:space="preserve">application of any </w:t>
      </w:r>
      <w:r w:rsidR="00D52636" w:rsidRPr="007A0C12">
        <w:rPr>
          <w:rFonts w:ascii="Calibri" w:hAnsi="Calibri" w:cs="Calibri"/>
        </w:rPr>
        <w:t>anthelmintic treatments were recorded</w:t>
      </w:r>
      <w:r w:rsidR="00B81657" w:rsidRPr="007A0C12">
        <w:rPr>
          <w:rFonts w:ascii="Calibri" w:hAnsi="Calibri" w:cs="Calibri"/>
        </w:rPr>
        <w:t xml:space="preserve"> at 14-day intervals during the grazing season. At this point</w:t>
      </w:r>
      <w:r w:rsidR="000E6A52" w:rsidRPr="007A0C12">
        <w:rPr>
          <w:rFonts w:ascii="Calibri" w:hAnsi="Calibri" w:cs="Calibri"/>
        </w:rPr>
        <w:t>,</w:t>
      </w:r>
      <w:r w:rsidR="00D52636" w:rsidRPr="007A0C12">
        <w:rPr>
          <w:rFonts w:ascii="Calibri" w:hAnsi="Calibri" w:cs="Calibri"/>
        </w:rPr>
        <w:t xml:space="preserve"> </w:t>
      </w:r>
      <w:r w:rsidR="008A46CA" w:rsidRPr="007A0C12">
        <w:rPr>
          <w:rFonts w:ascii="Calibri" w:hAnsi="Calibri" w:cs="Calibri"/>
        </w:rPr>
        <w:t xml:space="preserve">nematode </w:t>
      </w:r>
      <w:r w:rsidR="002756F9" w:rsidRPr="007A0C12">
        <w:rPr>
          <w:rFonts w:ascii="Calibri" w:hAnsi="Calibri" w:cs="Calibri"/>
        </w:rPr>
        <w:t>FEC</w:t>
      </w:r>
      <w:r w:rsidR="008A46CA" w:rsidRPr="007A0C12">
        <w:rPr>
          <w:rFonts w:ascii="Calibri" w:hAnsi="Calibri" w:cs="Calibri"/>
        </w:rPr>
        <w:t xml:space="preserve"> </w:t>
      </w:r>
      <w:r w:rsidR="00B81657" w:rsidRPr="007A0C12">
        <w:rPr>
          <w:rFonts w:ascii="Calibri" w:hAnsi="Calibri" w:cs="Calibri"/>
        </w:rPr>
        <w:t xml:space="preserve">were also </w:t>
      </w:r>
      <w:r w:rsidR="008A46CA" w:rsidRPr="007A0C12">
        <w:rPr>
          <w:rFonts w:ascii="Calibri" w:hAnsi="Calibri" w:cs="Calibri"/>
        </w:rPr>
        <w:t>conducted</w:t>
      </w:r>
      <w:r w:rsidR="00D52636" w:rsidRPr="007A0C12">
        <w:rPr>
          <w:rFonts w:ascii="Calibri" w:hAnsi="Calibri" w:cs="Calibri"/>
        </w:rPr>
        <w:t>.</w:t>
      </w:r>
      <w:r w:rsidR="008A46CA" w:rsidRPr="007A0C12">
        <w:rPr>
          <w:rFonts w:ascii="Calibri" w:hAnsi="Calibri" w:cs="Calibri"/>
        </w:rPr>
        <w:t xml:space="preserve"> Dag scores were recorded at four time points and</w:t>
      </w:r>
      <w:r w:rsidR="00D52636" w:rsidRPr="007A0C12">
        <w:rPr>
          <w:rFonts w:ascii="Calibri" w:hAnsi="Calibri" w:cs="Calibri"/>
        </w:rPr>
        <w:t xml:space="preserve"> </w:t>
      </w:r>
      <w:r w:rsidR="00D059A8" w:rsidRPr="007A0C12">
        <w:rPr>
          <w:rFonts w:ascii="Calibri" w:hAnsi="Calibri" w:cs="Calibri"/>
        </w:rPr>
        <w:t>p</w:t>
      </w:r>
      <w:r w:rsidR="00860E33" w:rsidRPr="007A0C12">
        <w:rPr>
          <w:rFonts w:ascii="Calibri" w:hAnsi="Calibri" w:cs="Calibri"/>
        </w:rPr>
        <w:t>asture larval counts (PLC) (</w:t>
      </w:r>
      <w:r w:rsidR="005D0B63" w:rsidRPr="007A0C12">
        <w:rPr>
          <w:rFonts w:ascii="Calibri" w:hAnsi="Calibri" w:cs="Calibri"/>
        </w:rPr>
        <w:t>Molento</w:t>
      </w:r>
      <w:r w:rsidR="00B81657" w:rsidRPr="007A0C12">
        <w:rPr>
          <w:rFonts w:ascii="Calibri" w:hAnsi="Calibri" w:cs="Calibri"/>
        </w:rPr>
        <w:t xml:space="preserve"> et al.,</w:t>
      </w:r>
      <w:r w:rsidR="005D0B63" w:rsidRPr="007A0C12">
        <w:rPr>
          <w:rFonts w:ascii="Calibri" w:hAnsi="Calibri" w:cs="Calibri"/>
        </w:rPr>
        <w:t>2016</w:t>
      </w:r>
      <w:r w:rsidR="00860E33" w:rsidRPr="007A0C12">
        <w:rPr>
          <w:rFonts w:ascii="Calibri" w:hAnsi="Calibri" w:cs="Calibri"/>
        </w:rPr>
        <w:t>)</w:t>
      </w:r>
      <w:r w:rsidR="00D52636" w:rsidRPr="007A0C12">
        <w:rPr>
          <w:rFonts w:ascii="Calibri" w:hAnsi="Calibri" w:cs="Calibri"/>
        </w:rPr>
        <w:t xml:space="preserve"> were conducted</w:t>
      </w:r>
      <w:r w:rsidR="00860E33" w:rsidRPr="007A0C12">
        <w:rPr>
          <w:rFonts w:ascii="Calibri" w:hAnsi="Calibri" w:cs="Calibri"/>
        </w:rPr>
        <w:t xml:space="preserve"> </w:t>
      </w:r>
      <w:r w:rsidR="008A46CA" w:rsidRPr="007A0C12">
        <w:rPr>
          <w:rFonts w:ascii="Calibri" w:hAnsi="Calibri" w:cs="Calibri"/>
        </w:rPr>
        <w:t>at three time points.</w:t>
      </w:r>
      <w:r w:rsidR="00250BC8" w:rsidRPr="007A0C12">
        <w:rPr>
          <w:rFonts w:ascii="Calibri" w:hAnsi="Calibri" w:cs="Calibri"/>
        </w:rPr>
        <w:t xml:space="preserve"> </w:t>
      </w:r>
      <w:r w:rsidR="002756F9" w:rsidRPr="007A0C12">
        <w:rPr>
          <w:rFonts w:ascii="Calibri" w:hAnsi="Calibri" w:cs="Calibri"/>
        </w:rPr>
        <w:t>This selective treatment</w:t>
      </w:r>
      <w:r w:rsidR="00180022" w:rsidRPr="007A0C12">
        <w:rPr>
          <w:rFonts w:ascii="Calibri" w:hAnsi="Calibri" w:cs="Calibri"/>
        </w:rPr>
        <w:t xml:space="preserve"> was applied based on</w:t>
      </w:r>
      <w:r w:rsidR="002756F9" w:rsidRPr="007A0C12">
        <w:rPr>
          <w:rFonts w:ascii="Calibri" w:hAnsi="Calibri" w:cs="Calibri"/>
        </w:rPr>
        <w:t xml:space="preserve"> DLWG </w:t>
      </w:r>
      <w:r w:rsidR="00180022" w:rsidRPr="007A0C12">
        <w:rPr>
          <w:rFonts w:ascii="Calibri" w:hAnsi="Calibri" w:cs="Calibri"/>
        </w:rPr>
        <w:t>and dag score</w:t>
      </w:r>
      <w:r w:rsidR="009212B9" w:rsidRPr="007A0C12">
        <w:rPr>
          <w:rFonts w:ascii="Calibri" w:hAnsi="Calibri" w:cs="Calibri"/>
        </w:rPr>
        <w:t>. Dag score was recorded based on a 0 to 5 scale in which 0 indicated no faecal soiling and 5 indicate</w:t>
      </w:r>
      <w:r w:rsidR="00512FD2" w:rsidRPr="007A0C12">
        <w:rPr>
          <w:rFonts w:ascii="Calibri" w:hAnsi="Calibri" w:cs="Calibri"/>
        </w:rPr>
        <w:t>d</w:t>
      </w:r>
      <w:r w:rsidR="009212B9" w:rsidRPr="007A0C12">
        <w:rPr>
          <w:rFonts w:ascii="Calibri" w:hAnsi="Calibri" w:cs="Calibri"/>
        </w:rPr>
        <w:t xml:space="preserve"> heavy faecal soiling (</w:t>
      </w:r>
      <w:r w:rsidR="009212B9" w:rsidRPr="007A0C12">
        <w:rPr>
          <w:rStyle w:val="text"/>
          <w:rFonts w:ascii="Calibri" w:hAnsi="Calibri" w:cs="Calibri"/>
        </w:rPr>
        <w:t>Bath</w:t>
      </w:r>
      <w:r w:rsidR="009212B9" w:rsidRPr="007A0C12">
        <w:rPr>
          <w:rFonts w:ascii="Calibri" w:hAnsi="Calibri" w:cs="Calibri"/>
        </w:rPr>
        <w:t xml:space="preserve"> and </w:t>
      </w:r>
      <w:r w:rsidR="009212B9" w:rsidRPr="007A0C12">
        <w:rPr>
          <w:rStyle w:val="text"/>
          <w:rFonts w:ascii="Calibri" w:hAnsi="Calibri" w:cs="Calibri"/>
        </w:rPr>
        <w:t>van Wyk, 2009</w:t>
      </w:r>
      <w:hyperlink r:id="rId7" w:anchor="bib0010" w:history="1"/>
      <w:r w:rsidR="009212B9" w:rsidRPr="007A0C12">
        <w:rPr>
          <w:rFonts w:ascii="Calibri" w:hAnsi="Calibri" w:cs="Calibri"/>
        </w:rPr>
        <w:t xml:space="preserve">). The threshold for treatment was </w:t>
      </w:r>
      <w:r w:rsidR="00D52636" w:rsidRPr="007A0C12">
        <w:rPr>
          <w:rFonts w:ascii="Calibri" w:hAnsi="Calibri" w:cs="Calibri"/>
        </w:rPr>
        <w:t xml:space="preserve">a </w:t>
      </w:r>
      <w:r w:rsidR="002756F9" w:rsidRPr="007A0C12">
        <w:rPr>
          <w:rFonts w:ascii="Calibri" w:hAnsi="Calibri" w:cs="Calibri"/>
        </w:rPr>
        <w:t>DLWG</w:t>
      </w:r>
      <w:r w:rsidR="00963AF8" w:rsidRPr="007A0C12">
        <w:rPr>
          <w:rFonts w:ascii="Calibri" w:hAnsi="Calibri" w:cs="Calibri"/>
        </w:rPr>
        <w:t xml:space="preserve"> </w:t>
      </w:r>
      <w:r w:rsidR="009212B9" w:rsidRPr="007A0C12">
        <w:rPr>
          <w:rFonts w:ascii="Calibri" w:hAnsi="Calibri" w:cs="Calibri"/>
        </w:rPr>
        <w:t>of less than 150g/day and/or a dag score over 3.</w:t>
      </w:r>
      <w:r w:rsidR="007A0C12">
        <w:rPr>
          <w:rFonts w:ascii="Calibri" w:hAnsi="Calibri" w:cs="Calibri"/>
          <w:shd w:val="clear" w:color="auto" w:fill="FFFFFF" w:themeFill="background1"/>
        </w:rPr>
        <w:t xml:space="preserve"> </w:t>
      </w:r>
      <w:r w:rsidR="005D0B63" w:rsidRPr="007A0C12">
        <w:rPr>
          <w:rFonts w:ascii="Calibri" w:hAnsi="Calibri" w:cs="Calibri"/>
          <w:shd w:val="clear" w:color="auto" w:fill="FFFFFF"/>
        </w:rPr>
        <w:t>The non-parametric Kruskal-Wallis test with Dunn’s </w:t>
      </w:r>
      <w:r w:rsidR="005D0B63" w:rsidRPr="007A0C12">
        <w:rPr>
          <w:rFonts w:ascii="Calibri" w:hAnsi="Calibri" w:cs="Calibri"/>
          <w:i/>
          <w:iCs/>
          <w:shd w:val="clear" w:color="auto" w:fill="FFFFFF"/>
        </w:rPr>
        <w:t>post-hoc</w:t>
      </w:r>
      <w:r w:rsidR="005D0B63" w:rsidRPr="007A0C12">
        <w:rPr>
          <w:rFonts w:ascii="Calibri" w:hAnsi="Calibri" w:cs="Calibri"/>
          <w:shd w:val="clear" w:color="auto" w:fill="FFFFFF"/>
        </w:rPr>
        <w:t xml:space="preserve"> test were used to compare means of the </w:t>
      </w:r>
      <w:r w:rsidR="00F643B5" w:rsidRPr="007A0C12">
        <w:rPr>
          <w:rFonts w:ascii="Calibri" w:hAnsi="Calibri" w:cs="Calibri"/>
          <w:shd w:val="clear" w:color="auto" w:fill="FFFFFF"/>
        </w:rPr>
        <w:t>egg counts</w:t>
      </w:r>
      <w:r w:rsidR="002061C0" w:rsidRPr="007A0C12">
        <w:rPr>
          <w:rFonts w:ascii="Calibri" w:hAnsi="Calibri" w:cs="Calibri"/>
          <w:shd w:val="clear" w:color="auto" w:fill="FFFFFF"/>
        </w:rPr>
        <w:t>, dag scores</w:t>
      </w:r>
      <w:r w:rsidR="00496E87" w:rsidRPr="007A0C12">
        <w:rPr>
          <w:rFonts w:ascii="Calibri" w:hAnsi="Calibri" w:cs="Calibri"/>
          <w:shd w:val="clear" w:color="auto" w:fill="FFFFFF"/>
        </w:rPr>
        <w:t>, treatments</w:t>
      </w:r>
      <w:r w:rsidR="002061C0" w:rsidRPr="007A0C12">
        <w:rPr>
          <w:rFonts w:ascii="Calibri" w:hAnsi="Calibri" w:cs="Calibri"/>
          <w:shd w:val="clear" w:color="auto" w:fill="FFFFFF"/>
        </w:rPr>
        <w:t xml:space="preserve"> and PLC</w:t>
      </w:r>
      <w:r w:rsidR="005D0B63" w:rsidRPr="007A0C12">
        <w:rPr>
          <w:rFonts w:ascii="Calibri" w:hAnsi="Calibri" w:cs="Calibri"/>
          <w:shd w:val="clear" w:color="auto" w:fill="FFFFFF"/>
        </w:rPr>
        <w:t xml:space="preserve"> between the groups.</w:t>
      </w:r>
      <w:r w:rsidR="002061C0" w:rsidRPr="007A0C12">
        <w:rPr>
          <w:rFonts w:ascii="Calibri" w:hAnsi="Calibri" w:cs="Calibri"/>
          <w:shd w:val="clear" w:color="auto" w:fill="FFFFFF"/>
        </w:rPr>
        <w:t xml:space="preserve"> The one-way ANOVA with </w:t>
      </w:r>
      <w:r w:rsidR="000B47B7" w:rsidRPr="007A0C12">
        <w:rPr>
          <w:rFonts w:ascii="Calibri" w:hAnsi="Calibri" w:cs="Calibri"/>
          <w:shd w:val="clear" w:color="auto" w:fill="FFFFFF"/>
        </w:rPr>
        <w:t>Tukey’s HSD</w:t>
      </w:r>
      <w:r w:rsidR="002061C0" w:rsidRPr="007A0C12">
        <w:rPr>
          <w:rFonts w:ascii="Calibri" w:hAnsi="Calibri" w:cs="Calibri"/>
          <w:shd w:val="clear" w:color="auto" w:fill="FFFFFF"/>
        </w:rPr>
        <w:t xml:space="preserve"> </w:t>
      </w:r>
      <w:r w:rsidR="002061C0" w:rsidRPr="007A0C12">
        <w:rPr>
          <w:rFonts w:ascii="Calibri" w:hAnsi="Calibri" w:cs="Calibri"/>
          <w:i/>
          <w:iCs/>
          <w:shd w:val="clear" w:color="auto" w:fill="FFFFFF"/>
        </w:rPr>
        <w:t>post-hoc</w:t>
      </w:r>
      <w:r w:rsidR="002061C0" w:rsidRPr="007A0C12">
        <w:rPr>
          <w:rFonts w:ascii="Calibri" w:hAnsi="Calibri" w:cs="Calibri"/>
          <w:shd w:val="clear" w:color="auto" w:fill="FFFFFF"/>
        </w:rPr>
        <w:t xml:space="preserve"> tests </w:t>
      </w:r>
      <w:r w:rsidR="008516E9" w:rsidRPr="007A0C12">
        <w:rPr>
          <w:rFonts w:ascii="Calibri" w:hAnsi="Calibri" w:cs="Calibri"/>
          <w:shd w:val="clear" w:color="auto" w:fill="FFFFFF"/>
        </w:rPr>
        <w:t>were</w:t>
      </w:r>
      <w:r w:rsidR="002061C0" w:rsidRPr="007A0C12">
        <w:rPr>
          <w:rFonts w:ascii="Calibri" w:hAnsi="Calibri" w:cs="Calibri"/>
          <w:shd w:val="clear" w:color="auto" w:fill="FFFFFF"/>
        </w:rPr>
        <w:t xml:space="preserve"> used to compare means of the liveweights</w:t>
      </w:r>
      <w:r w:rsidR="00EE3811" w:rsidRPr="007A0C12">
        <w:rPr>
          <w:rFonts w:ascii="Calibri" w:hAnsi="Calibri" w:cs="Calibri"/>
          <w:shd w:val="clear" w:color="auto" w:fill="FFFFFF"/>
        </w:rPr>
        <w:t xml:space="preserve"> and DLWG.</w:t>
      </w:r>
    </w:p>
    <w:p w14:paraId="3350F6CB" w14:textId="6895B7C5" w:rsidR="008C4448" w:rsidRPr="007A0C12" w:rsidRDefault="00483B6B" w:rsidP="00061DD8">
      <w:pPr>
        <w:jc w:val="both"/>
        <w:rPr>
          <w:rFonts w:ascii="Calibri" w:hAnsi="Calibri" w:cs="Calibri"/>
        </w:rPr>
      </w:pPr>
      <w:r w:rsidRPr="007A0C12">
        <w:rPr>
          <w:rFonts w:ascii="Calibri" w:hAnsi="Calibri" w:cs="Calibri"/>
          <w:b/>
          <w:bCs/>
        </w:rPr>
        <w:t>Results</w:t>
      </w:r>
      <w:r w:rsidR="00BD4DD0" w:rsidRPr="007A0C12">
        <w:rPr>
          <w:rFonts w:ascii="Calibri" w:hAnsi="Calibri" w:cs="Calibri"/>
        </w:rPr>
        <w:t xml:space="preserve">: </w:t>
      </w:r>
      <w:r w:rsidR="0014336A" w:rsidRPr="007A0C12">
        <w:rPr>
          <w:rFonts w:ascii="Calibri" w:hAnsi="Calibri" w:cs="Calibri"/>
        </w:rPr>
        <w:t>No significant differences were observed between the three groups in PLC</w:t>
      </w:r>
      <w:r w:rsidR="004669E5" w:rsidRPr="007A0C12">
        <w:rPr>
          <w:rFonts w:ascii="Calibri" w:hAnsi="Calibri" w:cs="Calibri"/>
        </w:rPr>
        <w:t>,</w:t>
      </w:r>
      <w:r w:rsidR="0014336A" w:rsidRPr="007A0C12">
        <w:rPr>
          <w:rFonts w:ascii="Calibri" w:hAnsi="Calibri" w:cs="Calibri"/>
        </w:rPr>
        <w:t xml:space="preserve"> dag score</w:t>
      </w:r>
      <w:r w:rsidR="004669E5" w:rsidRPr="007A0C12">
        <w:rPr>
          <w:rFonts w:ascii="Calibri" w:hAnsi="Calibri" w:cs="Calibri"/>
        </w:rPr>
        <w:t>, final liveweight</w:t>
      </w:r>
      <w:r w:rsidR="00DE236C" w:rsidRPr="007A0C12">
        <w:rPr>
          <w:rFonts w:ascii="Calibri" w:hAnsi="Calibri" w:cs="Calibri"/>
        </w:rPr>
        <w:t>s or</w:t>
      </w:r>
      <w:r w:rsidR="004669E5" w:rsidRPr="007A0C12">
        <w:rPr>
          <w:rFonts w:ascii="Calibri" w:hAnsi="Calibri" w:cs="Calibri"/>
        </w:rPr>
        <w:t xml:space="preserve"> average proportion of the flock treated</w:t>
      </w:r>
      <w:r w:rsidR="00F5337F" w:rsidRPr="007A0C12">
        <w:rPr>
          <w:rFonts w:ascii="Calibri" w:hAnsi="Calibri" w:cs="Calibri"/>
        </w:rPr>
        <w:t xml:space="preserve"> (P&gt;0.05).</w:t>
      </w:r>
      <w:r w:rsidR="0014336A" w:rsidRPr="007A0C12">
        <w:rPr>
          <w:rFonts w:ascii="Calibri" w:hAnsi="Calibri" w:cs="Calibri"/>
        </w:rPr>
        <w:t xml:space="preserve"> </w:t>
      </w:r>
      <w:r w:rsidR="005E0BF1" w:rsidRPr="007A0C12">
        <w:rPr>
          <w:rFonts w:ascii="Calibri" w:hAnsi="Calibri" w:cs="Calibri"/>
        </w:rPr>
        <w:t>Egg counts</w:t>
      </w:r>
      <w:r w:rsidR="002756F9" w:rsidRPr="007A0C12">
        <w:rPr>
          <w:rFonts w:ascii="Calibri" w:hAnsi="Calibri" w:cs="Calibri"/>
        </w:rPr>
        <w:t>,</w:t>
      </w:r>
      <w:r w:rsidR="0014336A" w:rsidRPr="007A0C12">
        <w:rPr>
          <w:rFonts w:ascii="Calibri" w:hAnsi="Calibri" w:cs="Calibri"/>
        </w:rPr>
        <w:t xml:space="preserve"> however,</w:t>
      </w:r>
      <w:r w:rsidR="0014336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C7C1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were significantly different between the groups</w:t>
      </w:r>
      <w:r w:rsidR="000E2C42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 two timepoints</w:t>
      </w:r>
      <w:r w:rsidR="00CC7C1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5E0BF1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="0014336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PRG</w:t>
      </w:r>
      <w:r w:rsidR="008516E9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/WC</w:t>
      </w:r>
      <w:r w:rsidR="0014336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E0BF1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group </w:t>
      </w:r>
      <w:r w:rsidR="0014336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had significantly higher egg counts than MSS and 50</w:t>
      </w:r>
      <w:r w:rsidR="00496E87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  <w:r w:rsidR="0014336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50 on 01/08/23 (P</w:t>
      </w:r>
      <w:r w:rsidR="00A542A6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=0.0</w:t>
      </w:r>
      <w:r w:rsidR="00C834DF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31</w:t>
      </w:r>
      <w:r w:rsidR="00A542A6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, 0.0</w:t>
      </w:r>
      <w:r w:rsidR="00C834DF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26</w:t>
      </w:r>
      <w:r w:rsidR="0014336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 w:rsidR="00CC7C1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</w:t>
      </w:r>
      <w:r w:rsidR="0014336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MSS had significantly higher egg counts than PRG</w:t>
      </w:r>
      <w:r w:rsidR="008516E9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/WC</w:t>
      </w:r>
      <w:r w:rsidR="0014336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834DF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and 50:50 </w:t>
      </w:r>
      <w:r w:rsidR="00C73DC9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on 18/08/2023 </w:t>
      </w:r>
      <w:r w:rsidR="0014336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(P</w:t>
      </w:r>
      <w:r w:rsidR="00A542A6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=0.03</w:t>
      </w:r>
      <w:r w:rsidR="00C834DF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9, 0.049</w:t>
      </w:r>
      <w:r w:rsidR="0014336A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). </w:t>
      </w:r>
      <w:r w:rsidR="004669E5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>Average treatment per lamb was significantly greater for PRG/WC than</w:t>
      </w:r>
      <w:r w:rsidR="00496E87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</w:t>
      </w:r>
      <w:r w:rsidR="004669E5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MSS group (P=0.001).</w:t>
      </w:r>
      <w:r w:rsidR="00250BC8" w:rsidRPr="007A0C1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025A34" w:rsidRPr="007A0C12">
        <w:rPr>
          <w:rFonts w:ascii="Calibri" w:hAnsi="Calibri" w:cs="Calibri"/>
        </w:rPr>
        <w:t>Liveweight gain</w:t>
      </w:r>
      <w:r w:rsidR="005B31FE" w:rsidRPr="007A0C12">
        <w:rPr>
          <w:rFonts w:ascii="Calibri" w:hAnsi="Calibri" w:cs="Calibri"/>
        </w:rPr>
        <w:t xml:space="preserve"> was</w:t>
      </w:r>
      <w:r w:rsidR="00250BC8" w:rsidRPr="007A0C12">
        <w:rPr>
          <w:rFonts w:ascii="Calibri" w:hAnsi="Calibri" w:cs="Calibri"/>
        </w:rPr>
        <w:t xml:space="preserve"> </w:t>
      </w:r>
      <w:r w:rsidR="0099143D" w:rsidRPr="007A0C12">
        <w:rPr>
          <w:rFonts w:ascii="Calibri" w:hAnsi="Calibri" w:cs="Calibri"/>
        </w:rPr>
        <w:t xml:space="preserve">significantly </w:t>
      </w:r>
      <w:r w:rsidR="00025A34" w:rsidRPr="007A0C12">
        <w:rPr>
          <w:rFonts w:ascii="Calibri" w:hAnsi="Calibri" w:cs="Calibri"/>
        </w:rPr>
        <w:t xml:space="preserve">higher for MSS compared to </w:t>
      </w:r>
      <w:r w:rsidR="005569CF" w:rsidRPr="007A0C12">
        <w:rPr>
          <w:rFonts w:ascii="Calibri" w:hAnsi="Calibri" w:cs="Calibri"/>
        </w:rPr>
        <w:t>PRG/WC</w:t>
      </w:r>
      <w:r w:rsidR="00362B32" w:rsidRPr="007A0C12">
        <w:rPr>
          <w:rFonts w:ascii="Calibri" w:hAnsi="Calibri" w:cs="Calibri"/>
        </w:rPr>
        <w:t xml:space="preserve"> and 50:50 for ram lambs</w:t>
      </w:r>
      <w:r w:rsidR="00AB31A1">
        <w:rPr>
          <w:rFonts w:ascii="Calibri" w:hAnsi="Calibri" w:cs="Calibri"/>
        </w:rPr>
        <w:t xml:space="preserve"> but no differences were observed for ewe lambs</w:t>
      </w:r>
      <w:r w:rsidR="00025A34" w:rsidRPr="007A0C12">
        <w:rPr>
          <w:rFonts w:ascii="Calibri" w:hAnsi="Calibri" w:cs="Calibri"/>
        </w:rPr>
        <w:t xml:space="preserve"> </w:t>
      </w:r>
      <w:r w:rsidR="00F643B5" w:rsidRPr="007A0C12">
        <w:rPr>
          <w:rFonts w:ascii="Calibri" w:hAnsi="Calibri" w:cs="Calibri"/>
        </w:rPr>
        <w:t>(</w:t>
      </w:r>
      <w:r w:rsidR="00025A34" w:rsidRPr="007A0C12">
        <w:rPr>
          <w:rFonts w:ascii="Calibri" w:hAnsi="Calibri" w:cs="Calibri"/>
        </w:rPr>
        <w:t>see table 1).</w:t>
      </w:r>
      <w:r w:rsidR="00F643B5" w:rsidRPr="007A0C12">
        <w:rPr>
          <w:rFonts w:ascii="Calibri" w:hAnsi="Calibri" w:cs="Calibri"/>
        </w:rPr>
        <w:t xml:space="preserve"> </w:t>
      </w:r>
    </w:p>
    <w:p w14:paraId="0D38B2D7" w14:textId="77777777" w:rsidR="00F50BA2" w:rsidRPr="007A0C12" w:rsidRDefault="00F50BA2" w:rsidP="00F50BA2">
      <w:pPr>
        <w:pStyle w:val="calibri"/>
        <w:shd w:val="clear" w:color="auto" w:fill="FFFFFF"/>
        <w:spacing w:before="0" w:beforeAutospacing="0" w:after="300" w:afterAutospacing="0"/>
        <w:rPr>
          <w:shd w:val="clear" w:color="auto" w:fill="FFFFFF"/>
        </w:rPr>
      </w:pPr>
    </w:p>
    <w:p w14:paraId="1B1ADB99" w14:textId="0AFCBA89" w:rsidR="00F50BA2" w:rsidRPr="007A0C12" w:rsidRDefault="00F50BA2" w:rsidP="00F50BA2">
      <w:pPr>
        <w:pStyle w:val="calibri"/>
        <w:shd w:val="clear" w:color="auto" w:fill="FFFFFF"/>
        <w:spacing w:before="0" w:beforeAutospacing="0" w:after="300" w:afterAutospacing="0"/>
        <w:rPr>
          <w:shd w:val="clear" w:color="auto" w:fill="FFFFFF"/>
        </w:rPr>
      </w:pPr>
      <w:r w:rsidRPr="007A0C12">
        <w:rPr>
          <w:shd w:val="clear" w:color="auto" w:fill="FFFFFF"/>
        </w:rPr>
        <w:t>Table 1: The mean, standard error of the mean (SEM) and p- value of start age, start liveweight, DLWG, FEC, proportion of flock treated, treatment per lamb and dag score of the three groups of lambs</w:t>
      </w:r>
      <w:r w:rsidR="00512FD2" w:rsidRPr="007A0C12">
        <w:rPr>
          <w:shd w:val="clear" w:color="auto" w:fill="FFFFFF"/>
        </w:rPr>
        <w:t xml:space="preserve">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992"/>
        <w:gridCol w:w="993"/>
        <w:gridCol w:w="850"/>
        <w:gridCol w:w="992"/>
        <w:gridCol w:w="993"/>
      </w:tblGrid>
      <w:tr w:rsidR="00F50BA2" w:rsidRPr="007A0C12" w14:paraId="75127418" w14:textId="77777777" w:rsidTr="00512FD2">
        <w:trPr>
          <w:trHeight w:val="389"/>
        </w:trPr>
        <w:tc>
          <w:tcPr>
            <w:tcW w:w="2689" w:type="dxa"/>
            <w:vAlign w:val="bottom"/>
          </w:tcPr>
          <w:p w14:paraId="70674CFA" w14:textId="77777777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</w:p>
        </w:tc>
        <w:tc>
          <w:tcPr>
            <w:tcW w:w="992" w:type="dxa"/>
            <w:vAlign w:val="bottom"/>
          </w:tcPr>
          <w:p w14:paraId="46010F34" w14:textId="2BB9FCF5" w:rsidR="00F50BA2" w:rsidRPr="007A0C12" w:rsidRDefault="00F50BA2" w:rsidP="003A09DF">
            <w:pPr>
              <w:pStyle w:val="calibri"/>
              <w:spacing w:before="0" w:beforeAutospacing="0" w:after="300" w:afterAutospacing="0"/>
            </w:pPr>
            <w:r w:rsidRPr="007A0C12">
              <w:t>PRG/WC</w:t>
            </w:r>
          </w:p>
        </w:tc>
        <w:tc>
          <w:tcPr>
            <w:tcW w:w="992" w:type="dxa"/>
            <w:vAlign w:val="bottom"/>
          </w:tcPr>
          <w:p w14:paraId="31B10573" w14:textId="77777777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SEM</w:t>
            </w:r>
          </w:p>
        </w:tc>
        <w:tc>
          <w:tcPr>
            <w:tcW w:w="992" w:type="dxa"/>
            <w:vAlign w:val="bottom"/>
          </w:tcPr>
          <w:p w14:paraId="6F2AD229" w14:textId="77777777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MSS</w:t>
            </w:r>
          </w:p>
        </w:tc>
        <w:tc>
          <w:tcPr>
            <w:tcW w:w="993" w:type="dxa"/>
            <w:vAlign w:val="bottom"/>
          </w:tcPr>
          <w:p w14:paraId="58CD5060" w14:textId="77777777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SEM</w:t>
            </w:r>
          </w:p>
        </w:tc>
        <w:tc>
          <w:tcPr>
            <w:tcW w:w="850" w:type="dxa"/>
            <w:vAlign w:val="bottom"/>
          </w:tcPr>
          <w:p w14:paraId="579158DA" w14:textId="77777777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50:50</w:t>
            </w:r>
          </w:p>
        </w:tc>
        <w:tc>
          <w:tcPr>
            <w:tcW w:w="992" w:type="dxa"/>
            <w:vAlign w:val="bottom"/>
          </w:tcPr>
          <w:p w14:paraId="7E0A8533" w14:textId="77777777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SEM</w:t>
            </w:r>
          </w:p>
        </w:tc>
        <w:tc>
          <w:tcPr>
            <w:tcW w:w="993" w:type="dxa"/>
            <w:vAlign w:val="bottom"/>
          </w:tcPr>
          <w:p w14:paraId="74A4E5D8" w14:textId="77777777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p-value</w:t>
            </w:r>
          </w:p>
        </w:tc>
      </w:tr>
      <w:tr w:rsidR="00F50BA2" w:rsidRPr="007A0C12" w14:paraId="3D94C1D4" w14:textId="77777777" w:rsidTr="00512FD2">
        <w:trPr>
          <w:trHeight w:val="722"/>
        </w:trPr>
        <w:tc>
          <w:tcPr>
            <w:tcW w:w="2689" w:type="dxa"/>
            <w:vAlign w:val="bottom"/>
          </w:tcPr>
          <w:p w14:paraId="5FFCBAD2" w14:textId="77777777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Mean start age (days)</w:t>
            </w:r>
          </w:p>
        </w:tc>
        <w:tc>
          <w:tcPr>
            <w:tcW w:w="992" w:type="dxa"/>
            <w:vAlign w:val="bottom"/>
          </w:tcPr>
          <w:p w14:paraId="7D97FF19" w14:textId="15ED24D7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111</w:t>
            </w:r>
            <w:r w:rsidRPr="007A0C12">
              <w:rPr>
                <w:vertAlign w:val="superscript"/>
              </w:rPr>
              <w:t>a</w:t>
            </w:r>
          </w:p>
        </w:tc>
        <w:tc>
          <w:tcPr>
            <w:tcW w:w="992" w:type="dxa"/>
            <w:vAlign w:val="bottom"/>
          </w:tcPr>
          <w:p w14:paraId="4B22691A" w14:textId="11551C4E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0.5</w:t>
            </w:r>
            <w:r w:rsidR="00EC7E1D" w:rsidRPr="007A0C12">
              <w:t>29</w:t>
            </w:r>
          </w:p>
        </w:tc>
        <w:tc>
          <w:tcPr>
            <w:tcW w:w="992" w:type="dxa"/>
            <w:vAlign w:val="bottom"/>
          </w:tcPr>
          <w:p w14:paraId="0226F094" w14:textId="4AF975DD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  <w:rPr>
                <w:vertAlign w:val="superscript"/>
              </w:rPr>
            </w:pPr>
            <w:r w:rsidRPr="007A0C12">
              <w:t>108</w:t>
            </w:r>
            <w:r w:rsidRPr="007A0C12">
              <w:rPr>
                <w:vertAlign w:val="superscript"/>
              </w:rPr>
              <w:t>ab</w:t>
            </w:r>
          </w:p>
        </w:tc>
        <w:tc>
          <w:tcPr>
            <w:tcW w:w="993" w:type="dxa"/>
            <w:vAlign w:val="bottom"/>
          </w:tcPr>
          <w:p w14:paraId="2AE800FC" w14:textId="660DFDAF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0.97</w:t>
            </w:r>
            <w:r w:rsidR="00EC7E1D" w:rsidRPr="007A0C12">
              <w:t>2</w:t>
            </w:r>
          </w:p>
        </w:tc>
        <w:tc>
          <w:tcPr>
            <w:tcW w:w="850" w:type="dxa"/>
            <w:vAlign w:val="bottom"/>
          </w:tcPr>
          <w:p w14:paraId="217A8543" w14:textId="6026E665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  <w:rPr>
                <w:vertAlign w:val="superscript"/>
              </w:rPr>
            </w:pPr>
            <w:r w:rsidRPr="007A0C12">
              <w:t>1</w:t>
            </w:r>
            <w:r w:rsidR="003D2647" w:rsidRPr="007A0C12">
              <w:t>10</w:t>
            </w:r>
            <w:r w:rsidRPr="007A0C12">
              <w:rPr>
                <w:vertAlign w:val="superscript"/>
              </w:rPr>
              <w:t>b</w:t>
            </w:r>
          </w:p>
        </w:tc>
        <w:tc>
          <w:tcPr>
            <w:tcW w:w="992" w:type="dxa"/>
            <w:vAlign w:val="bottom"/>
          </w:tcPr>
          <w:p w14:paraId="74573148" w14:textId="7DD0F592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0.63</w:t>
            </w:r>
            <w:r w:rsidR="00EC7E1D" w:rsidRPr="007A0C12">
              <w:t>5</w:t>
            </w:r>
          </w:p>
        </w:tc>
        <w:tc>
          <w:tcPr>
            <w:tcW w:w="993" w:type="dxa"/>
            <w:vAlign w:val="bottom"/>
          </w:tcPr>
          <w:p w14:paraId="500A7E1B" w14:textId="64523ECA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  <w:rPr>
                <w:highlight w:val="yellow"/>
              </w:rPr>
            </w:pPr>
            <w:r w:rsidRPr="007A0C12">
              <w:t>0.02</w:t>
            </w:r>
            <w:r w:rsidR="006B06C6" w:rsidRPr="007A0C12">
              <w:t>30</w:t>
            </w:r>
          </w:p>
        </w:tc>
      </w:tr>
      <w:tr w:rsidR="00F50BA2" w:rsidRPr="007A0C12" w14:paraId="0E672188" w14:textId="77777777" w:rsidTr="00512FD2">
        <w:trPr>
          <w:trHeight w:val="716"/>
        </w:trPr>
        <w:tc>
          <w:tcPr>
            <w:tcW w:w="2689" w:type="dxa"/>
            <w:vAlign w:val="bottom"/>
          </w:tcPr>
          <w:p w14:paraId="0EDCAAB3" w14:textId="77777777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Mean start liveweight (kg)</w:t>
            </w:r>
          </w:p>
        </w:tc>
        <w:tc>
          <w:tcPr>
            <w:tcW w:w="992" w:type="dxa"/>
            <w:vAlign w:val="bottom"/>
          </w:tcPr>
          <w:p w14:paraId="428D4FD9" w14:textId="3BFE70E1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36.</w:t>
            </w:r>
            <w:r w:rsidR="003D2647" w:rsidRPr="007A0C12">
              <w:t>5</w:t>
            </w:r>
          </w:p>
        </w:tc>
        <w:tc>
          <w:tcPr>
            <w:tcW w:w="992" w:type="dxa"/>
            <w:vAlign w:val="bottom"/>
          </w:tcPr>
          <w:p w14:paraId="423D01DD" w14:textId="590C35C8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0.55</w:t>
            </w:r>
            <w:r w:rsidR="00EC7E1D" w:rsidRPr="007A0C12">
              <w:t>1</w:t>
            </w:r>
          </w:p>
        </w:tc>
        <w:tc>
          <w:tcPr>
            <w:tcW w:w="992" w:type="dxa"/>
            <w:vAlign w:val="bottom"/>
          </w:tcPr>
          <w:p w14:paraId="397D4072" w14:textId="53E26B2F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34.</w:t>
            </w:r>
            <w:r w:rsidR="003D2647" w:rsidRPr="007A0C12">
              <w:t>9</w:t>
            </w:r>
          </w:p>
        </w:tc>
        <w:tc>
          <w:tcPr>
            <w:tcW w:w="993" w:type="dxa"/>
            <w:vAlign w:val="bottom"/>
          </w:tcPr>
          <w:p w14:paraId="151E21FE" w14:textId="50372249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0.55</w:t>
            </w:r>
            <w:r w:rsidR="00EC7E1D" w:rsidRPr="007A0C12">
              <w:t>3</w:t>
            </w:r>
          </w:p>
        </w:tc>
        <w:tc>
          <w:tcPr>
            <w:tcW w:w="850" w:type="dxa"/>
            <w:vAlign w:val="bottom"/>
          </w:tcPr>
          <w:p w14:paraId="400AD92D" w14:textId="3036C650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35.9</w:t>
            </w:r>
          </w:p>
        </w:tc>
        <w:tc>
          <w:tcPr>
            <w:tcW w:w="992" w:type="dxa"/>
            <w:vAlign w:val="bottom"/>
          </w:tcPr>
          <w:p w14:paraId="7B3A6D42" w14:textId="7F5E9058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0.58</w:t>
            </w:r>
            <w:r w:rsidR="003D2647" w:rsidRPr="007A0C12">
              <w:t>0</w:t>
            </w:r>
          </w:p>
        </w:tc>
        <w:tc>
          <w:tcPr>
            <w:tcW w:w="993" w:type="dxa"/>
            <w:vAlign w:val="bottom"/>
          </w:tcPr>
          <w:p w14:paraId="0B7E7BFC" w14:textId="4062B58B" w:rsidR="00F50BA2" w:rsidRPr="007A0C12" w:rsidRDefault="00F50BA2" w:rsidP="003A09DF">
            <w:pPr>
              <w:pStyle w:val="calibri"/>
              <w:spacing w:before="0" w:beforeAutospacing="0" w:after="300" w:afterAutospacing="0"/>
              <w:jc w:val="center"/>
              <w:rPr>
                <w:highlight w:val="yellow"/>
              </w:rPr>
            </w:pPr>
            <w:r w:rsidRPr="007A0C12">
              <w:t>0.14</w:t>
            </w:r>
            <w:r w:rsidR="003D2647" w:rsidRPr="007A0C12">
              <w:t>0</w:t>
            </w:r>
          </w:p>
        </w:tc>
      </w:tr>
      <w:tr w:rsidR="00E23E02" w:rsidRPr="007A0C12" w14:paraId="66B5B881" w14:textId="77777777" w:rsidTr="00512FD2">
        <w:trPr>
          <w:trHeight w:val="815"/>
        </w:trPr>
        <w:tc>
          <w:tcPr>
            <w:tcW w:w="2689" w:type="dxa"/>
            <w:vAlign w:val="bottom"/>
          </w:tcPr>
          <w:p w14:paraId="257E0D9D" w14:textId="78C37EB9" w:rsidR="00CB5376" w:rsidRPr="007A0C12" w:rsidRDefault="00E23E02" w:rsidP="00CB5376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Mean DLWG</w:t>
            </w:r>
            <w:r w:rsidR="00CB5376" w:rsidRPr="007A0C12">
              <w:t xml:space="preserve"> of </w:t>
            </w:r>
            <w:r w:rsidR="00362B32" w:rsidRPr="007A0C12">
              <w:t>ram</w:t>
            </w:r>
            <w:r w:rsidR="00CB5376" w:rsidRPr="007A0C12">
              <w:t xml:space="preserve"> lambs</w:t>
            </w:r>
            <w:r w:rsidRPr="007A0C12">
              <w:t xml:space="preserve"> (kg/day)</w:t>
            </w:r>
            <w:r w:rsidR="00CB5376" w:rsidRPr="007A0C12"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4DD8E" w14:textId="7ABB8EA9" w:rsidR="00E23E02" w:rsidRPr="007A0C12" w:rsidRDefault="00E23E02" w:rsidP="00E23E02">
            <w:pPr>
              <w:jc w:val="center"/>
              <w:rPr>
                <w:rFonts w:ascii="Calibri" w:hAnsi="Calibri" w:cs="Calibri"/>
                <w:color w:val="000000"/>
                <w:highlight w:val="yellow"/>
                <w:vertAlign w:val="superscript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0.166</w:t>
            </w:r>
            <w:r w:rsidRPr="007A0C12">
              <w:rPr>
                <w:rStyle w:val="normaltextrun"/>
                <w:rFonts w:ascii="Calibri" w:hAnsi="Calibri" w:cs="Calibri"/>
                <w:color w:val="000000"/>
                <w:vertAlign w:val="superscript"/>
              </w:rPr>
              <w:t>a</w:t>
            </w:r>
            <w:r w:rsidRPr="007A0C1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2E22C" w14:textId="085CE51B" w:rsidR="00E23E02" w:rsidRPr="007A0C12" w:rsidRDefault="00E23E02" w:rsidP="00E23E02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0.00592</w:t>
            </w:r>
            <w:r w:rsidRPr="007A0C1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59E83" w14:textId="6ECDEC16" w:rsidR="00E23E02" w:rsidRPr="007A0C12" w:rsidRDefault="00E23E02" w:rsidP="00E23E02">
            <w:pPr>
              <w:jc w:val="center"/>
              <w:rPr>
                <w:rFonts w:ascii="Calibri" w:hAnsi="Calibri" w:cs="Calibri"/>
                <w:color w:val="000000"/>
                <w:highlight w:val="yellow"/>
                <w:vertAlign w:val="superscript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0.220</w:t>
            </w:r>
            <w:r w:rsidRPr="007A0C12">
              <w:rPr>
                <w:rStyle w:val="normaltextrun"/>
                <w:rFonts w:ascii="Calibri" w:hAnsi="Calibri" w:cs="Calibri"/>
                <w:color w:val="000000"/>
                <w:vertAlign w:val="superscript"/>
              </w:rPr>
              <w:t>b</w:t>
            </w:r>
            <w:r w:rsidRPr="007A0C1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D8916" w14:textId="6CE6F96E" w:rsidR="00E23E02" w:rsidRPr="007A0C12" w:rsidRDefault="00E23E02" w:rsidP="00E23E02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0.00629</w:t>
            </w:r>
            <w:r w:rsidRPr="007A0C1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3552E" w14:textId="73FBF176" w:rsidR="00E23E02" w:rsidRPr="007A0C12" w:rsidRDefault="00E23E02" w:rsidP="00E23E02">
            <w:pPr>
              <w:jc w:val="center"/>
              <w:rPr>
                <w:rFonts w:ascii="Calibri" w:hAnsi="Calibri" w:cs="Calibri"/>
                <w:color w:val="000000"/>
                <w:highlight w:val="yellow"/>
                <w:vertAlign w:val="superscript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0.180</w:t>
            </w:r>
            <w:r w:rsidRPr="007A0C12">
              <w:rPr>
                <w:rStyle w:val="normaltextrun"/>
                <w:rFonts w:ascii="Calibri" w:hAnsi="Calibri" w:cs="Calibri"/>
                <w:color w:val="000000"/>
                <w:vertAlign w:val="superscript"/>
              </w:rPr>
              <w:t>a</w:t>
            </w:r>
            <w:r w:rsidRPr="007A0C1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E92B8" w14:textId="236B297D" w:rsidR="00E23E02" w:rsidRPr="007A0C12" w:rsidRDefault="00E23E02" w:rsidP="00E23E02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0.00837</w:t>
            </w:r>
            <w:r w:rsidRPr="007A0C1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ECF6DD8" w14:textId="6123705B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  <w:rPr>
                <w:highlight w:val="yellow"/>
              </w:rPr>
            </w:pPr>
            <w:r w:rsidRPr="007A0C12">
              <w:rPr>
                <w:rStyle w:val="normaltextrun"/>
              </w:rPr>
              <w:t>0.0200</w:t>
            </w:r>
            <w:r w:rsidRPr="007A0C12">
              <w:rPr>
                <w:rStyle w:val="eop"/>
              </w:rPr>
              <w:t> </w:t>
            </w:r>
          </w:p>
        </w:tc>
      </w:tr>
      <w:tr w:rsidR="00CB5376" w:rsidRPr="007A0C12" w14:paraId="579EC011" w14:textId="77777777" w:rsidTr="00512FD2">
        <w:trPr>
          <w:trHeight w:val="815"/>
        </w:trPr>
        <w:tc>
          <w:tcPr>
            <w:tcW w:w="2689" w:type="dxa"/>
            <w:vAlign w:val="bottom"/>
          </w:tcPr>
          <w:p w14:paraId="7EF5152D" w14:textId="44FE2629" w:rsidR="00CB5376" w:rsidRPr="007A0C12" w:rsidRDefault="00CB5376" w:rsidP="00CB5376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 xml:space="preserve">Mean DLWG of </w:t>
            </w:r>
            <w:r w:rsidR="00362B32" w:rsidRPr="007A0C12">
              <w:t xml:space="preserve">ewe </w:t>
            </w:r>
            <w:r w:rsidRPr="007A0C12">
              <w:t>lambs (kg/day)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A4BD9" w14:textId="1ABE00F8" w:rsidR="00CB5376" w:rsidRPr="007A0C12" w:rsidRDefault="00584599" w:rsidP="00E23E02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0.114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C77E9" w14:textId="2BDD84F8" w:rsidR="00CB5376" w:rsidRPr="007A0C12" w:rsidRDefault="00584599" w:rsidP="00E23E02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0.00807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0E257" w14:textId="3B5A8580" w:rsidR="00CB5376" w:rsidRPr="007A0C12" w:rsidRDefault="00584599" w:rsidP="00E23E02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0.114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7DC06" w14:textId="4384EBCE" w:rsidR="00CB5376" w:rsidRPr="007A0C12" w:rsidRDefault="00584599" w:rsidP="00E23E02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0.00734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0C9C3" w14:textId="283A3F52" w:rsidR="00CB5376" w:rsidRPr="007A0C12" w:rsidRDefault="00584599" w:rsidP="00E23E02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0.0988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93A25" w14:textId="7F8D31DE" w:rsidR="00CB5376" w:rsidRPr="007A0C12" w:rsidRDefault="00584599" w:rsidP="00E23E02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 w:rsidRPr="007A0C12">
              <w:rPr>
                <w:rStyle w:val="normaltextrun"/>
                <w:rFonts w:ascii="Calibri" w:hAnsi="Calibri" w:cs="Calibri"/>
                <w:color w:val="000000"/>
              </w:rPr>
              <w:t>0.00750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0188478" w14:textId="0D1C4427" w:rsidR="00CB5376" w:rsidRPr="007A0C12" w:rsidRDefault="00584599" w:rsidP="00E23E02">
            <w:pPr>
              <w:pStyle w:val="calibri"/>
              <w:spacing w:before="0" w:beforeAutospacing="0" w:after="300" w:afterAutospacing="0"/>
              <w:jc w:val="center"/>
              <w:rPr>
                <w:rStyle w:val="normaltextrun"/>
              </w:rPr>
            </w:pPr>
            <w:r w:rsidRPr="007A0C12">
              <w:rPr>
                <w:rStyle w:val="normaltextrun"/>
              </w:rPr>
              <w:t>0.270</w:t>
            </w:r>
          </w:p>
        </w:tc>
      </w:tr>
      <w:tr w:rsidR="00E23E02" w:rsidRPr="007A0C12" w14:paraId="7CA2EEC2" w14:textId="77777777" w:rsidTr="00512FD2">
        <w:trPr>
          <w:trHeight w:val="810"/>
        </w:trPr>
        <w:tc>
          <w:tcPr>
            <w:tcW w:w="2689" w:type="dxa"/>
            <w:vAlign w:val="bottom"/>
          </w:tcPr>
          <w:p w14:paraId="6474202D" w14:textId="6C07830B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Mean FEC (eggs per gram)</w:t>
            </w:r>
          </w:p>
        </w:tc>
        <w:tc>
          <w:tcPr>
            <w:tcW w:w="992" w:type="dxa"/>
            <w:vAlign w:val="bottom"/>
          </w:tcPr>
          <w:p w14:paraId="56034D17" w14:textId="4496B683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349</w:t>
            </w:r>
          </w:p>
        </w:tc>
        <w:tc>
          <w:tcPr>
            <w:tcW w:w="992" w:type="dxa"/>
            <w:vAlign w:val="bottom"/>
          </w:tcPr>
          <w:p w14:paraId="57B15707" w14:textId="64E493CF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53.8</w:t>
            </w:r>
          </w:p>
        </w:tc>
        <w:tc>
          <w:tcPr>
            <w:tcW w:w="992" w:type="dxa"/>
            <w:vAlign w:val="bottom"/>
          </w:tcPr>
          <w:p w14:paraId="4964820E" w14:textId="26792DDC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364</w:t>
            </w:r>
          </w:p>
        </w:tc>
        <w:tc>
          <w:tcPr>
            <w:tcW w:w="993" w:type="dxa"/>
            <w:vAlign w:val="bottom"/>
          </w:tcPr>
          <w:p w14:paraId="2FDE3D1C" w14:textId="11E11868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44.5</w:t>
            </w:r>
          </w:p>
        </w:tc>
        <w:tc>
          <w:tcPr>
            <w:tcW w:w="850" w:type="dxa"/>
            <w:vAlign w:val="bottom"/>
          </w:tcPr>
          <w:p w14:paraId="7BDB35D5" w14:textId="0FE3B775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224</w:t>
            </w:r>
          </w:p>
        </w:tc>
        <w:tc>
          <w:tcPr>
            <w:tcW w:w="992" w:type="dxa"/>
            <w:vAlign w:val="bottom"/>
          </w:tcPr>
          <w:p w14:paraId="23AD2457" w14:textId="1880E223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22.8</w:t>
            </w:r>
          </w:p>
        </w:tc>
        <w:tc>
          <w:tcPr>
            <w:tcW w:w="993" w:type="dxa"/>
            <w:vAlign w:val="bottom"/>
          </w:tcPr>
          <w:p w14:paraId="4457F01A" w14:textId="18D24EEF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  <w:rPr>
                <w:highlight w:val="yellow"/>
              </w:rPr>
            </w:pPr>
            <w:r w:rsidRPr="007A0C12">
              <w:t>0.0940</w:t>
            </w:r>
          </w:p>
        </w:tc>
      </w:tr>
      <w:tr w:rsidR="00E23E02" w:rsidRPr="007A0C12" w14:paraId="287D1ECE" w14:textId="77777777" w:rsidTr="00512FD2">
        <w:trPr>
          <w:trHeight w:val="866"/>
        </w:trPr>
        <w:tc>
          <w:tcPr>
            <w:tcW w:w="2689" w:type="dxa"/>
            <w:vAlign w:val="center"/>
          </w:tcPr>
          <w:p w14:paraId="11AE761A" w14:textId="77777777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Mean proportion of flock treated (%)</w:t>
            </w:r>
          </w:p>
        </w:tc>
        <w:tc>
          <w:tcPr>
            <w:tcW w:w="992" w:type="dxa"/>
            <w:vAlign w:val="bottom"/>
          </w:tcPr>
          <w:p w14:paraId="6CF56D07" w14:textId="56B9658D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28.8</w:t>
            </w:r>
          </w:p>
        </w:tc>
        <w:tc>
          <w:tcPr>
            <w:tcW w:w="992" w:type="dxa"/>
            <w:vAlign w:val="bottom"/>
          </w:tcPr>
          <w:p w14:paraId="1E649E7B" w14:textId="23B5F356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13.1</w:t>
            </w:r>
          </w:p>
        </w:tc>
        <w:tc>
          <w:tcPr>
            <w:tcW w:w="992" w:type="dxa"/>
            <w:vAlign w:val="bottom"/>
          </w:tcPr>
          <w:p w14:paraId="15208EC2" w14:textId="015D6423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26.8</w:t>
            </w:r>
          </w:p>
        </w:tc>
        <w:tc>
          <w:tcPr>
            <w:tcW w:w="993" w:type="dxa"/>
            <w:vAlign w:val="bottom"/>
          </w:tcPr>
          <w:p w14:paraId="1D115330" w14:textId="76D73CE5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13.9</w:t>
            </w:r>
          </w:p>
        </w:tc>
        <w:tc>
          <w:tcPr>
            <w:tcW w:w="850" w:type="dxa"/>
            <w:vAlign w:val="bottom"/>
          </w:tcPr>
          <w:p w14:paraId="3CB12072" w14:textId="29CF7FB4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23.6</w:t>
            </w:r>
          </w:p>
        </w:tc>
        <w:tc>
          <w:tcPr>
            <w:tcW w:w="992" w:type="dxa"/>
            <w:vAlign w:val="bottom"/>
          </w:tcPr>
          <w:p w14:paraId="72367E3E" w14:textId="6F27FD67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13.5</w:t>
            </w:r>
          </w:p>
        </w:tc>
        <w:tc>
          <w:tcPr>
            <w:tcW w:w="993" w:type="dxa"/>
            <w:vAlign w:val="bottom"/>
          </w:tcPr>
          <w:p w14:paraId="2F95FFA5" w14:textId="7C937F50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  <w:rPr>
                <w:highlight w:val="yellow"/>
              </w:rPr>
            </w:pPr>
            <w:r w:rsidRPr="007A0C12">
              <w:t>0.850</w:t>
            </w:r>
          </w:p>
        </w:tc>
      </w:tr>
      <w:tr w:rsidR="00E23E02" w:rsidRPr="007A0C12" w14:paraId="67C1F3A8" w14:textId="77777777" w:rsidTr="00512FD2">
        <w:trPr>
          <w:trHeight w:val="420"/>
        </w:trPr>
        <w:tc>
          <w:tcPr>
            <w:tcW w:w="2689" w:type="dxa"/>
            <w:vAlign w:val="bottom"/>
          </w:tcPr>
          <w:p w14:paraId="631391B6" w14:textId="51205283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Mean anthelmintic treatment per lamb</w:t>
            </w:r>
          </w:p>
        </w:tc>
        <w:tc>
          <w:tcPr>
            <w:tcW w:w="992" w:type="dxa"/>
            <w:vAlign w:val="bottom"/>
          </w:tcPr>
          <w:p w14:paraId="00C9DAE6" w14:textId="77777777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  <w:rPr>
                <w:vertAlign w:val="superscript"/>
              </w:rPr>
            </w:pPr>
            <w:r w:rsidRPr="007A0C12">
              <w:t>1.21</w:t>
            </w:r>
            <w:r w:rsidRPr="007A0C12">
              <w:rPr>
                <w:vertAlign w:val="superscript"/>
              </w:rPr>
              <w:t>a</w:t>
            </w:r>
          </w:p>
        </w:tc>
        <w:tc>
          <w:tcPr>
            <w:tcW w:w="992" w:type="dxa"/>
            <w:vAlign w:val="bottom"/>
          </w:tcPr>
          <w:p w14:paraId="5ADF4C9F" w14:textId="102A681E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0.0529</w:t>
            </w:r>
          </w:p>
        </w:tc>
        <w:tc>
          <w:tcPr>
            <w:tcW w:w="992" w:type="dxa"/>
            <w:vAlign w:val="bottom"/>
          </w:tcPr>
          <w:p w14:paraId="438B49E7" w14:textId="77777777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1.02</w:t>
            </w:r>
            <w:r w:rsidRPr="007A0C12">
              <w:rPr>
                <w:vertAlign w:val="superscript"/>
              </w:rPr>
              <w:t>b</w:t>
            </w:r>
          </w:p>
        </w:tc>
        <w:tc>
          <w:tcPr>
            <w:tcW w:w="993" w:type="dxa"/>
            <w:vAlign w:val="bottom"/>
          </w:tcPr>
          <w:p w14:paraId="519EF590" w14:textId="78A6F55F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0.0265</w:t>
            </w:r>
          </w:p>
        </w:tc>
        <w:tc>
          <w:tcPr>
            <w:tcW w:w="850" w:type="dxa"/>
            <w:vAlign w:val="bottom"/>
          </w:tcPr>
          <w:p w14:paraId="5A3F7C90" w14:textId="77777777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  <w:rPr>
                <w:vertAlign w:val="superscript"/>
              </w:rPr>
            </w:pPr>
            <w:r w:rsidRPr="007A0C12">
              <w:t>1.11</w:t>
            </w:r>
            <w:r w:rsidRPr="007A0C12">
              <w:rPr>
                <w:vertAlign w:val="superscript"/>
              </w:rPr>
              <w:t>ab</w:t>
            </w:r>
          </w:p>
        </w:tc>
        <w:tc>
          <w:tcPr>
            <w:tcW w:w="992" w:type="dxa"/>
            <w:vAlign w:val="bottom"/>
          </w:tcPr>
          <w:p w14:paraId="509A85B1" w14:textId="3704B044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0.0321</w:t>
            </w:r>
          </w:p>
        </w:tc>
        <w:tc>
          <w:tcPr>
            <w:tcW w:w="993" w:type="dxa"/>
            <w:vAlign w:val="bottom"/>
          </w:tcPr>
          <w:p w14:paraId="5307A7EC" w14:textId="147B1833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  <w:rPr>
                <w:highlight w:val="yellow"/>
              </w:rPr>
            </w:pPr>
            <w:r w:rsidRPr="007A0C12">
              <w:t>0.0016</w:t>
            </w:r>
            <w:r w:rsidR="00512FD2" w:rsidRPr="007A0C12">
              <w:t>0</w:t>
            </w:r>
          </w:p>
        </w:tc>
      </w:tr>
      <w:tr w:rsidR="00E23E02" w:rsidRPr="007A0C12" w14:paraId="4BA45AD9" w14:textId="77777777" w:rsidTr="00512FD2">
        <w:trPr>
          <w:trHeight w:val="710"/>
        </w:trPr>
        <w:tc>
          <w:tcPr>
            <w:tcW w:w="2689" w:type="dxa"/>
            <w:vAlign w:val="bottom"/>
          </w:tcPr>
          <w:p w14:paraId="16AD5597" w14:textId="77777777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Mean dag score</w:t>
            </w:r>
          </w:p>
        </w:tc>
        <w:tc>
          <w:tcPr>
            <w:tcW w:w="992" w:type="dxa"/>
            <w:vAlign w:val="bottom"/>
          </w:tcPr>
          <w:p w14:paraId="12B9485E" w14:textId="77777777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1.77</w:t>
            </w:r>
          </w:p>
        </w:tc>
        <w:tc>
          <w:tcPr>
            <w:tcW w:w="992" w:type="dxa"/>
            <w:vAlign w:val="bottom"/>
          </w:tcPr>
          <w:p w14:paraId="6919EEB3" w14:textId="3E77410D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0.0972</w:t>
            </w:r>
          </w:p>
        </w:tc>
        <w:tc>
          <w:tcPr>
            <w:tcW w:w="992" w:type="dxa"/>
            <w:vAlign w:val="bottom"/>
          </w:tcPr>
          <w:p w14:paraId="22E73DD8" w14:textId="02EDA60F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1.87</w:t>
            </w:r>
          </w:p>
        </w:tc>
        <w:tc>
          <w:tcPr>
            <w:tcW w:w="993" w:type="dxa"/>
            <w:vAlign w:val="bottom"/>
          </w:tcPr>
          <w:p w14:paraId="1C3C41C4" w14:textId="77DB9B68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0.0836</w:t>
            </w:r>
          </w:p>
        </w:tc>
        <w:tc>
          <w:tcPr>
            <w:tcW w:w="850" w:type="dxa"/>
            <w:vAlign w:val="bottom"/>
          </w:tcPr>
          <w:p w14:paraId="4EB3BBD1" w14:textId="77777777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2.02</w:t>
            </w:r>
          </w:p>
        </w:tc>
        <w:tc>
          <w:tcPr>
            <w:tcW w:w="992" w:type="dxa"/>
            <w:vAlign w:val="bottom"/>
          </w:tcPr>
          <w:p w14:paraId="603922EE" w14:textId="124403AE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0.0907</w:t>
            </w:r>
          </w:p>
        </w:tc>
        <w:tc>
          <w:tcPr>
            <w:tcW w:w="993" w:type="dxa"/>
            <w:vAlign w:val="bottom"/>
          </w:tcPr>
          <w:p w14:paraId="0AFDF4C8" w14:textId="780DB35A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  <w:rPr>
                <w:highlight w:val="yellow"/>
              </w:rPr>
            </w:pPr>
            <w:r w:rsidRPr="007A0C12">
              <w:t>0.130</w:t>
            </w:r>
          </w:p>
        </w:tc>
      </w:tr>
      <w:tr w:rsidR="00E23E02" w:rsidRPr="007A0C12" w14:paraId="73E66F97" w14:textId="77777777" w:rsidTr="00512FD2">
        <w:trPr>
          <w:trHeight w:val="209"/>
        </w:trPr>
        <w:tc>
          <w:tcPr>
            <w:tcW w:w="2689" w:type="dxa"/>
            <w:vAlign w:val="bottom"/>
          </w:tcPr>
          <w:p w14:paraId="3D882D5C" w14:textId="46593D8F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Mean age of slaughter (days)</w:t>
            </w:r>
          </w:p>
        </w:tc>
        <w:tc>
          <w:tcPr>
            <w:tcW w:w="992" w:type="dxa"/>
            <w:vAlign w:val="bottom"/>
          </w:tcPr>
          <w:p w14:paraId="2C40F2D2" w14:textId="691C9F2D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158</w:t>
            </w:r>
          </w:p>
        </w:tc>
        <w:tc>
          <w:tcPr>
            <w:tcW w:w="992" w:type="dxa"/>
            <w:vAlign w:val="bottom"/>
          </w:tcPr>
          <w:p w14:paraId="52B0384E" w14:textId="26202A80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2.35</w:t>
            </w:r>
          </w:p>
        </w:tc>
        <w:tc>
          <w:tcPr>
            <w:tcW w:w="992" w:type="dxa"/>
            <w:vAlign w:val="bottom"/>
          </w:tcPr>
          <w:p w14:paraId="4D6CF641" w14:textId="20D610CD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163</w:t>
            </w:r>
          </w:p>
        </w:tc>
        <w:tc>
          <w:tcPr>
            <w:tcW w:w="993" w:type="dxa"/>
            <w:vAlign w:val="bottom"/>
          </w:tcPr>
          <w:p w14:paraId="6830075C" w14:textId="3CAEC1EF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2.50</w:t>
            </w:r>
          </w:p>
        </w:tc>
        <w:tc>
          <w:tcPr>
            <w:tcW w:w="850" w:type="dxa"/>
            <w:vAlign w:val="bottom"/>
          </w:tcPr>
          <w:p w14:paraId="159735E8" w14:textId="350730B7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163</w:t>
            </w:r>
          </w:p>
        </w:tc>
        <w:tc>
          <w:tcPr>
            <w:tcW w:w="992" w:type="dxa"/>
            <w:vAlign w:val="bottom"/>
          </w:tcPr>
          <w:p w14:paraId="64FBC4D2" w14:textId="5786BEEA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3.16</w:t>
            </w:r>
          </w:p>
        </w:tc>
        <w:tc>
          <w:tcPr>
            <w:tcW w:w="993" w:type="dxa"/>
            <w:vAlign w:val="bottom"/>
          </w:tcPr>
          <w:p w14:paraId="29BA8754" w14:textId="7AA4260B" w:rsidR="00E23E02" w:rsidRPr="007A0C12" w:rsidRDefault="00E23E02" w:rsidP="00E23E02">
            <w:pPr>
              <w:pStyle w:val="calibri"/>
              <w:spacing w:before="0" w:beforeAutospacing="0" w:after="300" w:afterAutospacing="0"/>
              <w:jc w:val="center"/>
            </w:pPr>
            <w:r w:rsidRPr="007A0C12">
              <w:t>0.160</w:t>
            </w:r>
          </w:p>
        </w:tc>
      </w:tr>
    </w:tbl>
    <w:p w14:paraId="03C167F4" w14:textId="77777777" w:rsidR="00F50BA2" w:rsidRPr="007A0C12" w:rsidRDefault="00F50BA2" w:rsidP="00F50BA2">
      <w:pPr>
        <w:rPr>
          <w:rFonts w:ascii="Calibri" w:hAnsi="Calibri" w:cs="Calibri"/>
        </w:rPr>
      </w:pPr>
    </w:p>
    <w:p w14:paraId="353EF5BD" w14:textId="6B98CCB2" w:rsidR="00496E87" w:rsidRPr="007A0C12" w:rsidRDefault="00F954C8" w:rsidP="00CB5376">
      <w:pPr>
        <w:shd w:val="clear" w:color="auto" w:fill="FFFFFF"/>
        <w:spacing w:before="100" w:beforeAutospacing="1" w:after="150" w:line="240" w:lineRule="auto"/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</w:pPr>
      <w:r w:rsidRPr="007A0C12">
        <w:rPr>
          <w:rFonts w:ascii="Calibri" w:hAnsi="Calibri" w:cs="Calibri"/>
          <w:b/>
          <w:bCs/>
        </w:rPr>
        <w:t>Conclusions</w:t>
      </w:r>
      <w:r w:rsidR="00061DD8" w:rsidRPr="007A0C12">
        <w:rPr>
          <w:rFonts w:ascii="Calibri" w:hAnsi="Calibri" w:cs="Calibri"/>
          <w:b/>
          <w:bCs/>
        </w:rPr>
        <w:t>:</w:t>
      </w:r>
      <w:r w:rsidR="000C7392" w:rsidRPr="007A0C12">
        <w:rPr>
          <w:rFonts w:ascii="Calibri" w:hAnsi="Calibri" w:cs="Calibri"/>
        </w:rPr>
        <w:t xml:space="preserve"> </w:t>
      </w:r>
      <w:r w:rsidR="00CB5376" w:rsidRPr="007A0C12">
        <w:rPr>
          <w:rFonts w:ascii="Calibri" w:hAnsi="Calibri" w:cs="Calibri"/>
        </w:rPr>
        <w:t>Lambs that grazed multispecies swards continuously had reduced anthelmintic treatments per lamb when compared with PRG/WC. Ram lambs that grazed multispecies swards continuously had higher DLWG than PRG/WC and 50:50</w:t>
      </w:r>
      <w:r w:rsidR="004622E6" w:rsidRPr="007A0C12">
        <w:rPr>
          <w:rFonts w:ascii="Calibri" w:hAnsi="Calibri" w:cs="Calibri"/>
        </w:rPr>
        <w:t>,</w:t>
      </w:r>
      <w:r w:rsidR="00CB5376" w:rsidRPr="007A0C12">
        <w:rPr>
          <w:rFonts w:ascii="Calibri" w:hAnsi="Calibri" w:cs="Calibri"/>
        </w:rPr>
        <w:t xml:space="preserve"> although there were no differences for ewe lambs</w:t>
      </w:r>
      <w:r w:rsidR="00B51803" w:rsidRPr="007A0C12">
        <w:rPr>
          <w:rFonts w:ascii="Calibri" w:hAnsi="Calibri" w:cs="Calibri"/>
        </w:rPr>
        <w:t xml:space="preserve">; </w:t>
      </w:r>
      <w:r w:rsidR="004622E6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 xml:space="preserve">This </w:t>
      </w:r>
      <w:r w:rsidR="004622E6" w:rsidRPr="00C705F3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>d</w:t>
      </w:r>
      <w:r w:rsidR="004622E6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>isparity</w:t>
      </w:r>
      <w:r w:rsidR="004622E6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 xml:space="preserve"> in DLWG between </w:t>
      </w:r>
      <w:r w:rsidR="004622E6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>rams and ewes</w:t>
      </w:r>
      <w:r w:rsidR="004622E6" w:rsidRPr="00C705F3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 xml:space="preserve"> could be </w:t>
      </w:r>
      <w:r w:rsidR="00E53E04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 xml:space="preserve">attributed </w:t>
      </w:r>
      <w:r w:rsidR="004622E6" w:rsidRPr="00C705F3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 xml:space="preserve">to the early withdrawal of </w:t>
      </w:r>
      <w:r w:rsidR="004622E6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>ewe l</w:t>
      </w:r>
      <w:r w:rsidR="004622E6" w:rsidRPr="00C705F3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>ambs from the study.</w:t>
      </w:r>
      <w:r w:rsidR="004622E6" w:rsidRPr="007A0C12">
        <w:rPr>
          <w:rFonts w:ascii="Calibri" w:eastAsia="Times New Roman" w:hAnsi="Calibri" w:cs="Calibri"/>
          <w:color w:val="1F1F1F"/>
          <w:kern w:val="0"/>
          <w:lang w:eastAsia="en-GB"/>
          <w14:ligatures w14:val="none"/>
        </w:rPr>
        <w:t xml:space="preserve"> </w:t>
      </w:r>
      <w:r w:rsidR="005E0BF1" w:rsidRPr="007A0C12">
        <w:rPr>
          <w:rFonts w:ascii="Calibri" w:hAnsi="Calibri" w:cs="Calibri"/>
        </w:rPr>
        <w:t>Egg counts</w:t>
      </w:r>
      <w:r w:rsidR="00496E87" w:rsidRPr="007A0C12">
        <w:rPr>
          <w:rFonts w:ascii="Calibri" w:hAnsi="Calibri" w:cs="Calibri"/>
        </w:rPr>
        <w:t xml:space="preserve"> were higher for MSS later in the season</w:t>
      </w:r>
      <w:r w:rsidR="00BD4DD0" w:rsidRPr="007A0C12">
        <w:rPr>
          <w:rFonts w:ascii="Calibri" w:hAnsi="Calibri" w:cs="Calibri"/>
        </w:rPr>
        <w:t xml:space="preserve"> however</w:t>
      </w:r>
      <w:r w:rsidR="00496E87" w:rsidRPr="007A0C12">
        <w:rPr>
          <w:rFonts w:ascii="Calibri" w:hAnsi="Calibri" w:cs="Calibri"/>
        </w:rPr>
        <w:t xml:space="preserve"> average FEC over the entire study did not</w:t>
      </w:r>
      <w:r w:rsidR="00BD4DD0" w:rsidRPr="007A0C12">
        <w:rPr>
          <w:rFonts w:ascii="Calibri" w:hAnsi="Calibri" w:cs="Calibri"/>
        </w:rPr>
        <w:t xml:space="preserve"> significantly</w:t>
      </w:r>
      <w:r w:rsidR="00496E87" w:rsidRPr="007A0C12">
        <w:rPr>
          <w:rFonts w:ascii="Calibri" w:hAnsi="Calibri" w:cs="Calibri"/>
        </w:rPr>
        <w:t xml:space="preserve"> differ between </w:t>
      </w:r>
      <w:r w:rsidR="00BD4DD0" w:rsidRPr="007A0C12">
        <w:rPr>
          <w:rFonts w:ascii="Calibri" w:hAnsi="Calibri" w:cs="Calibri"/>
        </w:rPr>
        <w:t xml:space="preserve">the </w:t>
      </w:r>
      <w:r w:rsidR="00496E87" w:rsidRPr="007A0C12">
        <w:rPr>
          <w:rFonts w:ascii="Calibri" w:hAnsi="Calibri" w:cs="Calibri"/>
        </w:rPr>
        <w:t>groups</w:t>
      </w:r>
      <w:r w:rsidR="00BD4DD0" w:rsidRPr="007A0C12">
        <w:rPr>
          <w:rFonts w:ascii="Calibri" w:hAnsi="Calibri" w:cs="Calibri"/>
        </w:rPr>
        <w:t>.</w:t>
      </w:r>
      <w:r w:rsidR="00496E87" w:rsidRPr="007A0C12">
        <w:rPr>
          <w:rFonts w:ascii="Calibri" w:hAnsi="Calibri" w:cs="Calibri"/>
        </w:rPr>
        <w:t xml:space="preserve"> </w:t>
      </w:r>
      <w:r w:rsidR="00025A34" w:rsidRPr="007A0C12">
        <w:rPr>
          <w:rFonts w:ascii="Calibri" w:hAnsi="Calibri" w:cs="Calibri"/>
        </w:rPr>
        <w:t xml:space="preserve">This </w:t>
      </w:r>
      <w:r w:rsidR="00496E87" w:rsidRPr="007A0C12">
        <w:rPr>
          <w:rFonts w:ascii="Calibri" w:hAnsi="Calibri" w:cs="Calibri"/>
        </w:rPr>
        <w:t>suggest</w:t>
      </w:r>
      <w:r w:rsidR="00025A34" w:rsidRPr="007A0C12">
        <w:rPr>
          <w:rFonts w:ascii="Calibri" w:hAnsi="Calibri" w:cs="Calibri"/>
        </w:rPr>
        <w:t>s</w:t>
      </w:r>
      <w:r w:rsidR="00496E87" w:rsidRPr="007A0C12">
        <w:rPr>
          <w:rFonts w:ascii="Calibri" w:hAnsi="Calibri" w:cs="Calibri"/>
        </w:rPr>
        <w:t xml:space="preserve"> that </w:t>
      </w:r>
      <w:r w:rsidR="000F7064" w:rsidRPr="00AB31A1">
        <w:rPr>
          <w:rFonts w:ascii="Calibri" w:hAnsi="Calibri" w:cs="Calibri"/>
        </w:rPr>
        <w:t>implementing</w:t>
      </w:r>
      <w:r w:rsidR="00724C51" w:rsidRPr="00AB31A1">
        <w:rPr>
          <w:rFonts w:ascii="Calibri" w:hAnsi="Calibri" w:cs="Calibri"/>
        </w:rPr>
        <w:t xml:space="preserve"> TST</w:t>
      </w:r>
      <w:r w:rsidR="00025A34" w:rsidRPr="00AB31A1">
        <w:rPr>
          <w:rFonts w:ascii="Calibri" w:hAnsi="Calibri" w:cs="Calibri"/>
        </w:rPr>
        <w:t xml:space="preserve"> alongside rotational grazing on </w:t>
      </w:r>
      <w:r w:rsidR="005E0BF1" w:rsidRPr="00AB31A1">
        <w:rPr>
          <w:rFonts w:ascii="Calibri" w:hAnsi="Calibri" w:cs="Calibri"/>
        </w:rPr>
        <w:t>multispecies swards</w:t>
      </w:r>
      <w:r w:rsidR="00BD4DD0" w:rsidRPr="00AB31A1">
        <w:rPr>
          <w:rFonts w:ascii="Calibri" w:hAnsi="Calibri" w:cs="Calibri"/>
        </w:rPr>
        <w:t xml:space="preserve"> </w:t>
      </w:r>
      <w:r w:rsidR="00724C51" w:rsidRPr="00AB31A1">
        <w:rPr>
          <w:rFonts w:ascii="Calibri" w:hAnsi="Calibri" w:cs="Calibri"/>
        </w:rPr>
        <w:t xml:space="preserve">can </w:t>
      </w:r>
      <w:r w:rsidR="00801397" w:rsidRPr="00AB31A1">
        <w:rPr>
          <w:rFonts w:ascii="Calibri" w:hAnsi="Calibri" w:cs="Calibri"/>
        </w:rPr>
        <w:t xml:space="preserve">reduce the number of </w:t>
      </w:r>
      <w:r w:rsidR="00F67A33" w:rsidRPr="00AB31A1">
        <w:rPr>
          <w:rFonts w:ascii="Calibri" w:hAnsi="Calibri" w:cs="Calibri"/>
        </w:rPr>
        <w:t>treatmen</w:t>
      </w:r>
      <w:r w:rsidR="00F67A33" w:rsidRPr="00DD62B7">
        <w:rPr>
          <w:rFonts w:ascii="Calibri" w:hAnsi="Calibri" w:cs="Calibri"/>
        </w:rPr>
        <w:t>t</w:t>
      </w:r>
      <w:r w:rsidR="00801397" w:rsidRPr="00DD62B7">
        <w:rPr>
          <w:rFonts w:ascii="Calibri" w:hAnsi="Calibri" w:cs="Calibri"/>
        </w:rPr>
        <w:t>s issued</w:t>
      </w:r>
      <w:r w:rsidR="00061DD8" w:rsidRPr="00DD62B7">
        <w:rPr>
          <w:rFonts w:ascii="Calibri" w:hAnsi="Calibri" w:cs="Calibri"/>
        </w:rPr>
        <w:t xml:space="preserve"> thereby</w:t>
      </w:r>
      <w:r w:rsidR="00025A34" w:rsidRPr="00DD62B7">
        <w:rPr>
          <w:rFonts w:ascii="Calibri" w:hAnsi="Calibri" w:cs="Calibri"/>
        </w:rPr>
        <w:t xml:space="preserve"> </w:t>
      </w:r>
      <w:r w:rsidR="00724C51" w:rsidRPr="00DD62B7">
        <w:rPr>
          <w:rFonts w:ascii="Calibri" w:hAnsi="Calibri" w:cs="Calibri"/>
        </w:rPr>
        <w:t>reducing anthelmintic use</w:t>
      </w:r>
      <w:r w:rsidR="00DD62B7" w:rsidRPr="00DD62B7">
        <w:rPr>
          <w:rFonts w:ascii="Calibri" w:hAnsi="Calibri" w:cs="Calibri"/>
        </w:rPr>
        <w:t xml:space="preserve"> which helps to </w:t>
      </w:r>
      <w:r w:rsidR="001C5024" w:rsidRPr="00DD62B7">
        <w:rPr>
          <w:rFonts w:ascii="Calibri" w:hAnsi="Calibri" w:cs="Calibri"/>
        </w:rPr>
        <w:t xml:space="preserve">maintain </w:t>
      </w:r>
      <w:r w:rsidR="004622E6" w:rsidRPr="00DD62B7">
        <w:rPr>
          <w:rFonts w:ascii="Calibri" w:hAnsi="Calibri" w:cs="Calibri"/>
        </w:rPr>
        <w:t>refugia</w:t>
      </w:r>
      <w:r w:rsidR="00AB31A1" w:rsidRPr="00DD62B7">
        <w:rPr>
          <w:rFonts w:ascii="Calibri" w:hAnsi="Calibri" w:cs="Calibri"/>
        </w:rPr>
        <w:t xml:space="preserve"> and </w:t>
      </w:r>
      <w:r w:rsidR="00AB31A1" w:rsidRPr="00DD62B7">
        <w:rPr>
          <w:rStyle w:val="Strong"/>
          <w:rFonts w:ascii="Calibri" w:hAnsi="Calibri" w:cs="Calibri"/>
          <w:b w:val="0"/>
          <w:bCs w:val="0"/>
          <w:color w:val="1F1F1F"/>
          <w:shd w:val="clear" w:color="auto" w:fill="FFFFFF"/>
        </w:rPr>
        <w:t>reduc</w:t>
      </w:r>
      <w:r w:rsidR="00DD62B7" w:rsidRPr="00DD62B7">
        <w:rPr>
          <w:rStyle w:val="Strong"/>
          <w:rFonts w:ascii="Calibri" w:hAnsi="Calibri" w:cs="Calibri"/>
          <w:b w:val="0"/>
          <w:bCs w:val="0"/>
          <w:color w:val="1F1F1F"/>
          <w:shd w:val="clear" w:color="auto" w:fill="FFFFFF"/>
        </w:rPr>
        <w:t>e</w:t>
      </w:r>
      <w:r w:rsidR="00AB31A1" w:rsidRPr="00DD62B7">
        <w:rPr>
          <w:rStyle w:val="Strong"/>
          <w:rFonts w:ascii="Calibri" w:hAnsi="Calibri" w:cs="Calibri"/>
          <w:b w:val="0"/>
          <w:bCs w:val="0"/>
          <w:color w:val="1F1F1F"/>
          <w:shd w:val="clear" w:color="auto" w:fill="FFFFFF"/>
        </w:rPr>
        <w:t xml:space="preserve"> </w:t>
      </w:r>
      <w:r w:rsidR="00AB31A1" w:rsidRPr="00DD62B7">
        <w:rPr>
          <w:rStyle w:val="Strong"/>
          <w:rFonts w:ascii="Calibri" w:hAnsi="Calibri" w:cs="Calibri"/>
          <w:b w:val="0"/>
          <w:bCs w:val="0"/>
          <w:color w:val="1F1F1F"/>
          <w:shd w:val="clear" w:color="auto" w:fill="FFFFFF"/>
        </w:rPr>
        <w:t>the selection pressure for anthelmintic resistance</w:t>
      </w:r>
      <w:r w:rsidR="00DD62B7">
        <w:rPr>
          <w:rFonts w:ascii="Calibri" w:hAnsi="Calibri" w:cs="Calibri"/>
        </w:rPr>
        <w:t>. Furthermore, it can also</w:t>
      </w:r>
      <w:r w:rsidR="001C5024" w:rsidRPr="00DD62B7">
        <w:rPr>
          <w:rFonts w:ascii="Calibri" w:hAnsi="Calibri" w:cs="Calibri"/>
        </w:rPr>
        <w:t xml:space="preserve"> </w:t>
      </w:r>
      <w:r w:rsidR="00E53E04" w:rsidRPr="00DD62B7">
        <w:rPr>
          <w:rFonts w:ascii="Calibri" w:hAnsi="Calibri" w:cs="Calibri"/>
        </w:rPr>
        <w:t>provid</w:t>
      </w:r>
      <w:r w:rsidR="00DD62B7">
        <w:rPr>
          <w:rFonts w:ascii="Calibri" w:hAnsi="Calibri" w:cs="Calibri"/>
        </w:rPr>
        <w:t>e</w:t>
      </w:r>
      <w:r w:rsidR="00E53E04" w:rsidRPr="00DD62B7">
        <w:rPr>
          <w:rFonts w:ascii="Calibri" w:hAnsi="Calibri" w:cs="Calibri"/>
        </w:rPr>
        <w:t xml:space="preserve"> </w:t>
      </w:r>
      <w:r w:rsidR="00061DD8" w:rsidRPr="00DD62B7">
        <w:rPr>
          <w:rFonts w:ascii="Calibri" w:hAnsi="Calibri" w:cs="Calibri"/>
        </w:rPr>
        <w:t>benefits for performance</w:t>
      </w:r>
      <w:r w:rsidR="009E6E65" w:rsidRPr="00DD62B7">
        <w:rPr>
          <w:rFonts w:ascii="Calibri" w:hAnsi="Calibri" w:cs="Calibri"/>
        </w:rPr>
        <w:t xml:space="preserve"> of lambs</w:t>
      </w:r>
      <w:r w:rsidR="000E2C42" w:rsidRPr="00DD62B7">
        <w:rPr>
          <w:rFonts w:ascii="Calibri" w:hAnsi="Calibri" w:cs="Calibri"/>
        </w:rPr>
        <w:t>.</w:t>
      </w:r>
      <w:r w:rsidR="00025A34" w:rsidRPr="00DD62B7">
        <w:rPr>
          <w:rFonts w:ascii="Calibri" w:hAnsi="Calibri" w:cs="Calibri"/>
        </w:rPr>
        <w:t xml:space="preserve"> This may</w:t>
      </w:r>
      <w:r w:rsidR="00025A34" w:rsidRPr="007A0C12">
        <w:rPr>
          <w:rFonts w:ascii="Calibri" w:hAnsi="Calibri" w:cs="Calibri"/>
        </w:rPr>
        <w:t xml:space="preserve"> indicate that </w:t>
      </w:r>
      <w:r w:rsidR="005E0BF1" w:rsidRPr="007A0C12">
        <w:rPr>
          <w:rFonts w:ascii="Calibri" w:hAnsi="Calibri" w:cs="Calibri"/>
        </w:rPr>
        <w:t>multispecies swards</w:t>
      </w:r>
      <w:r w:rsidR="00025A34" w:rsidRPr="007A0C12">
        <w:rPr>
          <w:rFonts w:ascii="Calibri" w:hAnsi="Calibri" w:cs="Calibri"/>
        </w:rPr>
        <w:t xml:space="preserve"> provide</w:t>
      </w:r>
      <w:r w:rsidR="00AE2C96" w:rsidRPr="007A0C12">
        <w:rPr>
          <w:rFonts w:ascii="Calibri" w:hAnsi="Calibri" w:cs="Calibri"/>
        </w:rPr>
        <w:t xml:space="preserve"> </w:t>
      </w:r>
      <w:r w:rsidR="00025A34" w:rsidRPr="007A0C12">
        <w:rPr>
          <w:rFonts w:ascii="Calibri" w:hAnsi="Calibri" w:cs="Calibri"/>
        </w:rPr>
        <w:t>nutritional benefits but not necessarily anthelmintic effects.</w:t>
      </w:r>
    </w:p>
    <w:p w14:paraId="58EBAE91" w14:textId="1278F80A" w:rsidR="00E46CC6" w:rsidRPr="007A0C12" w:rsidRDefault="001C071F" w:rsidP="001B7294">
      <w:pPr>
        <w:jc w:val="both"/>
        <w:rPr>
          <w:rFonts w:ascii="Calibri" w:hAnsi="Calibri" w:cs="Calibri"/>
          <w:b/>
          <w:bCs/>
          <w:u w:val="single"/>
        </w:rPr>
      </w:pPr>
      <w:r w:rsidRPr="007A0C12">
        <w:rPr>
          <w:rFonts w:ascii="Calibri" w:hAnsi="Calibri" w:cs="Calibri"/>
          <w:b/>
          <w:bCs/>
        </w:rPr>
        <w:t>Acknowledgements</w:t>
      </w:r>
      <w:r w:rsidR="001B7294" w:rsidRPr="007A0C12">
        <w:rPr>
          <w:rFonts w:ascii="Calibri" w:hAnsi="Calibri" w:cs="Calibri"/>
          <w:b/>
          <w:bCs/>
        </w:rPr>
        <w:t>:</w:t>
      </w:r>
      <w:r w:rsidR="00297B45" w:rsidRPr="007A0C12">
        <w:rPr>
          <w:rFonts w:ascii="Calibri" w:hAnsi="Calibri" w:cs="Calibri"/>
          <w:b/>
          <w:bCs/>
        </w:rPr>
        <w:t xml:space="preserve"> </w:t>
      </w:r>
      <w:r w:rsidR="00E46CC6" w:rsidRPr="007A0C12">
        <w:rPr>
          <w:rFonts w:ascii="Calibri" w:hAnsi="Calibri" w:cs="Calibri"/>
        </w:rPr>
        <w:t>PhD s</w:t>
      </w:r>
      <w:r w:rsidR="008516E9" w:rsidRPr="007A0C12">
        <w:rPr>
          <w:rFonts w:ascii="Calibri" w:hAnsi="Calibri" w:cs="Calibri"/>
        </w:rPr>
        <w:t>tudentship</w:t>
      </w:r>
      <w:r w:rsidR="00E46CC6" w:rsidRPr="007A0C12">
        <w:rPr>
          <w:rFonts w:ascii="Calibri" w:hAnsi="Calibri" w:cs="Calibri"/>
        </w:rPr>
        <w:t xml:space="preserve"> f</w:t>
      </w:r>
      <w:r w:rsidR="008516E9" w:rsidRPr="007A0C12">
        <w:rPr>
          <w:rFonts w:ascii="Calibri" w:hAnsi="Calibri" w:cs="Calibri"/>
        </w:rPr>
        <w:t>unded by</w:t>
      </w:r>
      <w:r w:rsidR="00E46CC6" w:rsidRPr="007A0C12">
        <w:rPr>
          <w:rFonts w:ascii="Calibri" w:hAnsi="Calibri" w:cs="Calibri"/>
        </w:rPr>
        <w:t xml:space="preserve"> the Northern Ireland</w:t>
      </w:r>
      <w:r w:rsidR="005C141C" w:rsidRPr="007A0C12">
        <w:rPr>
          <w:rFonts w:ascii="Calibri" w:hAnsi="Calibri" w:cs="Calibri"/>
        </w:rPr>
        <w:t xml:space="preserve"> </w:t>
      </w:r>
      <w:r w:rsidR="00E46CC6" w:rsidRPr="007A0C12">
        <w:rPr>
          <w:rFonts w:ascii="Calibri" w:hAnsi="Calibri" w:cs="Calibri"/>
        </w:rPr>
        <w:t>Department of Agriculture Environment and Rural Affairs.</w:t>
      </w:r>
    </w:p>
    <w:p w14:paraId="40B1907C" w14:textId="77777777" w:rsidR="00E46CC6" w:rsidRPr="007A0C12" w:rsidRDefault="00E46CC6" w:rsidP="00061DD8">
      <w:pPr>
        <w:jc w:val="both"/>
        <w:rPr>
          <w:rFonts w:ascii="Calibri" w:hAnsi="Calibri" w:cs="Calibri"/>
          <w:u w:val="single"/>
        </w:rPr>
      </w:pPr>
    </w:p>
    <w:p w14:paraId="35CF7F6F" w14:textId="77777777" w:rsidR="00F156AF" w:rsidRPr="007A0C12" w:rsidRDefault="00F156AF" w:rsidP="00061DD8">
      <w:pPr>
        <w:jc w:val="both"/>
        <w:rPr>
          <w:rFonts w:ascii="Calibri" w:hAnsi="Calibri" w:cs="Calibri"/>
          <w:b/>
          <w:bCs/>
        </w:rPr>
      </w:pPr>
    </w:p>
    <w:p w14:paraId="4A23B518" w14:textId="39E8DF69" w:rsidR="00F55687" w:rsidRPr="007A0C12" w:rsidRDefault="00F55687" w:rsidP="00061DD8">
      <w:pPr>
        <w:jc w:val="both"/>
        <w:rPr>
          <w:rFonts w:ascii="Calibri" w:hAnsi="Calibri" w:cs="Calibri"/>
          <w:b/>
          <w:bCs/>
        </w:rPr>
      </w:pPr>
      <w:r w:rsidRPr="007A0C12">
        <w:rPr>
          <w:rFonts w:ascii="Calibri" w:hAnsi="Calibri" w:cs="Calibri"/>
          <w:b/>
          <w:bCs/>
        </w:rPr>
        <w:t>References</w:t>
      </w:r>
      <w:r w:rsidR="00F93718" w:rsidRPr="007A0C12">
        <w:rPr>
          <w:rFonts w:ascii="Calibri" w:hAnsi="Calibri" w:cs="Calibri"/>
          <w:b/>
          <w:bCs/>
        </w:rPr>
        <w:t>:</w:t>
      </w:r>
    </w:p>
    <w:p w14:paraId="46F3A850" w14:textId="7C913511" w:rsidR="00491477" w:rsidRPr="007A0C12" w:rsidRDefault="00491477" w:rsidP="00061DD8">
      <w:pPr>
        <w:jc w:val="both"/>
        <w:rPr>
          <w:rFonts w:ascii="Calibri" w:hAnsi="Calibri" w:cs="Calibri"/>
          <w:shd w:val="clear" w:color="auto" w:fill="FFFFFF"/>
        </w:rPr>
      </w:pPr>
      <w:r w:rsidRPr="007A0C12">
        <w:rPr>
          <w:rFonts w:ascii="Calibri" w:hAnsi="Calibri" w:cs="Calibri"/>
          <w:shd w:val="clear" w:color="auto" w:fill="FFFFFF"/>
        </w:rPr>
        <w:t>Bath, G.F.</w:t>
      </w:r>
      <w:r w:rsidR="00D3362F" w:rsidRPr="007A0C12">
        <w:rPr>
          <w:rFonts w:ascii="Calibri" w:hAnsi="Calibri" w:cs="Calibri"/>
          <w:shd w:val="clear" w:color="auto" w:fill="FFFFFF"/>
        </w:rPr>
        <w:t>,</w:t>
      </w:r>
      <w:r w:rsidRPr="007A0C12">
        <w:rPr>
          <w:rFonts w:ascii="Calibri" w:hAnsi="Calibri" w:cs="Calibri"/>
          <w:shd w:val="clear" w:color="auto" w:fill="FFFFFF"/>
        </w:rPr>
        <w:t xml:space="preserve"> </w:t>
      </w:r>
      <w:r w:rsidR="001F481B" w:rsidRPr="007A0C12">
        <w:rPr>
          <w:rFonts w:ascii="Calibri" w:hAnsi="Calibri" w:cs="Calibri"/>
          <w:shd w:val="clear" w:color="auto" w:fill="FFFFFF"/>
        </w:rPr>
        <w:t>and</w:t>
      </w:r>
      <w:r w:rsidRPr="007A0C12">
        <w:rPr>
          <w:rFonts w:ascii="Calibri" w:hAnsi="Calibri" w:cs="Calibri"/>
          <w:shd w:val="clear" w:color="auto" w:fill="FFFFFF"/>
        </w:rPr>
        <w:t xml:space="preserve"> Van Wyk, J.A.</w:t>
      </w:r>
      <w:r w:rsidR="00D3362F" w:rsidRPr="007A0C12">
        <w:rPr>
          <w:rFonts w:ascii="Calibri" w:hAnsi="Calibri" w:cs="Calibri"/>
          <w:shd w:val="clear" w:color="auto" w:fill="FFFFFF"/>
        </w:rPr>
        <w:t xml:space="preserve"> </w:t>
      </w:r>
      <w:r w:rsidRPr="007A0C12">
        <w:rPr>
          <w:rFonts w:ascii="Calibri" w:hAnsi="Calibri" w:cs="Calibri"/>
          <w:shd w:val="clear" w:color="auto" w:fill="FFFFFF"/>
        </w:rPr>
        <w:t>2009. Small Ruminant Research, 86(1-3), 6-13.</w:t>
      </w:r>
    </w:p>
    <w:p w14:paraId="0C8CF1DD" w14:textId="06A029E6" w:rsidR="00491477" w:rsidRPr="007A0C12" w:rsidRDefault="00491477" w:rsidP="00061DD8">
      <w:pPr>
        <w:jc w:val="both"/>
        <w:rPr>
          <w:rFonts w:ascii="Calibri" w:hAnsi="Calibri" w:cs="Calibri"/>
          <w:shd w:val="clear" w:color="auto" w:fill="FFFFFF"/>
        </w:rPr>
      </w:pPr>
      <w:r w:rsidRPr="007A0C12">
        <w:rPr>
          <w:rFonts w:ascii="Calibri" w:hAnsi="Calibri" w:cs="Calibri"/>
          <w:shd w:val="clear" w:color="auto" w:fill="FFFFFF"/>
        </w:rPr>
        <w:t>Busin, V., Kenyon, F., Parkin, T., McBean, D., Laing, N., Sargison, N.D.</w:t>
      </w:r>
      <w:r w:rsidR="00D3362F" w:rsidRPr="007A0C12">
        <w:rPr>
          <w:rFonts w:ascii="Calibri" w:hAnsi="Calibri" w:cs="Calibri"/>
          <w:shd w:val="clear" w:color="auto" w:fill="FFFFFF"/>
        </w:rPr>
        <w:t>,</w:t>
      </w:r>
      <w:r w:rsidRPr="007A0C12">
        <w:rPr>
          <w:rFonts w:ascii="Calibri" w:hAnsi="Calibri" w:cs="Calibri"/>
          <w:shd w:val="clear" w:color="auto" w:fill="FFFFFF"/>
        </w:rPr>
        <w:t xml:space="preserve"> </w:t>
      </w:r>
      <w:r w:rsidR="001F481B" w:rsidRPr="007A0C12">
        <w:rPr>
          <w:rFonts w:ascii="Calibri" w:hAnsi="Calibri" w:cs="Calibri"/>
          <w:shd w:val="clear" w:color="auto" w:fill="FFFFFF"/>
        </w:rPr>
        <w:t>and</w:t>
      </w:r>
      <w:r w:rsidRPr="007A0C12">
        <w:rPr>
          <w:rFonts w:ascii="Calibri" w:hAnsi="Calibri" w:cs="Calibri"/>
          <w:shd w:val="clear" w:color="auto" w:fill="FFFFFF"/>
        </w:rPr>
        <w:t xml:space="preserve"> Ellis, K.</w:t>
      </w:r>
      <w:r w:rsidR="00D3362F" w:rsidRPr="007A0C12">
        <w:rPr>
          <w:rFonts w:ascii="Calibri" w:hAnsi="Calibri" w:cs="Calibri"/>
          <w:shd w:val="clear" w:color="auto" w:fill="FFFFFF"/>
        </w:rPr>
        <w:t xml:space="preserve"> </w:t>
      </w:r>
      <w:r w:rsidRPr="007A0C12">
        <w:rPr>
          <w:rFonts w:ascii="Calibri" w:hAnsi="Calibri" w:cs="Calibri"/>
          <w:shd w:val="clear" w:color="auto" w:fill="FFFFFF"/>
        </w:rPr>
        <w:t>2014. The Veterinary Journal, 200(2), 248-252.</w:t>
      </w:r>
    </w:p>
    <w:p w14:paraId="7DEFC194" w14:textId="703E67C7" w:rsidR="00491477" w:rsidRPr="007A0C12" w:rsidRDefault="00491477" w:rsidP="00061DD8">
      <w:pPr>
        <w:jc w:val="both"/>
        <w:rPr>
          <w:rFonts w:ascii="Calibri" w:hAnsi="Calibri" w:cs="Calibri"/>
          <w:shd w:val="clear" w:color="auto" w:fill="FFFFFF"/>
          <w:lang w:val="it-IT"/>
        </w:rPr>
      </w:pPr>
      <w:r w:rsidRPr="007A0C12">
        <w:rPr>
          <w:rFonts w:ascii="Calibri" w:hAnsi="Calibri" w:cs="Calibri"/>
        </w:rPr>
        <w:t>Marley, C.</w:t>
      </w:r>
      <w:r w:rsidR="00D3362F" w:rsidRPr="007A0C12">
        <w:rPr>
          <w:rFonts w:ascii="Calibri" w:hAnsi="Calibri" w:cs="Calibri"/>
        </w:rPr>
        <w:t xml:space="preserve">, </w:t>
      </w:r>
      <w:r w:rsidRPr="007A0C12">
        <w:rPr>
          <w:rFonts w:ascii="Calibri" w:hAnsi="Calibri" w:cs="Calibri"/>
        </w:rPr>
        <w:t>Cook, R.</w:t>
      </w:r>
      <w:r w:rsidR="00D3362F" w:rsidRPr="007A0C12">
        <w:rPr>
          <w:rFonts w:ascii="Calibri" w:hAnsi="Calibri" w:cs="Calibri"/>
        </w:rPr>
        <w:t xml:space="preserve">, </w:t>
      </w:r>
      <w:r w:rsidRPr="007A0C12">
        <w:rPr>
          <w:rFonts w:ascii="Calibri" w:hAnsi="Calibri" w:cs="Calibri"/>
        </w:rPr>
        <w:t>Keatinge, R.</w:t>
      </w:r>
      <w:r w:rsidR="00D3362F" w:rsidRPr="007A0C12">
        <w:rPr>
          <w:rFonts w:ascii="Calibri" w:hAnsi="Calibri" w:cs="Calibri"/>
        </w:rPr>
        <w:t>,</w:t>
      </w:r>
      <w:r w:rsidRPr="007A0C12">
        <w:rPr>
          <w:rFonts w:ascii="Calibri" w:hAnsi="Calibri" w:cs="Calibri"/>
        </w:rPr>
        <w:t xml:space="preserve"> Barrett, J.</w:t>
      </w:r>
      <w:r w:rsidR="00D3362F" w:rsidRPr="007A0C12">
        <w:rPr>
          <w:rFonts w:ascii="Calibri" w:hAnsi="Calibri" w:cs="Calibri"/>
        </w:rPr>
        <w:t xml:space="preserve">, </w:t>
      </w:r>
      <w:r w:rsidR="001F481B" w:rsidRPr="007A0C12">
        <w:rPr>
          <w:rFonts w:ascii="Calibri" w:hAnsi="Calibri" w:cs="Calibri"/>
        </w:rPr>
        <w:t>and</w:t>
      </w:r>
      <w:r w:rsidRPr="007A0C12">
        <w:rPr>
          <w:rFonts w:ascii="Calibri" w:hAnsi="Calibri" w:cs="Calibri"/>
        </w:rPr>
        <w:t xml:space="preserve"> Lampkin, N.</w:t>
      </w:r>
      <w:r w:rsidR="00D3362F" w:rsidRPr="007A0C12">
        <w:rPr>
          <w:rFonts w:ascii="Calibri" w:hAnsi="Calibri" w:cs="Calibri"/>
        </w:rPr>
        <w:t xml:space="preserve"> </w:t>
      </w:r>
      <w:r w:rsidR="00D3362F" w:rsidRPr="007A0C12">
        <w:rPr>
          <w:rFonts w:ascii="Calibri" w:hAnsi="Calibri" w:cs="Calibri"/>
          <w:lang w:val="it-IT"/>
        </w:rPr>
        <w:t xml:space="preserve">2002. </w:t>
      </w:r>
      <w:r w:rsidRPr="007A0C12">
        <w:rPr>
          <w:rFonts w:ascii="Calibri" w:hAnsi="Calibri" w:cs="Calibri"/>
          <w:lang w:val="it-IT"/>
        </w:rPr>
        <w:t>Vet</w:t>
      </w:r>
      <w:r w:rsidR="001F481B" w:rsidRPr="007A0C12">
        <w:rPr>
          <w:rFonts w:ascii="Calibri" w:hAnsi="Calibri" w:cs="Calibri"/>
          <w:lang w:val="it-IT"/>
        </w:rPr>
        <w:t>erinary</w:t>
      </w:r>
      <w:r w:rsidRPr="007A0C12">
        <w:rPr>
          <w:rFonts w:ascii="Calibri" w:hAnsi="Calibri" w:cs="Calibri"/>
          <w:lang w:val="it-IT"/>
        </w:rPr>
        <w:t xml:space="preserve"> Parasitol</w:t>
      </w:r>
      <w:r w:rsidR="001F481B" w:rsidRPr="007A0C12">
        <w:rPr>
          <w:rFonts w:ascii="Calibri" w:hAnsi="Calibri" w:cs="Calibri"/>
          <w:lang w:val="it-IT"/>
        </w:rPr>
        <w:t>ogy</w:t>
      </w:r>
      <w:r w:rsidR="00D3362F" w:rsidRPr="007A0C12">
        <w:rPr>
          <w:rFonts w:ascii="Calibri" w:hAnsi="Calibri" w:cs="Calibri"/>
          <w:lang w:val="it-IT"/>
        </w:rPr>
        <w:t xml:space="preserve">, </w:t>
      </w:r>
      <w:r w:rsidRPr="007A0C12">
        <w:rPr>
          <w:rFonts w:ascii="Calibri" w:hAnsi="Calibri" w:cs="Calibri"/>
          <w:lang w:val="it-IT"/>
        </w:rPr>
        <w:t>112, 147–155.</w:t>
      </w:r>
    </w:p>
    <w:p w14:paraId="1718F00B" w14:textId="72F7FD28" w:rsidR="00D059A8" w:rsidRPr="007A0C12" w:rsidRDefault="00491477" w:rsidP="00061DD8">
      <w:pPr>
        <w:pStyle w:val="calibri"/>
        <w:shd w:val="clear" w:color="auto" w:fill="FFFFFF"/>
        <w:spacing w:before="0" w:beforeAutospacing="0" w:after="300" w:afterAutospacing="0"/>
        <w:jc w:val="both"/>
      </w:pPr>
      <w:r w:rsidRPr="007A0C12">
        <w:rPr>
          <w:lang w:val="it-IT"/>
        </w:rPr>
        <w:t>Molento, M.B., Buzatti, A.</w:t>
      </w:r>
      <w:r w:rsidR="00D3362F" w:rsidRPr="007A0C12">
        <w:rPr>
          <w:lang w:val="it-IT"/>
        </w:rPr>
        <w:t>,</w:t>
      </w:r>
      <w:r w:rsidRPr="007A0C12">
        <w:rPr>
          <w:lang w:val="it-IT"/>
        </w:rPr>
        <w:t xml:space="preserve"> </w:t>
      </w:r>
      <w:r w:rsidR="001F481B" w:rsidRPr="007A0C12">
        <w:rPr>
          <w:lang w:val="it-IT"/>
        </w:rPr>
        <w:t>and</w:t>
      </w:r>
      <w:r w:rsidRPr="007A0C12">
        <w:rPr>
          <w:lang w:val="it-IT"/>
        </w:rPr>
        <w:t xml:space="preserve"> Sprenger, L.K.</w:t>
      </w:r>
      <w:r w:rsidR="00D3362F" w:rsidRPr="007A0C12">
        <w:rPr>
          <w:lang w:val="it-IT"/>
        </w:rPr>
        <w:t xml:space="preserve"> </w:t>
      </w:r>
      <w:r w:rsidRPr="007A0C12">
        <w:rPr>
          <w:lang w:val="it-IT"/>
        </w:rPr>
        <w:t>2016</w:t>
      </w:r>
      <w:r w:rsidRPr="007A0C12">
        <w:t>. Livestock Science, 192, 48-54.</w:t>
      </w:r>
      <w:bookmarkEnd w:id="0"/>
    </w:p>
    <w:p w14:paraId="1FC93619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2D1A8D09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40D18A73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786C8784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3A782CAD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2ACE95C5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0EDA66F0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390E3E71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742C40E9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36C34172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0C6503A9" w14:textId="77777777" w:rsidR="000E6243" w:rsidRDefault="000E6243" w:rsidP="00D059A8">
      <w:pPr>
        <w:pStyle w:val="calibri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hd w:val="clear" w:color="auto" w:fill="FFFFFF"/>
        </w:rPr>
      </w:pPr>
    </w:p>
    <w:p w14:paraId="113F0027" w14:textId="4894A580" w:rsidR="00CC7C1A" w:rsidRPr="00E46CC6" w:rsidRDefault="00CC7C1A" w:rsidP="00F55687">
      <w:pPr>
        <w:rPr>
          <w:color w:val="FF0000"/>
        </w:rPr>
      </w:pPr>
    </w:p>
    <w:sectPr w:rsidR="00CC7C1A" w:rsidRPr="00E46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439B" w14:textId="77777777" w:rsidR="00724B17" w:rsidRDefault="00724B17" w:rsidP="00667035">
      <w:pPr>
        <w:spacing w:after="0" w:line="240" w:lineRule="auto"/>
      </w:pPr>
      <w:r>
        <w:separator/>
      </w:r>
    </w:p>
  </w:endnote>
  <w:endnote w:type="continuationSeparator" w:id="0">
    <w:p w14:paraId="5F23561E" w14:textId="77777777" w:rsidR="00724B17" w:rsidRDefault="00724B17" w:rsidP="0066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B422" w14:textId="77777777" w:rsidR="00724B17" w:rsidRDefault="00724B17" w:rsidP="00667035">
      <w:pPr>
        <w:spacing w:after="0" w:line="240" w:lineRule="auto"/>
      </w:pPr>
      <w:r>
        <w:separator/>
      </w:r>
    </w:p>
  </w:footnote>
  <w:footnote w:type="continuationSeparator" w:id="0">
    <w:p w14:paraId="61BCF264" w14:textId="77777777" w:rsidR="00724B17" w:rsidRDefault="00724B17" w:rsidP="00667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877"/>
    <w:multiLevelType w:val="hybridMultilevel"/>
    <w:tmpl w:val="CF9068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704C"/>
    <w:multiLevelType w:val="hybridMultilevel"/>
    <w:tmpl w:val="AB1E12CE"/>
    <w:lvl w:ilvl="0" w:tplc="956AA9E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C2B6A"/>
    <w:multiLevelType w:val="hybridMultilevel"/>
    <w:tmpl w:val="81DC3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F3696"/>
    <w:multiLevelType w:val="hybridMultilevel"/>
    <w:tmpl w:val="5C92BCDE"/>
    <w:lvl w:ilvl="0" w:tplc="10A27A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41633">
    <w:abstractNumId w:val="1"/>
  </w:num>
  <w:num w:numId="2" w16cid:durableId="285089950">
    <w:abstractNumId w:val="2"/>
  </w:num>
  <w:num w:numId="3" w16cid:durableId="38865199">
    <w:abstractNumId w:val="3"/>
  </w:num>
  <w:num w:numId="4" w16cid:durableId="75255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7B"/>
    <w:rsid w:val="00025A34"/>
    <w:rsid w:val="0004381B"/>
    <w:rsid w:val="00056301"/>
    <w:rsid w:val="00061DD8"/>
    <w:rsid w:val="00091903"/>
    <w:rsid w:val="000B1CAB"/>
    <w:rsid w:val="000B47B7"/>
    <w:rsid w:val="000C1410"/>
    <w:rsid w:val="000C3128"/>
    <w:rsid w:val="000C7392"/>
    <w:rsid w:val="000D5BA3"/>
    <w:rsid w:val="000E2C42"/>
    <w:rsid w:val="000E6243"/>
    <w:rsid w:val="000E6A52"/>
    <w:rsid w:val="000F7064"/>
    <w:rsid w:val="001163F6"/>
    <w:rsid w:val="00135BFE"/>
    <w:rsid w:val="0014336A"/>
    <w:rsid w:val="0016385E"/>
    <w:rsid w:val="001766D3"/>
    <w:rsid w:val="00180022"/>
    <w:rsid w:val="001A022A"/>
    <w:rsid w:val="001A7EEA"/>
    <w:rsid w:val="001B4161"/>
    <w:rsid w:val="001B7294"/>
    <w:rsid w:val="001C071F"/>
    <w:rsid w:val="001C5024"/>
    <w:rsid w:val="001D32D0"/>
    <w:rsid w:val="001F481B"/>
    <w:rsid w:val="002061C0"/>
    <w:rsid w:val="0021103B"/>
    <w:rsid w:val="00240B90"/>
    <w:rsid w:val="00250BC8"/>
    <w:rsid w:val="00256CE8"/>
    <w:rsid w:val="002701E4"/>
    <w:rsid w:val="002756F9"/>
    <w:rsid w:val="0028223A"/>
    <w:rsid w:val="0029144A"/>
    <w:rsid w:val="00296BA6"/>
    <w:rsid w:val="00297B45"/>
    <w:rsid w:val="002A5216"/>
    <w:rsid w:val="002B07C9"/>
    <w:rsid w:val="002B19CB"/>
    <w:rsid w:val="002B3968"/>
    <w:rsid w:val="002D264A"/>
    <w:rsid w:val="002D4F68"/>
    <w:rsid w:val="002F4786"/>
    <w:rsid w:val="003017EE"/>
    <w:rsid w:val="00301864"/>
    <w:rsid w:val="00310D0F"/>
    <w:rsid w:val="00323B3B"/>
    <w:rsid w:val="00350965"/>
    <w:rsid w:val="00362B32"/>
    <w:rsid w:val="00373603"/>
    <w:rsid w:val="003871BE"/>
    <w:rsid w:val="003908E8"/>
    <w:rsid w:val="00396C91"/>
    <w:rsid w:val="003A09DF"/>
    <w:rsid w:val="003C0B2A"/>
    <w:rsid w:val="003C5C6A"/>
    <w:rsid w:val="003D2647"/>
    <w:rsid w:val="003F1F3C"/>
    <w:rsid w:val="003F50D0"/>
    <w:rsid w:val="004622E6"/>
    <w:rsid w:val="004669E5"/>
    <w:rsid w:val="004816C6"/>
    <w:rsid w:val="00483B6B"/>
    <w:rsid w:val="00491477"/>
    <w:rsid w:val="00496E87"/>
    <w:rsid w:val="004A3CDE"/>
    <w:rsid w:val="004C5B38"/>
    <w:rsid w:val="00503D3E"/>
    <w:rsid w:val="00512FD2"/>
    <w:rsid w:val="00547B74"/>
    <w:rsid w:val="005569CF"/>
    <w:rsid w:val="00565D93"/>
    <w:rsid w:val="0057197B"/>
    <w:rsid w:val="00584599"/>
    <w:rsid w:val="00586025"/>
    <w:rsid w:val="0058728B"/>
    <w:rsid w:val="005A796E"/>
    <w:rsid w:val="005B1834"/>
    <w:rsid w:val="005B1AC6"/>
    <w:rsid w:val="005B31FE"/>
    <w:rsid w:val="005B41A8"/>
    <w:rsid w:val="005C141C"/>
    <w:rsid w:val="005D0B63"/>
    <w:rsid w:val="005D6E58"/>
    <w:rsid w:val="005E0BF1"/>
    <w:rsid w:val="006266B8"/>
    <w:rsid w:val="00632578"/>
    <w:rsid w:val="006479A9"/>
    <w:rsid w:val="00655F8A"/>
    <w:rsid w:val="006577D5"/>
    <w:rsid w:val="006668FE"/>
    <w:rsid w:val="00667035"/>
    <w:rsid w:val="00694885"/>
    <w:rsid w:val="0069558A"/>
    <w:rsid w:val="006A429D"/>
    <w:rsid w:val="006A49A9"/>
    <w:rsid w:val="006B06C6"/>
    <w:rsid w:val="006C398C"/>
    <w:rsid w:val="006F69E8"/>
    <w:rsid w:val="007044F2"/>
    <w:rsid w:val="00724B17"/>
    <w:rsid w:val="00724C51"/>
    <w:rsid w:val="00733CF3"/>
    <w:rsid w:val="007461DC"/>
    <w:rsid w:val="00784FD0"/>
    <w:rsid w:val="007A0C12"/>
    <w:rsid w:val="007A2057"/>
    <w:rsid w:val="007F5F92"/>
    <w:rsid w:val="00801397"/>
    <w:rsid w:val="008152DF"/>
    <w:rsid w:val="00836AC8"/>
    <w:rsid w:val="0084553D"/>
    <w:rsid w:val="008516E9"/>
    <w:rsid w:val="00860E33"/>
    <w:rsid w:val="00886F1A"/>
    <w:rsid w:val="008A2182"/>
    <w:rsid w:val="008A46CA"/>
    <w:rsid w:val="008B595B"/>
    <w:rsid w:val="008C4448"/>
    <w:rsid w:val="008E0A5C"/>
    <w:rsid w:val="008F04CB"/>
    <w:rsid w:val="009212B9"/>
    <w:rsid w:val="00940F24"/>
    <w:rsid w:val="00963AF8"/>
    <w:rsid w:val="00987483"/>
    <w:rsid w:val="0099143D"/>
    <w:rsid w:val="009B41D8"/>
    <w:rsid w:val="009E6E65"/>
    <w:rsid w:val="00A03204"/>
    <w:rsid w:val="00A0347E"/>
    <w:rsid w:val="00A21340"/>
    <w:rsid w:val="00A26A67"/>
    <w:rsid w:val="00A27842"/>
    <w:rsid w:val="00A323DC"/>
    <w:rsid w:val="00A3248F"/>
    <w:rsid w:val="00A464AF"/>
    <w:rsid w:val="00A542A6"/>
    <w:rsid w:val="00A87BC9"/>
    <w:rsid w:val="00AB31A1"/>
    <w:rsid w:val="00AD55EB"/>
    <w:rsid w:val="00AE2C96"/>
    <w:rsid w:val="00AE38C9"/>
    <w:rsid w:val="00B05139"/>
    <w:rsid w:val="00B24331"/>
    <w:rsid w:val="00B51803"/>
    <w:rsid w:val="00B65C65"/>
    <w:rsid w:val="00B81657"/>
    <w:rsid w:val="00B9069F"/>
    <w:rsid w:val="00BA627D"/>
    <w:rsid w:val="00BB46F4"/>
    <w:rsid w:val="00BD4CBD"/>
    <w:rsid w:val="00BD4DD0"/>
    <w:rsid w:val="00BE0464"/>
    <w:rsid w:val="00BE449F"/>
    <w:rsid w:val="00BF37BE"/>
    <w:rsid w:val="00C043C8"/>
    <w:rsid w:val="00C633AA"/>
    <w:rsid w:val="00C73DC9"/>
    <w:rsid w:val="00C834DF"/>
    <w:rsid w:val="00C92641"/>
    <w:rsid w:val="00CB37E3"/>
    <w:rsid w:val="00CB5376"/>
    <w:rsid w:val="00CC7C1A"/>
    <w:rsid w:val="00D059A8"/>
    <w:rsid w:val="00D2628E"/>
    <w:rsid w:val="00D33571"/>
    <w:rsid w:val="00D3362F"/>
    <w:rsid w:val="00D347A6"/>
    <w:rsid w:val="00D471DF"/>
    <w:rsid w:val="00D52636"/>
    <w:rsid w:val="00D77D1A"/>
    <w:rsid w:val="00D86142"/>
    <w:rsid w:val="00D92617"/>
    <w:rsid w:val="00DD0B1B"/>
    <w:rsid w:val="00DD62B7"/>
    <w:rsid w:val="00DE236C"/>
    <w:rsid w:val="00E23E02"/>
    <w:rsid w:val="00E46CC6"/>
    <w:rsid w:val="00E53E04"/>
    <w:rsid w:val="00E54784"/>
    <w:rsid w:val="00E609E1"/>
    <w:rsid w:val="00E73785"/>
    <w:rsid w:val="00E85158"/>
    <w:rsid w:val="00EB63D5"/>
    <w:rsid w:val="00EC7E1D"/>
    <w:rsid w:val="00ED2AA4"/>
    <w:rsid w:val="00EE3811"/>
    <w:rsid w:val="00F02B4E"/>
    <w:rsid w:val="00F03FED"/>
    <w:rsid w:val="00F156AF"/>
    <w:rsid w:val="00F42194"/>
    <w:rsid w:val="00F42347"/>
    <w:rsid w:val="00F50BA2"/>
    <w:rsid w:val="00F5337F"/>
    <w:rsid w:val="00F55687"/>
    <w:rsid w:val="00F643B5"/>
    <w:rsid w:val="00F67A33"/>
    <w:rsid w:val="00F77308"/>
    <w:rsid w:val="00F80F78"/>
    <w:rsid w:val="00F93718"/>
    <w:rsid w:val="00F954C8"/>
    <w:rsid w:val="00FA2483"/>
    <w:rsid w:val="00FB632C"/>
    <w:rsid w:val="00FD66C7"/>
    <w:rsid w:val="00FE42E6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8D2B"/>
  <w15:chartTrackingRefBased/>
  <w15:docId w15:val="{D0B24CE8-EA7F-4038-A8B9-B0BC9C8A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1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nchor-text">
    <w:name w:val="anchor-text"/>
    <w:basedOn w:val="DefaultParagraphFont"/>
    <w:rsid w:val="008C4448"/>
  </w:style>
  <w:style w:type="character" w:styleId="Hyperlink">
    <w:name w:val="Hyperlink"/>
    <w:basedOn w:val="DefaultParagraphFont"/>
    <w:uiPriority w:val="99"/>
    <w:unhideWhenUsed/>
    <w:rsid w:val="008C44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3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5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38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4786"/>
    <w:pPr>
      <w:ind w:left="720"/>
      <w:contextualSpacing/>
    </w:pPr>
  </w:style>
  <w:style w:type="character" w:customStyle="1" w:styleId="react-xocs-alternative-link">
    <w:name w:val="react-xocs-alternative-link"/>
    <w:basedOn w:val="DefaultParagraphFont"/>
    <w:rsid w:val="00180022"/>
  </w:style>
  <w:style w:type="character" w:customStyle="1" w:styleId="given-name">
    <w:name w:val="given-name"/>
    <w:basedOn w:val="DefaultParagraphFont"/>
    <w:rsid w:val="00180022"/>
  </w:style>
  <w:style w:type="character" w:customStyle="1" w:styleId="text">
    <w:name w:val="text"/>
    <w:basedOn w:val="DefaultParagraphFont"/>
    <w:rsid w:val="00180022"/>
  </w:style>
  <w:style w:type="paragraph" w:styleId="Header">
    <w:name w:val="header"/>
    <w:basedOn w:val="Normal"/>
    <w:link w:val="HeaderChar"/>
    <w:uiPriority w:val="99"/>
    <w:unhideWhenUsed/>
    <w:rsid w:val="00667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35"/>
  </w:style>
  <w:style w:type="paragraph" w:styleId="Footer">
    <w:name w:val="footer"/>
    <w:basedOn w:val="Normal"/>
    <w:link w:val="FooterChar"/>
    <w:uiPriority w:val="99"/>
    <w:unhideWhenUsed/>
    <w:rsid w:val="00667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35"/>
  </w:style>
  <w:style w:type="paragraph" w:customStyle="1" w:styleId="calibri">
    <w:name w:val="calibri"/>
    <w:basedOn w:val="Normal"/>
    <w:rsid w:val="00E7378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9190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title-text">
    <w:name w:val="title-text"/>
    <w:basedOn w:val="DefaultParagraphFont"/>
    <w:rsid w:val="00091903"/>
  </w:style>
  <w:style w:type="character" w:customStyle="1" w:styleId="jpfdse">
    <w:name w:val="jpfdse"/>
    <w:basedOn w:val="DefaultParagraphFont"/>
    <w:rsid w:val="001A7EEA"/>
  </w:style>
  <w:style w:type="character" w:customStyle="1" w:styleId="Heading3Char">
    <w:name w:val="Heading 3 Char"/>
    <w:basedOn w:val="DefaultParagraphFont"/>
    <w:link w:val="Heading3"/>
    <w:uiPriority w:val="9"/>
    <w:semiHidden/>
    <w:rsid w:val="005D0B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3CDE"/>
    <w:rPr>
      <w:color w:val="666666"/>
    </w:rPr>
  </w:style>
  <w:style w:type="character" w:customStyle="1" w:styleId="cf01">
    <w:name w:val="cf01"/>
    <w:basedOn w:val="DefaultParagraphFont"/>
    <w:rsid w:val="004C5B3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94885"/>
    <w:pPr>
      <w:spacing w:after="0" w:line="240" w:lineRule="auto"/>
    </w:pPr>
  </w:style>
  <w:style w:type="table" w:styleId="TableGrid">
    <w:name w:val="Table Grid"/>
    <w:basedOn w:val="TableNormal"/>
    <w:uiPriority w:val="39"/>
    <w:rsid w:val="00D0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23E02"/>
  </w:style>
  <w:style w:type="character" w:customStyle="1" w:styleId="eop">
    <w:name w:val="eop"/>
    <w:basedOn w:val="DefaultParagraphFont"/>
    <w:rsid w:val="00E23E02"/>
  </w:style>
  <w:style w:type="character" w:styleId="Strong">
    <w:name w:val="Strong"/>
    <w:basedOn w:val="DefaultParagraphFont"/>
    <w:uiPriority w:val="22"/>
    <w:qFormat/>
    <w:rsid w:val="005A7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1090023314000665?casa_token=gw_7JT0HUEgAAAAA:UNy_IYUgA5yBMyoGGAgNGb_7eipS5lcdbjA0-RccPUZaewqEVCVcrMIPFIai65TzE7mZ2YOn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Henry</dc:creator>
  <cp:keywords/>
  <dc:description/>
  <cp:lastModifiedBy>Nicole Henry</cp:lastModifiedBy>
  <cp:revision>7</cp:revision>
  <dcterms:created xsi:type="dcterms:W3CDTF">2024-01-12T00:41:00Z</dcterms:created>
  <dcterms:modified xsi:type="dcterms:W3CDTF">2024-01-12T12:18:00Z</dcterms:modified>
</cp:coreProperties>
</file>