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4DF" w:rsidRDefault="007B30E3" w:rsidP="00D754DF">
      <w:pPr>
        <w:spacing w:after="0" w:line="240" w:lineRule="auto"/>
        <w:jc w:val="both"/>
        <w:rPr>
          <w:rFonts w:eastAsia="Times New Roman" w:cs="Times New Roman"/>
          <w:bCs/>
          <w:iCs/>
          <w:lang w:val="en-US" w:eastAsia="el-GR"/>
        </w:rPr>
      </w:pPr>
      <w:r w:rsidRPr="00D754DF">
        <w:rPr>
          <w:b/>
          <w:bCs/>
          <w:lang w:val="en-US"/>
        </w:rPr>
        <w:t>Application</w:t>
      </w:r>
      <w:r w:rsidR="00D754DF" w:rsidRPr="00D754DF">
        <w:rPr>
          <w:rFonts w:eastAsia="Times New Roman" w:cs="Times New Roman"/>
          <w:bCs/>
          <w:iCs/>
          <w:lang w:val="en-US" w:eastAsia="el-GR"/>
        </w:rPr>
        <w:t xml:space="preserve">  </w:t>
      </w:r>
    </w:p>
    <w:p w:rsidR="007B30E3" w:rsidRDefault="00D754DF" w:rsidP="00D754DF">
      <w:pPr>
        <w:spacing w:after="0" w:line="240" w:lineRule="auto"/>
        <w:jc w:val="both"/>
        <w:rPr>
          <w:rFonts w:eastAsia="Times New Roman" w:cs="Times New Roman"/>
          <w:bCs/>
          <w:iCs/>
          <w:lang w:val="en-US" w:eastAsia="el-GR"/>
        </w:rPr>
      </w:pPr>
      <w:r w:rsidRPr="00D754DF">
        <w:rPr>
          <w:rFonts w:eastAsia="Times New Roman" w:cs="Times New Roman"/>
          <w:bCs/>
          <w:iCs/>
          <w:lang w:val="en-US" w:eastAsia="el-GR"/>
        </w:rPr>
        <w:t>Mitigation of methane emissions will improve the sustainability of the dairy sheep sector.</w:t>
      </w:r>
    </w:p>
    <w:p w:rsidR="00D754DF" w:rsidRPr="00D754DF" w:rsidRDefault="00D754DF" w:rsidP="00D754DF">
      <w:pPr>
        <w:spacing w:after="0" w:line="240" w:lineRule="auto"/>
        <w:jc w:val="both"/>
        <w:rPr>
          <w:rFonts w:eastAsia="Times New Roman" w:cs="Times New Roman"/>
          <w:bCs/>
          <w:iCs/>
          <w:lang w:val="en-US" w:eastAsia="el-GR"/>
        </w:rPr>
      </w:pPr>
    </w:p>
    <w:p w:rsidR="007B30E3" w:rsidRPr="00D754DF" w:rsidRDefault="007B30E3" w:rsidP="00D754DF">
      <w:pPr>
        <w:spacing w:after="0" w:line="240" w:lineRule="auto"/>
        <w:jc w:val="both"/>
        <w:rPr>
          <w:rFonts w:eastAsia="Times New Roman" w:cs="Times New Roman"/>
          <w:lang w:eastAsia="el-GR"/>
        </w:rPr>
      </w:pPr>
      <w:r w:rsidRPr="00D754DF">
        <w:rPr>
          <w:b/>
          <w:bCs/>
          <w:lang w:val="en-US"/>
        </w:rPr>
        <w:t>Introduction</w:t>
      </w:r>
      <w:r w:rsidR="00D754DF" w:rsidRPr="00D754DF">
        <w:rPr>
          <w:b/>
          <w:bCs/>
          <w:lang w:val="en-US"/>
        </w:rPr>
        <w:t xml:space="preserve"> </w:t>
      </w:r>
      <w:r w:rsidR="00D754DF" w:rsidRPr="00D754DF">
        <w:rPr>
          <w:rFonts w:eastAsia="Times New Roman" w:cs="Times New Roman"/>
          <w:lang w:eastAsia="el-GR"/>
        </w:rPr>
        <w:t xml:space="preserve">Ewe milk is the leading dairy product of the Greek livestock sector. About 6 million dairy ewes are kept and their milk is used for the production of various types of cheeses, 21 of which retain a Protected Designation of Origin status. Among them, Feta is the most renowned, with 70% of its production being exported. Sheep milk production, while still retaining a rather natural profile, is not exempt from current public trends regarding greenhouse gas emissions and pressure is expected to increase in the future. Considering the significance of the dairy ewe sector, the aim of the present study was to identify factors and management practices that could potentially mitigate methane emissions. </w:t>
      </w:r>
    </w:p>
    <w:p w:rsidR="00D754DF" w:rsidRPr="00D754DF" w:rsidRDefault="00D754DF" w:rsidP="00D754DF">
      <w:pPr>
        <w:spacing w:after="0" w:line="240" w:lineRule="auto"/>
        <w:jc w:val="both"/>
        <w:rPr>
          <w:rFonts w:eastAsia="Times New Roman" w:cs="Times New Roman"/>
          <w:lang w:eastAsia="el-GR"/>
        </w:rPr>
      </w:pPr>
    </w:p>
    <w:p w:rsidR="00D754DF" w:rsidRDefault="007B30E3" w:rsidP="00D754DF">
      <w:pPr>
        <w:jc w:val="both"/>
        <w:rPr>
          <w:b/>
          <w:bCs/>
          <w:lang w:val="en-US"/>
        </w:rPr>
      </w:pPr>
      <w:r w:rsidRPr="00D754DF">
        <w:rPr>
          <w:b/>
          <w:bCs/>
          <w:lang w:val="en-US"/>
        </w:rPr>
        <w:t>Materials and Methods</w:t>
      </w:r>
      <w:r w:rsidR="00D754DF" w:rsidRPr="00D754DF">
        <w:rPr>
          <w:b/>
          <w:bCs/>
          <w:lang w:val="en-US"/>
        </w:rPr>
        <w:t xml:space="preserve"> </w:t>
      </w:r>
    </w:p>
    <w:p w:rsidR="007B30E3" w:rsidRPr="00D754DF" w:rsidRDefault="00D754DF" w:rsidP="00D754DF">
      <w:pPr>
        <w:jc w:val="both"/>
        <w:rPr>
          <w:b/>
          <w:bCs/>
          <w:lang w:val="en-US"/>
        </w:rPr>
      </w:pPr>
      <w:r w:rsidRPr="00D754DF">
        <w:rPr>
          <w:rFonts w:eastAsia="Times New Roman" w:cs="Times New Roman"/>
          <w:lang w:eastAsia="el-GR"/>
        </w:rPr>
        <w:t xml:space="preserve">A simulation study was designed to test the following hypotheses: i) Ewes with higher annual milk production emit lower amounts of methane per kg of milk produced. Recorded data regarding the dairy ewe breeds kept (Chios, Lacaune, Assaf-E) and their actual milk production (adjusted for fat and protein content) across Greece were used. ii) Rations with a restricted forage inclusion rate reduce methane emissions per kg of milk produced. iii) Use of forages with higher energy content result in rations with lower methane emissions per kg of milk produced. </w:t>
      </w:r>
      <w:proofErr w:type="gramStart"/>
      <w:r w:rsidRPr="00D754DF">
        <w:rPr>
          <w:rFonts w:eastAsia="Times New Roman" w:cs="Times New Roman"/>
          <w:lang w:eastAsia="el-GR"/>
        </w:rPr>
        <w:t>iv) Precision</w:t>
      </w:r>
      <w:proofErr w:type="gramEnd"/>
      <w:r w:rsidRPr="00D754DF">
        <w:rPr>
          <w:rFonts w:eastAsia="Times New Roman" w:cs="Times New Roman"/>
          <w:lang w:eastAsia="el-GR"/>
        </w:rPr>
        <w:t xml:space="preserve"> feeding resulting from feeding more homogenous groups results in lower methane emissions per kg of milk produced. Therefore, factors considered in this simulation study were: a) Milk yield type, five levels [based on bodyweight (kg) and annual milk production (kg), respectively]: 70/600, 65/500, 60/400, 55/300, 50/200. b) Forage inclusion in the ration: two levels, standard (mean 67%) and restricted (mean 44%). c) Forage energy concentration: three levels [low (alfalfa hay and wheat straw), intermediate (maize silage, alfalfa hay and wheat straw), high (maize silage and alfalfa hay). d) Grouping strategy: two levels (single group and high/low milk production groups). </w:t>
      </w:r>
      <w:r w:rsidRPr="00D754DF">
        <w:rPr>
          <w:rFonts w:cs="Times New Roman"/>
        </w:rPr>
        <w:t xml:space="preserve">In total, a 5 x 2 x 3 x 2 factorial arrangement of effects was considered, yielding 60 different scenarios. For each scenario, 52 (weekly) rations were formulated, according to </w:t>
      </w:r>
      <w:r w:rsidRPr="00D754DF">
        <w:rPr>
          <w:rFonts w:cs="Times New Roman"/>
          <w:lang w:val="en-US"/>
        </w:rPr>
        <w:t xml:space="preserve">INRAe requirements (Hassoun et al. 2018) and the corresponding Feed Tables, for the lactating as well as the dry period, spanning a period of one year. Methane emissions were calculated using the following equations: (a) </w:t>
      </w:r>
      <w:r w:rsidRPr="00D754DF">
        <w:rPr>
          <w:rFonts w:cs="Times New Roman"/>
          <w:bCs/>
          <w:lang w:val="en-US"/>
        </w:rPr>
        <w:t>CH</w:t>
      </w:r>
      <w:r w:rsidRPr="00D754DF">
        <w:rPr>
          <w:rFonts w:cs="Times New Roman"/>
          <w:bCs/>
          <w:vertAlign w:val="subscript"/>
          <w:lang w:val="en-US"/>
        </w:rPr>
        <w:t>4</w:t>
      </w:r>
      <w:r w:rsidRPr="00D754DF">
        <w:rPr>
          <w:rFonts w:cs="Times New Roman"/>
          <w:bCs/>
          <w:lang w:val="en-US"/>
        </w:rPr>
        <w:t>/DOM = 45.42 - 6.6 x FL + 0.75 x FL</w:t>
      </w:r>
      <w:r w:rsidRPr="00D754DF">
        <w:rPr>
          <w:rFonts w:cs="Times New Roman"/>
          <w:bCs/>
          <w:vertAlign w:val="superscript"/>
          <w:lang w:val="en-US"/>
        </w:rPr>
        <w:t>2</w:t>
      </w:r>
      <w:r w:rsidRPr="00D754DF">
        <w:rPr>
          <w:rFonts w:cs="Times New Roman"/>
          <w:bCs/>
          <w:lang w:val="en-US"/>
        </w:rPr>
        <w:t xml:space="preserve"> + 19.65 x PCO - 35 x PCO</w:t>
      </w:r>
      <w:r w:rsidRPr="00D754DF">
        <w:rPr>
          <w:rFonts w:cs="Times New Roman"/>
          <w:bCs/>
          <w:vertAlign w:val="superscript"/>
          <w:lang w:val="en-US"/>
        </w:rPr>
        <w:t>2</w:t>
      </w:r>
      <w:r w:rsidRPr="00D754DF">
        <w:rPr>
          <w:rFonts w:cs="Times New Roman"/>
          <w:bCs/>
          <w:lang w:val="en-US"/>
        </w:rPr>
        <w:t xml:space="preserve"> - 2.69 x FL x PCO</w:t>
      </w:r>
      <w:r w:rsidRPr="00D754DF">
        <w:rPr>
          <w:rFonts w:cs="Times New Roman"/>
          <w:lang w:val="en-US"/>
        </w:rPr>
        <w:t xml:space="preserve"> and (b) </w:t>
      </w:r>
      <w:r w:rsidRPr="00D754DF">
        <w:rPr>
          <w:rFonts w:cs="Times New Roman"/>
          <w:bCs/>
          <w:lang w:val="en-US"/>
        </w:rPr>
        <w:t>CH</w:t>
      </w:r>
      <w:r w:rsidRPr="00D754DF">
        <w:rPr>
          <w:rFonts w:cs="Times New Roman"/>
          <w:bCs/>
          <w:vertAlign w:val="subscript"/>
          <w:lang w:val="en-US"/>
        </w:rPr>
        <w:t>4</w:t>
      </w:r>
      <w:r w:rsidRPr="00D754DF">
        <w:rPr>
          <w:rFonts w:cs="Times New Roman"/>
          <w:bCs/>
          <w:lang w:val="en-US"/>
        </w:rPr>
        <w:t xml:space="preserve"> = DMI x 0.001 x DOM x CH</w:t>
      </w:r>
      <w:r w:rsidRPr="00D754DF">
        <w:rPr>
          <w:rFonts w:cs="Times New Roman"/>
          <w:bCs/>
          <w:vertAlign w:val="subscript"/>
          <w:lang w:val="en-US"/>
        </w:rPr>
        <w:t>4</w:t>
      </w:r>
      <w:r w:rsidRPr="00D754DF">
        <w:rPr>
          <w:rFonts w:cs="Times New Roman"/>
          <w:bCs/>
          <w:lang w:val="en-US"/>
        </w:rPr>
        <w:t>/DOM where CH</w:t>
      </w:r>
      <w:r w:rsidRPr="00D754DF">
        <w:rPr>
          <w:rFonts w:cs="Times New Roman"/>
          <w:bCs/>
          <w:vertAlign w:val="subscript"/>
          <w:lang w:val="en-US"/>
        </w:rPr>
        <w:t>4</w:t>
      </w:r>
      <w:r w:rsidRPr="00D754DF">
        <w:rPr>
          <w:rFonts w:cs="Times New Roman"/>
          <w:bCs/>
          <w:lang w:val="en-US"/>
        </w:rPr>
        <w:t>/DOM is methane production per kg of digested organic matter, FL is the feeding level (dry matter intake as % of bodyweight), PCO is proportion of concentrate in the ration (0≤PCO≤1), CH</w:t>
      </w:r>
      <w:r w:rsidRPr="00D754DF">
        <w:rPr>
          <w:rFonts w:cs="Times New Roman"/>
          <w:bCs/>
          <w:vertAlign w:val="subscript"/>
          <w:lang w:val="en-US"/>
        </w:rPr>
        <w:t xml:space="preserve">4 </w:t>
      </w:r>
      <w:r w:rsidRPr="00D754DF">
        <w:rPr>
          <w:rFonts w:cs="Times New Roman"/>
          <w:bCs/>
          <w:lang w:val="en-US"/>
        </w:rPr>
        <w:t xml:space="preserve">is methane production (g/day), DMI is dry matter intake (kg/day) and DOM is the digested organic matter (g/kg of dry matter) </w:t>
      </w:r>
      <w:r w:rsidRPr="00D754DF">
        <w:rPr>
          <w:rFonts w:cs="Times New Roman"/>
          <w:lang w:val="en-US"/>
        </w:rPr>
        <w:t>(Sauvant et al. 2018)</w:t>
      </w:r>
      <w:r w:rsidRPr="00D754DF">
        <w:rPr>
          <w:rFonts w:cs="Times New Roman"/>
          <w:bCs/>
          <w:lang w:val="en-US"/>
        </w:rPr>
        <w:t xml:space="preserve">. From equation (b), yearly methane production was calculated; for those scenarios that included two groups of ewes, yearly emissions were weighted for the production of each group. Finally, emissions per kg of milk produced were calculated by diving total annual emissions by annual milk yield for each scenario. </w:t>
      </w:r>
      <w:r w:rsidRPr="00D754DF">
        <w:rPr>
          <w:rFonts w:cs="Times New Roman"/>
        </w:rPr>
        <w:t>A general linear model was developed in order to study the effect of the above factors (included as fixed ones) on methane emissions (g/kg of ewe milk).</w:t>
      </w:r>
    </w:p>
    <w:p w:rsidR="00D754DF" w:rsidRDefault="007B30E3" w:rsidP="00D754DF">
      <w:pPr>
        <w:spacing w:after="0" w:line="240" w:lineRule="auto"/>
        <w:jc w:val="both"/>
        <w:rPr>
          <w:b/>
          <w:bCs/>
          <w:lang w:val="en-US"/>
        </w:rPr>
      </w:pPr>
      <w:r w:rsidRPr="00D754DF">
        <w:rPr>
          <w:b/>
          <w:bCs/>
          <w:lang w:val="en-US"/>
        </w:rPr>
        <w:t>Results</w:t>
      </w:r>
      <w:r w:rsidR="00D754DF" w:rsidRPr="00D754DF">
        <w:rPr>
          <w:b/>
          <w:bCs/>
          <w:lang w:val="en-US"/>
        </w:rPr>
        <w:t xml:space="preserve"> </w:t>
      </w:r>
    </w:p>
    <w:p w:rsidR="00D754DF" w:rsidRPr="00D754DF" w:rsidRDefault="00D754DF" w:rsidP="00D754DF">
      <w:pPr>
        <w:spacing w:after="0" w:line="240" w:lineRule="auto"/>
        <w:jc w:val="both"/>
        <w:rPr>
          <w:rFonts w:eastAsia="Times New Roman" w:cs="Times New Roman"/>
          <w:bCs/>
          <w:lang w:eastAsia="el-GR"/>
        </w:rPr>
      </w:pPr>
      <w:r w:rsidRPr="00D754DF">
        <w:rPr>
          <w:rFonts w:eastAsia="Times New Roman" w:cs="Times New Roman"/>
          <w:bCs/>
          <w:lang w:eastAsia="el-GR"/>
        </w:rPr>
        <w:t>All factors considered in the study had a statistically significant effect regarding methane emissions (Table 1). However, milk yield per ewe and amount of forage in the diet accounted for 82.1% and 15.3% of the effect, respectively. Mean emissions from the five ewe types (</w:t>
      </w:r>
      <w:r w:rsidRPr="00D754DF">
        <w:rPr>
          <w:rFonts w:eastAsia="Times New Roman" w:cs="Times New Roman"/>
          <w:lang w:eastAsia="el-GR"/>
        </w:rPr>
        <w:t>50/200, 55/300, 60/400, 65/500 and 70/600) were 48.10, 36.46, 30.34, 26.71 and 23.52 g/kg of milk, respectively. Compared to 50/200 ewes, those of the 60/400 and 70/600 types emitted almost 37% and 51% less methane, respectively.</w:t>
      </w:r>
    </w:p>
    <w:p w:rsidR="00D754DF" w:rsidRPr="00D754DF" w:rsidRDefault="00D754DF" w:rsidP="00D754DF">
      <w:pPr>
        <w:spacing w:after="0" w:line="240" w:lineRule="auto"/>
        <w:jc w:val="both"/>
        <w:rPr>
          <w:rFonts w:eastAsia="Times New Roman" w:cs="Times New Roman"/>
          <w:lang w:val="en-US" w:eastAsia="el-GR"/>
        </w:rPr>
      </w:pPr>
    </w:p>
    <w:p w:rsidR="00D754DF" w:rsidRDefault="00D754DF" w:rsidP="00D754DF">
      <w:pPr>
        <w:spacing w:after="0" w:line="240" w:lineRule="auto"/>
        <w:jc w:val="both"/>
        <w:rPr>
          <w:rFonts w:eastAsia="Times New Roman" w:cs="Times New Roman"/>
          <w:lang w:val="en-US" w:eastAsia="el-GR"/>
        </w:rPr>
      </w:pPr>
    </w:p>
    <w:p w:rsidR="00D754DF" w:rsidRDefault="00D754DF" w:rsidP="00D754DF">
      <w:pPr>
        <w:spacing w:after="0" w:line="240" w:lineRule="auto"/>
        <w:jc w:val="both"/>
        <w:rPr>
          <w:rFonts w:eastAsia="Times New Roman" w:cs="Times New Roman"/>
          <w:lang w:val="en-US" w:eastAsia="el-GR"/>
        </w:rPr>
      </w:pPr>
    </w:p>
    <w:p w:rsidR="00D754DF" w:rsidRDefault="00D754DF" w:rsidP="00D754DF">
      <w:pPr>
        <w:spacing w:after="0" w:line="240" w:lineRule="auto"/>
        <w:jc w:val="both"/>
        <w:rPr>
          <w:rFonts w:eastAsia="Times New Roman" w:cs="Times New Roman"/>
          <w:lang w:val="en-US" w:eastAsia="el-GR"/>
        </w:rPr>
      </w:pPr>
      <w:r w:rsidRPr="00D754DF">
        <w:rPr>
          <w:rFonts w:eastAsia="Times New Roman" w:cs="Times New Roman"/>
          <w:lang w:val="en-US" w:eastAsia="el-GR"/>
        </w:rPr>
        <w:lastRenderedPageBreak/>
        <w:t>Table 1.  Factors affecting methane emitted per kg of ewe milk and corresponding adjusted Wald statistic (F). Adjusted R</w:t>
      </w:r>
      <w:r w:rsidRPr="00D754DF">
        <w:rPr>
          <w:rFonts w:eastAsia="Times New Roman" w:cs="Times New Roman"/>
          <w:vertAlign w:val="superscript"/>
          <w:lang w:val="en-US" w:eastAsia="el-GR"/>
        </w:rPr>
        <w:t>2</w:t>
      </w:r>
      <w:r w:rsidRPr="00D754DF">
        <w:rPr>
          <w:rFonts w:eastAsia="Times New Roman" w:cs="Times New Roman"/>
          <w:lang w:val="en-US" w:eastAsia="el-GR"/>
        </w:rPr>
        <w:t xml:space="preserve"> = 0.985</w:t>
      </w:r>
    </w:p>
    <w:p w:rsidR="00D754DF" w:rsidRPr="00D754DF" w:rsidRDefault="00D754DF" w:rsidP="00D754DF">
      <w:pPr>
        <w:spacing w:after="0" w:line="240" w:lineRule="auto"/>
        <w:jc w:val="both"/>
        <w:rPr>
          <w:rFonts w:eastAsia="Times New Roman" w:cs="Times New Roman"/>
          <w:lang w:val="en-US" w:eastAsia="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802"/>
        <w:gridCol w:w="2551"/>
        <w:gridCol w:w="3119"/>
      </w:tblGrid>
      <w:tr w:rsidR="00D754DF" w:rsidRPr="00D754DF" w:rsidTr="00571402">
        <w:tc>
          <w:tcPr>
            <w:tcW w:w="2802" w:type="dxa"/>
            <w:tcBorders>
              <w:top w:val="single" w:sz="4" w:space="0" w:color="auto"/>
              <w:left w:val="nil"/>
              <w:bottom w:val="single" w:sz="4" w:space="0" w:color="auto"/>
              <w:right w:val="nil"/>
            </w:tcBorders>
            <w:vAlign w:val="center"/>
          </w:tcPr>
          <w:p w:rsidR="00D754DF" w:rsidRPr="00D754DF" w:rsidRDefault="00D754DF" w:rsidP="00571402">
            <w:pPr>
              <w:spacing w:after="0" w:line="240" w:lineRule="auto"/>
              <w:rPr>
                <w:rFonts w:eastAsia="Times New Roman" w:cs="Times New Roman"/>
                <w:lang w:val="en-US" w:eastAsia="el-GR"/>
              </w:rPr>
            </w:pPr>
            <w:r w:rsidRPr="00D754DF">
              <w:rPr>
                <w:rFonts w:eastAsia="Times New Roman" w:cs="Times New Roman"/>
                <w:lang w:eastAsia="el-GR"/>
              </w:rPr>
              <w:t xml:space="preserve">Factor </w:t>
            </w:r>
            <w:r w:rsidRPr="00D754DF">
              <w:rPr>
                <w:rFonts w:eastAsia="Times New Roman" w:cs="Times New Roman"/>
                <w:lang w:val="en-US" w:eastAsia="el-GR"/>
              </w:rPr>
              <w:t xml:space="preserve">                                               </w:t>
            </w:r>
            <w:r w:rsidRPr="00D754DF">
              <w:rPr>
                <w:rFonts w:eastAsia="Times New Roman" w:cs="Times New Roman"/>
                <w:lang w:eastAsia="el-GR"/>
              </w:rPr>
              <w:t xml:space="preserve">      </w:t>
            </w:r>
            <w:r w:rsidRPr="00D754DF">
              <w:rPr>
                <w:rFonts w:eastAsia="Times New Roman" w:cs="Times New Roman"/>
                <w:lang w:val="en-US" w:eastAsia="el-GR"/>
              </w:rPr>
              <w:t xml:space="preserve"> </w:t>
            </w:r>
          </w:p>
        </w:tc>
        <w:tc>
          <w:tcPr>
            <w:tcW w:w="2551" w:type="dxa"/>
            <w:tcBorders>
              <w:top w:val="single" w:sz="4" w:space="0" w:color="auto"/>
              <w:left w:val="nil"/>
              <w:bottom w:val="single" w:sz="4" w:space="0" w:color="auto"/>
              <w:right w:val="nil"/>
            </w:tcBorders>
            <w:vAlign w:val="center"/>
          </w:tcPr>
          <w:p w:rsidR="00D754DF" w:rsidRPr="00D754DF" w:rsidRDefault="00D754DF" w:rsidP="00571402">
            <w:pPr>
              <w:spacing w:after="0" w:line="240" w:lineRule="auto"/>
              <w:jc w:val="center"/>
              <w:rPr>
                <w:rFonts w:eastAsia="Times New Roman" w:cs="Times New Roman"/>
                <w:lang w:val="en-US" w:eastAsia="el-GR"/>
              </w:rPr>
            </w:pPr>
            <w:r w:rsidRPr="00D754DF">
              <w:rPr>
                <w:rFonts w:eastAsia="Times New Roman" w:cs="Times New Roman"/>
                <w:lang w:val="en-US" w:eastAsia="el-GR"/>
              </w:rPr>
              <w:t>F</w:t>
            </w:r>
          </w:p>
        </w:tc>
        <w:tc>
          <w:tcPr>
            <w:tcW w:w="3119" w:type="dxa"/>
            <w:tcBorders>
              <w:top w:val="single" w:sz="4" w:space="0" w:color="auto"/>
              <w:left w:val="nil"/>
              <w:bottom w:val="single" w:sz="4" w:space="0" w:color="auto"/>
              <w:right w:val="nil"/>
            </w:tcBorders>
          </w:tcPr>
          <w:p w:rsidR="00D754DF" w:rsidRPr="00D754DF" w:rsidRDefault="00D754DF" w:rsidP="00571402">
            <w:pPr>
              <w:spacing w:after="0" w:line="240" w:lineRule="auto"/>
              <w:jc w:val="center"/>
              <w:rPr>
                <w:rFonts w:eastAsia="Times New Roman" w:cs="Times New Roman"/>
                <w:lang w:val="en-US" w:eastAsia="el-GR"/>
              </w:rPr>
            </w:pPr>
            <w:r w:rsidRPr="00D754DF">
              <w:rPr>
                <w:rFonts w:eastAsia="Times New Roman" w:cs="Times New Roman"/>
                <w:lang w:val="en-US" w:eastAsia="el-GR"/>
              </w:rPr>
              <w:t>P</w:t>
            </w:r>
          </w:p>
        </w:tc>
      </w:tr>
      <w:tr w:rsidR="00D754DF" w:rsidRPr="00D754DF" w:rsidTr="00571402">
        <w:tc>
          <w:tcPr>
            <w:tcW w:w="2802" w:type="dxa"/>
            <w:tcBorders>
              <w:top w:val="single" w:sz="4" w:space="0" w:color="auto"/>
              <w:left w:val="nil"/>
              <w:bottom w:val="nil"/>
              <w:right w:val="nil"/>
            </w:tcBorders>
            <w:vAlign w:val="center"/>
          </w:tcPr>
          <w:p w:rsidR="00D754DF" w:rsidRPr="00D754DF" w:rsidRDefault="00D754DF" w:rsidP="00571402">
            <w:pPr>
              <w:spacing w:after="0" w:line="240" w:lineRule="auto"/>
              <w:rPr>
                <w:rFonts w:eastAsia="Times New Roman" w:cs="Times New Roman"/>
                <w:lang w:val="en-US" w:eastAsia="el-GR"/>
              </w:rPr>
            </w:pPr>
            <w:r w:rsidRPr="00D754DF">
              <w:rPr>
                <w:rFonts w:eastAsia="Times New Roman" w:cs="Times New Roman"/>
                <w:lang w:val="en-US" w:eastAsia="el-GR"/>
              </w:rPr>
              <w:t>Milk yield</w:t>
            </w:r>
          </w:p>
        </w:tc>
        <w:tc>
          <w:tcPr>
            <w:tcW w:w="2551" w:type="dxa"/>
            <w:tcBorders>
              <w:top w:val="single" w:sz="4" w:space="0" w:color="auto"/>
              <w:left w:val="nil"/>
              <w:bottom w:val="nil"/>
              <w:right w:val="nil"/>
            </w:tcBorders>
            <w:vAlign w:val="center"/>
          </w:tcPr>
          <w:p w:rsidR="00D754DF" w:rsidRPr="00D754DF" w:rsidRDefault="00D754DF" w:rsidP="00571402">
            <w:pPr>
              <w:spacing w:after="0" w:line="240" w:lineRule="auto"/>
              <w:jc w:val="center"/>
              <w:rPr>
                <w:rFonts w:eastAsia="Times New Roman" w:cs="Times New Roman"/>
                <w:lang w:val="en-US" w:eastAsia="el-GR"/>
              </w:rPr>
            </w:pPr>
            <w:r w:rsidRPr="00D754DF">
              <w:rPr>
                <w:rFonts w:eastAsia="Times New Roman" w:cs="Times New Roman"/>
                <w:lang w:val="en-US" w:eastAsia="el-GR"/>
              </w:rPr>
              <w:t>911.801</w:t>
            </w:r>
          </w:p>
        </w:tc>
        <w:tc>
          <w:tcPr>
            <w:tcW w:w="3119" w:type="dxa"/>
            <w:tcBorders>
              <w:top w:val="single" w:sz="4" w:space="0" w:color="auto"/>
              <w:left w:val="nil"/>
              <w:bottom w:val="nil"/>
              <w:right w:val="nil"/>
            </w:tcBorders>
          </w:tcPr>
          <w:p w:rsidR="00D754DF" w:rsidRPr="00D754DF" w:rsidRDefault="00D754DF" w:rsidP="00571402">
            <w:pPr>
              <w:spacing w:after="0" w:line="240" w:lineRule="auto"/>
              <w:jc w:val="center"/>
              <w:rPr>
                <w:rFonts w:eastAsia="Times New Roman" w:cs="Times New Roman"/>
                <w:lang w:val="en-US" w:eastAsia="el-GR"/>
              </w:rPr>
            </w:pPr>
            <w:r w:rsidRPr="00D754DF">
              <w:rPr>
                <w:rFonts w:eastAsia="Times New Roman" w:cs="Times New Roman"/>
                <w:lang w:val="en-US" w:eastAsia="el-GR"/>
              </w:rPr>
              <w:t>&lt;0.001</w:t>
            </w:r>
          </w:p>
        </w:tc>
      </w:tr>
      <w:tr w:rsidR="00D754DF" w:rsidRPr="00D754DF" w:rsidTr="00571402">
        <w:tc>
          <w:tcPr>
            <w:tcW w:w="2802" w:type="dxa"/>
            <w:tcBorders>
              <w:top w:val="nil"/>
              <w:left w:val="nil"/>
              <w:bottom w:val="nil"/>
              <w:right w:val="nil"/>
            </w:tcBorders>
            <w:vAlign w:val="center"/>
          </w:tcPr>
          <w:p w:rsidR="00D754DF" w:rsidRPr="00D754DF" w:rsidRDefault="00D754DF" w:rsidP="00571402">
            <w:pPr>
              <w:spacing w:after="0" w:line="240" w:lineRule="auto"/>
              <w:rPr>
                <w:rFonts w:eastAsia="Times New Roman" w:cs="Times New Roman"/>
                <w:lang w:val="en-US" w:eastAsia="el-GR"/>
              </w:rPr>
            </w:pPr>
            <w:r w:rsidRPr="00D754DF">
              <w:rPr>
                <w:rFonts w:eastAsia="Times New Roman" w:cs="Times New Roman"/>
                <w:lang w:val="en-US" w:eastAsia="el-GR"/>
              </w:rPr>
              <w:t>Amount of forage in the diet</w:t>
            </w:r>
          </w:p>
        </w:tc>
        <w:tc>
          <w:tcPr>
            <w:tcW w:w="2551" w:type="dxa"/>
            <w:tcBorders>
              <w:top w:val="nil"/>
              <w:left w:val="nil"/>
              <w:bottom w:val="nil"/>
              <w:right w:val="nil"/>
            </w:tcBorders>
            <w:vAlign w:val="center"/>
          </w:tcPr>
          <w:p w:rsidR="00D754DF" w:rsidRPr="00D754DF" w:rsidRDefault="00D754DF" w:rsidP="00571402">
            <w:pPr>
              <w:spacing w:after="0" w:line="240" w:lineRule="auto"/>
              <w:jc w:val="center"/>
              <w:rPr>
                <w:rFonts w:eastAsia="Times New Roman" w:cs="Times New Roman"/>
                <w:lang w:val="en-US" w:eastAsia="el-GR"/>
              </w:rPr>
            </w:pPr>
            <w:r w:rsidRPr="00D754DF">
              <w:rPr>
                <w:rFonts w:eastAsia="Times New Roman" w:cs="Times New Roman"/>
                <w:lang w:val="en-US" w:eastAsia="el-GR"/>
              </w:rPr>
              <w:t>170.379</w:t>
            </w:r>
          </w:p>
        </w:tc>
        <w:tc>
          <w:tcPr>
            <w:tcW w:w="3119" w:type="dxa"/>
            <w:tcBorders>
              <w:top w:val="nil"/>
              <w:left w:val="nil"/>
              <w:bottom w:val="nil"/>
              <w:right w:val="nil"/>
            </w:tcBorders>
          </w:tcPr>
          <w:p w:rsidR="00D754DF" w:rsidRPr="00D754DF" w:rsidRDefault="00D754DF" w:rsidP="00571402">
            <w:pPr>
              <w:spacing w:after="0" w:line="240" w:lineRule="auto"/>
              <w:jc w:val="center"/>
              <w:rPr>
                <w:rFonts w:eastAsia="Times New Roman" w:cs="Times New Roman"/>
                <w:lang w:val="en-US" w:eastAsia="el-GR"/>
              </w:rPr>
            </w:pPr>
            <w:r w:rsidRPr="00D754DF">
              <w:rPr>
                <w:rFonts w:eastAsia="Times New Roman" w:cs="Times New Roman"/>
                <w:lang w:val="en-US" w:eastAsia="el-GR"/>
              </w:rPr>
              <w:t>&lt;0.001</w:t>
            </w:r>
          </w:p>
        </w:tc>
      </w:tr>
      <w:tr w:rsidR="00D754DF" w:rsidRPr="00D754DF" w:rsidTr="00571402">
        <w:tc>
          <w:tcPr>
            <w:tcW w:w="2802" w:type="dxa"/>
            <w:tcBorders>
              <w:top w:val="nil"/>
              <w:left w:val="nil"/>
              <w:bottom w:val="nil"/>
              <w:right w:val="nil"/>
            </w:tcBorders>
            <w:vAlign w:val="center"/>
          </w:tcPr>
          <w:p w:rsidR="00D754DF" w:rsidRPr="00D754DF" w:rsidRDefault="00D754DF" w:rsidP="00571402">
            <w:pPr>
              <w:spacing w:after="0" w:line="240" w:lineRule="auto"/>
              <w:rPr>
                <w:rFonts w:eastAsia="Times New Roman" w:cs="Times New Roman"/>
                <w:lang w:val="en-US" w:eastAsia="el-GR"/>
              </w:rPr>
            </w:pPr>
            <w:r w:rsidRPr="00D754DF">
              <w:rPr>
                <w:rFonts w:eastAsia="Times New Roman" w:cs="Times New Roman"/>
                <w:lang w:val="en-US" w:eastAsia="el-GR"/>
              </w:rPr>
              <w:t>Type of forage in the diet</w:t>
            </w:r>
          </w:p>
        </w:tc>
        <w:tc>
          <w:tcPr>
            <w:tcW w:w="2551" w:type="dxa"/>
            <w:tcBorders>
              <w:top w:val="nil"/>
              <w:left w:val="nil"/>
              <w:bottom w:val="nil"/>
              <w:right w:val="nil"/>
            </w:tcBorders>
            <w:vAlign w:val="center"/>
          </w:tcPr>
          <w:p w:rsidR="00D754DF" w:rsidRPr="00D754DF" w:rsidRDefault="00D754DF" w:rsidP="00571402">
            <w:pPr>
              <w:spacing w:after="0" w:line="240" w:lineRule="auto"/>
              <w:jc w:val="center"/>
              <w:rPr>
                <w:rFonts w:eastAsia="Times New Roman" w:cs="Times New Roman"/>
                <w:lang w:val="en-US" w:eastAsia="el-GR"/>
              </w:rPr>
            </w:pPr>
            <w:r w:rsidRPr="00D754DF">
              <w:rPr>
                <w:rFonts w:eastAsia="Times New Roman" w:cs="Times New Roman"/>
                <w:lang w:val="en-US" w:eastAsia="el-GR"/>
              </w:rPr>
              <w:t>3.512</w:t>
            </w:r>
          </w:p>
        </w:tc>
        <w:tc>
          <w:tcPr>
            <w:tcW w:w="3119" w:type="dxa"/>
            <w:tcBorders>
              <w:top w:val="nil"/>
              <w:left w:val="nil"/>
              <w:bottom w:val="nil"/>
              <w:right w:val="nil"/>
            </w:tcBorders>
          </w:tcPr>
          <w:p w:rsidR="00D754DF" w:rsidRPr="00D754DF" w:rsidRDefault="00D754DF" w:rsidP="00571402">
            <w:pPr>
              <w:spacing w:after="0" w:line="240" w:lineRule="auto"/>
              <w:jc w:val="center"/>
              <w:rPr>
                <w:rFonts w:eastAsia="Times New Roman" w:cs="Times New Roman"/>
                <w:lang w:val="en-US" w:eastAsia="el-GR"/>
              </w:rPr>
            </w:pPr>
            <w:r w:rsidRPr="00D754DF">
              <w:rPr>
                <w:rFonts w:eastAsia="Times New Roman" w:cs="Times New Roman"/>
                <w:lang w:val="en-US" w:eastAsia="el-GR"/>
              </w:rPr>
              <w:t>0.037</w:t>
            </w:r>
          </w:p>
        </w:tc>
      </w:tr>
      <w:tr w:rsidR="00D754DF" w:rsidRPr="00D754DF" w:rsidTr="00571402">
        <w:tc>
          <w:tcPr>
            <w:tcW w:w="2802" w:type="dxa"/>
            <w:tcBorders>
              <w:top w:val="nil"/>
              <w:left w:val="nil"/>
              <w:bottom w:val="single" w:sz="4" w:space="0" w:color="auto"/>
              <w:right w:val="nil"/>
            </w:tcBorders>
            <w:vAlign w:val="center"/>
          </w:tcPr>
          <w:p w:rsidR="00D754DF" w:rsidRPr="00D754DF" w:rsidRDefault="00D754DF" w:rsidP="00571402">
            <w:pPr>
              <w:spacing w:after="0" w:line="240" w:lineRule="auto"/>
              <w:rPr>
                <w:rFonts w:eastAsia="Times New Roman" w:cs="Times New Roman"/>
                <w:lang w:val="en-US" w:eastAsia="el-GR"/>
              </w:rPr>
            </w:pPr>
            <w:r w:rsidRPr="00D754DF">
              <w:rPr>
                <w:rFonts w:eastAsia="Times New Roman" w:cs="Times New Roman"/>
                <w:lang w:val="en-US" w:eastAsia="el-GR"/>
              </w:rPr>
              <w:t>Grouping</w:t>
            </w:r>
          </w:p>
        </w:tc>
        <w:tc>
          <w:tcPr>
            <w:tcW w:w="2551" w:type="dxa"/>
            <w:tcBorders>
              <w:top w:val="nil"/>
              <w:left w:val="nil"/>
              <w:bottom w:val="single" w:sz="4" w:space="0" w:color="auto"/>
              <w:right w:val="nil"/>
            </w:tcBorders>
            <w:vAlign w:val="center"/>
          </w:tcPr>
          <w:p w:rsidR="00D754DF" w:rsidRPr="00D754DF" w:rsidRDefault="00D754DF" w:rsidP="00571402">
            <w:pPr>
              <w:spacing w:after="0" w:line="240" w:lineRule="auto"/>
              <w:jc w:val="center"/>
              <w:rPr>
                <w:rFonts w:eastAsia="Times New Roman" w:cs="Times New Roman"/>
                <w:lang w:val="en-US" w:eastAsia="el-GR"/>
              </w:rPr>
            </w:pPr>
            <w:r w:rsidRPr="00D754DF">
              <w:rPr>
                <w:rFonts w:eastAsia="Times New Roman" w:cs="Times New Roman"/>
                <w:lang w:val="en-US" w:eastAsia="el-GR"/>
              </w:rPr>
              <w:t>24.737</w:t>
            </w:r>
          </w:p>
        </w:tc>
        <w:tc>
          <w:tcPr>
            <w:tcW w:w="3119" w:type="dxa"/>
            <w:tcBorders>
              <w:top w:val="nil"/>
              <w:left w:val="nil"/>
              <w:bottom w:val="single" w:sz="4" w:space="0" w:color="auto"/>
              <w:right w:val="nil"/>
            </w:tcBorders>
          </w:tcPr>
          <w:p w:rsidR="00D754DF" w:rsidRPr="00D754DF" w:rsidRDefault="00D754DF" w:rsidP="00571402">
            <w:pPr>
              <w:spacing w:after="0" w:line="240" w:lineRule="auto"/>
              <w:jc w:val="center"/>
              <w:rPr>
                <w:rFonts w:eastAsia="Times New Roman" w:cs="Times New Roman"/>
                <w:lang w:val="en-US" w:eastAsia="el-GR"/>
              </w:rPr>
            </w:pPr>
            <w:r w:rsidRPr="00D754DF">
              <w:rPr>
                <w:rFonts w:eastAsia="Times New Roman" w:cs="Times New Roman"/>
                <w:lang w:val="en-US" w:eastAsia="el-GR"/>
              </w:rPr>
              <w:t>&lt;0.001</w:t>
            </w:r>
          </w:p>
        </w:tc>
      </w:tr>
    </w:tbl>
    <w:p w:rsidR="007B30E3" w:rsidRPr="00D754DF" w:rsidRDefault="007B30E3">
      <w:pPr>
        <w:rPr>
          <w:b/>
          <w:bCs/>
          <w:lang w:val="en-US"/>
        </w:rPr>
      </w:pPr>
    </w:p>
    <w:p w:rsidR="00D754DF" w:rsidRDefault="007B30E3" w:rsidP="00D754DF">
      <w:pPr>
        <w:spacing w:after="0" w:line="240" w:lineRule="auto"/>
        <w:jc w:val="both"/>
        <w:rPr>
          <w:b/>
          <w:bCs/>
          <w:lang w:val="en-US"/>
        </w:rPr>
      </w:pPr>
      <w:r w:rsidRPr="00D754DF">
        <w:rPr>
          <w:b/>
          <w:bCs/>
          <w:lang w:val="en-US"/>
        </w:rPr>
        <w:t>Conclusions</w:t>
      </w:r>
      <w:r w:rsidR="00D754DF" w:rsidRPr="00D754DF">
        <w:rPr>
          <w:b/>
          <w:bCs/>
          <w:lang w:val="en-US"/>
        </w:rPr>
        <w:t xml:space="preserve"> </w:t>
      </w:r>
    </w:p>
    <w:p w:rsidR="007B30E3" w:rsidRPr="00D754DF" w:rsidRDefault="00D754DF" w:rsidP="00D754DF">
      <w:pPr>
        <w:spacing w:after="0" w:line="240" w:lineRule="auto"/>
        <w:jc w:val="both"/>
        <w:rPr>
          <w:rFonts w:eastAsia="Times New Roman" w:cs="Times New Roman"/>
          <w:bCs/>
          <w:lang w:eastAsia="el-GR"/>
        </w:rPr>
      </w:pPr>
      <w:r w:rsidRPr="00D754DF">
        <w:rPr>
          <w:rFonts w:eastAsia="Times New Roman" w:cs="Times New Roman"/>
          <w:bCs/>
          <w:lang w:val="en-US" w:eastAsia="el-GR"/>
        </w:rPr>
        <w:t>Increased milk production per ewe will result in reduced methane emissions per kg of milk, thus improving the sustainability of the sector.</w:t>
      </w:r>
      <w:r w:rsidRPr="00D754DF">
        <w:rPr>
          <w:rFonts w:eastAsia="Times New Roman" w:cs="Times New Roman"/>
          <w:b/>
          <w:bCs/>
          <w:lang w:val="en-US" w:eastAsia="el-GR"/>
        </w:rPr>
        <w:t xml:space="preserve"> </w:t>
      </w:r>
      <w:r w:rsidRPr="00D754DF">
        <w:rPr>
          <w:rFonts w:eastAsia="Times New Roman" w:cs="Times New Roman"/>
          <w:bCs/>
          <w:lang w:eastAsia="el-GR"/>
        </w:rPr>
        <w:t>Genetic selection and</w:t>
      </w:r>
      <w:r w:rsidRPr="00D754DF">
        <w:rPr>
          <w:rFonts w:eastAsia="Times New Roman" w:cs="Times New Roman"/>
          <w:bCs/>
          <w:lang w:val="en-US" w:eastAsia="el-GR"/>
        </w:rPr>
        <w:t xml:space="preserve"> </w:t>
      </w:r>
      <w:r w:rsidRPr="00D754DF">
        <w:rPr>
          <w:rFonts w:eastAsia="Times New Roman" w:cs="Times New Roman"/>
          <w:bCs/>
          <w:lang w:eastAsia="el-GR"/>
        </w:rPr>
        <w:t xml:space="preserve">management practices aiming to </w:t>
      </w:r>
      <w:r w:rsidRPr="00D754DF">
        <w:rPr>
          <w:rFonts w:eastAsia="Times New Roman" w:cs="Times New Roman"/>
          <w:bCs/>
          <w:lang w:val="en-US" w:eastAsia="el-GR"/>
        </w:rPr>
        <w:t>enhance</w:t>
      </w:r>
      <w:r w:rsidRPr="00D754DF">
        <w:rPr>
          <w:rFonts w:eastAsia="Times New Roman" w:cs="Times New Roman"/>
          <w:bCs/>
          <w:lang w:eastAsia="el-GR"/>
        </w:rPr>
        <w:t xml:space="preserve"> ewe health, improve housing conditions and </w:t>
      </w:r>
      <w:r w:rsidRPr="00D754DF">
        <w:rPr>
          <w:rFonts w:eastAsia="Times New Roman" w:cs="Times New Roman"/>
          <w:bCs/>
          <w:lang w:val="en-US" w:eastAsia="el-GR"/>
        </w:rPr>
        <w:t xml:space="preserve">meet nutritional requirements while not overfeeding </w:t>
      </w:r>
      <w:proofErr w:type="gramStart"/>
      <w:r w:rsidRPr="00D754DF">
        <w:rPr>
          <w:rFonts w:eastAsia="Times New Roman" w:cs="Times New Roman"/>
          <w:bCs/>
          <w:lang w:val="en-US" w:eastAsia="el-GR"/>
        </w:rPr>
        <w:t>forages,</w:t>
      </w:r>
      <w:proofErr w:type="gramEnd"/>
      <w:r w:rsidRPr="00D754DF">
        <w:rPr>
          <w:rFonts w:eastAsia="Times New Roman" w:cs="Times New Roman"/>
          <w:bCs/>
          <w:lang w:val="en-US" w:eastAsia="el-GR"/>
        </w:rPr>
        <w:t xml:space="preserve"> should be the focus of sheep farmers and their consultants, alike.</w:t>
      </w:r>
      <w:r w:rsidRPr="00D754DF">
        <w:rPr>
          <w:rFonts w:eastAsia="Times New Roman" w:cs="Times New Roman"/>
          <w:bCs/>
          <w:lang w:eastAsia="el-GR"/>
        </w:rPr>
        <w:t xml:space="preserve"> </w:t>
      </w:r>
    </w:p>
    <w:p w:rsidR="007B30E3" w:rsidRPr="00D754DF" w:rsidRDefault="007B30E3">
      <w:pPr>
        <w:rPr>
          <w:b/>
          <w:bCs/>
          <w:lang w:val="en-US"/>
        </w:rPr>
      </w:pPr>
    </w:p>
    <w:p w:rsidR="00D754DF" w:rsidRPr="00D754DF" w:rsidRDefault="007B30E3" w:rsidP="00D754DF">
      <w:pPr>
        <w:contextualSpacing/>
        <w:jc w:val="both"/>
        <w:rPr>
          <w:rFonts w:eastAsia="Times New Roman" w:cs="Times New Roman"/>
          <w:bCs/>
          <w:iCs/>
          <w:lang w:val="en-US" w:eastAsia="el-GR"/>
        </w:rPr>
      </w:pPr>
      <w:r w:rsidRPr="00D754DF">
        <w:rPr>
          <w:b/>
          <w:bCs/>
          <w:lang w:val="en-US"/>
        </w:rPr>
        <w:t>References</w:t>
      </w:r>
      <w:r w:rsidR="00D754DF" w:rsidRPr="00D754DF">
        <w:rPr>
          <w:rFonts w:eastAsia="Times New Roman" w:cs="Times New Roman"/>
          <w:bCs/>
          <w:iCs/>
          <w:lang w:val="en-US" w:eastAsia="el-GR"/>
        </w:rPr>
        <w:t xml:space="preserve"> </w:t>
      </w:r>
    </w:p>
    <w:p w:rsidR="00D754DF" w:rsidRPr="00D754DF" w:rsidRDefault="00D754DF" w:rsidP="00D754DF">
      <w:pPr>
        <w:contextualSpacing/>
        <w:jc w:val="both"/>
        <w:rPr>
          <w:rFonts w:eastAsia="Times New Roman" w:cs="Times New Roman"/>
          <w:bCs/>
          <w:iCs/>
          <w:lang w:eastAsia="el-GR"/>
        </w:rPr>
      </w:pPr>
      <w:r w:rsidRPr="00D754DF">
        <w:rPr>
          <w:rFonts w:eastAsia="Times New Roman" w:cs="Times New Roman"/>
          <w:bCs/>
          <w:iCs/>
          <w:lang w:val="en-US" w:eastAsia="el-GR"/>
        </w:rPr>
        <w:t xml:space="preserve">Hassoun P., Berthelot V., Bocquier F. 2018. </w:t>
      </w:r>
      <w:proofErr w:type="gramStart"/>
      <w:r w:rsidRPr="00D754DF">
        <w:rPr>
          <w:rFonts w:eastAsia="Times New Roman" w:cs="Times New Roman"/>
          <w:bCs/>
          <w:iCs/>
          <w:lang w:eastAsia="el-GR"/>
        </w:rPr>
        <w:t>Dairy, growing and fattening sheep.</w:t>
      </w:r>
      <w:proofErr w:type="gramEnd"/>
      <w:r w:rsidRPr="00D754DF">
        <w:rPr>
          <w:rFonts w:eastAsia="Times New Roman" w:cs="Times New Roman"/>
          <w:bCs/>
          <w:iCs/>
          <w:lang w:eastAsia="el-GR"/>
        </w:rPr>
        <w:t xml:space="preserve"> In: INRA Feeding System for Ruminants. Wageningen Academic Publishers, Wageningen, the Netherlands</w:t>
      </w:r>
    </w:p>
    <w:p w:rsidR="00D754DF" w:rsidRPr="00D754DF" w:rsidRDefault="00D754DF" w:rsidP="00D754DF">
      <w:pPr>
        <w:contextualSpacing/>
        <w:jc w:val="both"/>
        <w:rPr>
          <w:rFonts w:eastAsia="Times New Roman" w:cs="Times New Roman"/>
          <w:bCs/>
          <w:iCs/>
          <w:lang w:eastAsia="el-GR"/>
        </w:rPr>
      </w:pPr>
      <w:r w:rsidRPr="00D754DF">
        <w:rPr>
          <w:rFonts w:eastAsia="Times New Roman" w:cs="Times New Roman"/>
          <w:bCs/>
          <w:iCs/>
          <w:lang w:eastAsia="el-GR"/>
        </w:rPr>
        <w:t xml:space="preserve">Sauvant D., Giger-Reverdin S., Eugene M. 2018. </w:t>
      </w:r>
      <w:proofErr w:type="gramStart"/>
      <w:r w:rsidRPr="00D754DF">
        <w:rPr>
          <w:rFonts w:eastAsia="Times New Roman" w:cs="Times New Roman"/>
          <w:bCs/>
          <w:iCs/>
          <w:lang w:eastAsia="el-GR"/>
        </w:rPr>
        <w:t>Enteric methane emissions.</w:t>
      </w:r>
      <w:proofErr w:type="gramEnd"/>
      <w:r w:rsidRPr="00D754DF">
        <w:rPr>
          <w:rFonts w:eastAsia="Times New Roman" w:cs="Times New Roman"/>
          <w:bCs/>
          <w:iCs/>
          <w:lang w:eastAsia="el-GR"/>
        </w:rPr>
        <w:t xml:space="preserve"> In: INRA Feeding System for Ruminants. Wageningen Academic Publishers, Wageningen, the Netherlands</w:t>
      </w:r>
    </w:p>
    <w:p w:rsidR="007B30E3" w:rsidRPr="00D754DF" w:rsidRDefault="007B30E3">
      <w:pPr>
        <w:rPr>
          <w:b/>
          <w:bCs/>
        </w:rPr>
      </w:pPr>
    </w:p>
    <w:sectPr w:rsidR="007B30E3" w:rsidRPr="00D754DF" w:rsidSect="00DD21B5">
      <w:pgSz w:w="11906" w:h="16838"/>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30E3"/>
    <w:rsid w:val="00383DCD"/>
    <w:rsid w:val="00397193"/>
    <w:rsid w:val="00494FE2"/>
    <w:rsid w:val="00625B14"/>
    <w:rsid w:val="007B30E3"/>
    <w:rsid w:val="00933E8C"/>
    <w:rsid w:val="00B52E4E"/>
    <w:rsid w:val="00C53AE2"/>
    <w:rsid w:val="00C66293"/>
    <w:rsid w:val="00C95030"/>
    <w:rsid w:val="00D057E9"/>
    <w:rsid w:val="00D754DF"/>
    <w:rsid w:val="00DD21B5"/>
    <w:rsid w:val="00E27E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FE2"/>
  </w:style>
  <w:style w:type="paragraph" w:styleId="1">
    <w:name w:val="heading 1"/>
    <w:basedOn w:val="a"/>
    <w:next w:val="a"/>
    <w:link w:val="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B30E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B30E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B30E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B30E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B30E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B30E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B30E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B30E3"/>
    <w:rPr>
      <w:rFonts w:eastAsiaTheme="majorEastAsia" w:cstheme="majorBidi"/>
      <w:color w:val="272727" w:themeColor="text1" w:themeTint="D8"/>
    </w:rPr>
  </w:style>
  <w:style w:type="paragraph" w:styleId="a3">
    <w:name w:val="Title"/>
    <w:basedOn w:val="a"/>
    <w:next w:val="a"/>
    <w:link w:val="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B30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B30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30E3"/>
    <w:pPr>
      <w:spacing w:before="160"/>
      <w:jc w:val="center"/>
    </w:pPr>
    <w:rPr>
      <w:i/>
      <w:iCs/>
      <w:color w:val="404040" w:themeColor="text1" w:themeTint="BF"/>
    </w:rPr>
  </w:style>
  <w:style w:type="character" w:customStyle="1" w:styleId="Char1">
    <w:name w:val="Απόσπασμα Char"/>
    <w:basedOn w:val="a0"/>
    <w:link w:val="a5"/>
    <w:uiPriority w:val="29"/>
    <w:rsid w:val="007B30E3"/>
    <w:rPr>
      <w:i/>
      <w:iCs/>
      <w:color w:val="404040" w:themeColor="text1" w:themeTint="BF"/>
    </w:rPr>
  </w:style>
  <w:style w:type="paragraph" w:styleId="a6">
    <w:name w:val="List Paragraph"/>
    <w:basedOn w:val="a"/>
    <w:uiPriority w:val="34"/>
    <w:qFormat/>
    <w:rsid w:val="007B30E3"/>
    <w:pPr>
      <w:ind w:left="720"/>
      <w:contextualSpacing/>
    </w:pPr>
  </w:style>
  <w:style w:type="character" w:styleId="a7">
    <w:name w:val="Intense Emphasis"/>
    <w:basedOn w:val="a0"/>
    <w:uiPriority w:val="21"/>
    <w:qFormat/>
    <w:rsid w:val="007B30E3"/>
    <w:rPr>
      <w:i/>
      <w:iCs/>
      <w:color w:val="0F4761" w:themeColor="accent1" w:themeShade="BF"/>
    </w:rPr>
  </w:style>
  <w:style w:type="paragraph" w:styleId="a8">
    <w:name w:val="Intense Quote"/>
    <w:basedOn w:val="a"/>
    <w:next w:val="a"/>
    <w:link w:val="Char2"/>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7B30E3"/>
    <w:rPr>
      <w:i/>
      <w:iCs/>
      <w:color w:val="0F4761" w:themeColor="accent1" w:themeShade="BF"/>
    </w:rPr>
  </w:style>
  <w:style w:type="character" w:styleId="a9">
    <w:name w:val="Intense Reference"/>
    <w:basedOn w:val="a0"/>
    <w:uiPriority w:val="32"/>
    <w:qFormat/>
    <w:rsid w:val="007B30E3"/>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785</Words>
  <Characters>4245</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user</cp:lastModifiedBy>
  <cp:revision>6</cp:revision>
  <dcterms:created xsi:type="dcterms:W3CDTF">2024-05-09T15:06:00Z</dcterms:created>
  <dcterms:modified xsi:type="dcterms:W3CDTF">2024-11-16T15:23:00Z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