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C79B" w14:textId="2D62BF00" w:rsidR="007B30E3" w:rsidRDefault="007B30E3">
      <w:pPr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Application</w:t>
      </w:r>
    </w:p>
    <w:p w14:paraId="07C9ECB3" w14:textId="6D99E55E" w:rsidR="007B30E3" w:rsidRPr="005C6ECB" w:rsidRDefault="008D1238" w:rsidP="005C6ECB">
      <w:pPr>
        <w:jc w:val="both"/>
        <w:rPr>
          <w:bCs/>
          <w:lang w:val="en-US"/>
        </w:rPr>
      </w:pPr>
      <w:r>
        <w:rPr>
          <w:bCs/>
          <w:lang w:val="en-US"/>
        </w:rPr>
        <w:t>Recently, t</w:t>
      </w:r>
      <w:r w:rsidR="00C96551">
        <w:rPr>
          <w:bCs/>
          <w:lang w:val="en-US"/>
        </w:rPr>
        <w:t>he</w:t>
      </w:r>
      <w:r w:rsidR="005C6ECB" w:rsidRPr="005C6ECB">
        <w:rPr>
          <w:bCs/>
          <w:lang w:val="en-US"/>
        </w:rPr>
        <w:t xml:space="preserve"> </w:t>
      </w:r>
      <w:r w:rsidR="00C96551">
        <w:rPr>
          <w:bCs/>
          <w:lang w:val="en-US"/>
        </w:rPr>
        <w:t xml:space="preserve">focus on </w:t>
      </w:r>
      <w:r w:rsidR="005C6ECB" w:rsidRPr="005C6ECB">
        <w:rPr>
          <w:bCs/>
          <w:lang w:val="en-US"/>
        </w:rPr>
        <w:t xml:space="preserve">sustainability </w:t>
      </w:r>
      <w:r w:rsidR="00C96551">
        <w:rPr>
          <w:bCs/>
          <w:lang w:val="en-US"/>
        </w:rPr>
        <w:t>of livestock production</w:t>
      </w:r>
      <w:r w:rsidR="005C6ECB" w:rsidRPr="005C6ECB">
        <w:rPr>
          <w:bCs/>
          <w:lang w:val="en-US"/>
        </w:rPr>
        <w:t xml:space="preserve"> shifted almost exclusively to the environment which may take precedence over practices associated with good animal welfare </w:t>
      </w:r>
      <w:r w:rsidR="00E56BAE">
        <w:rPr>
          <w:bCs/>
          <w:lang w:val="en-US"/>
        </w:rPr>
        <w:t xml:space="preserve">(AW) </w:t>
      </w:r>
      <w:r w:rsidR="005C6ECB" w:rsidRPr="005C6ECB">
        <w:rPr>
          <w:bCs/>
          <w:lang w:val="en-US"/>
        </w:rPr>
        <w:t xml:space="preserve">(Boyle and Stevenson, 2024). One Welfare </w:t>
      </w:r>
      <w:proofErr w:type="spellStart"/>
      <w:r w:rsidR="005C6ECB" w:rsidRPr="005C6ECB">
        <w:rPr>
          <w:bCs/>
          <w:lang w:val="en-US"/>
        </w:rPr>
        <w:t>recognises</w:t>
      </w:r>
      <w:proofErr w:type="spellEnd"/>
      <w:r w:rsidR="005C6ECB" w:rsidRPr="005C6ECB">
        <w:rPr>
          <w:bCs/>
          <w:lang w:val="en-US"/>
        </w:rPr>
        <w:t xml:space="preserve"> the interconnectedness of humans, animals and the environment they share (Pinillos et al., 2016). Hence, it provides a useful framework to ensure the development of fair and resilient livestock production systems in which animals do not fall further out of consideration in the future.</w:t>
      </w:r>
    </w:p>
    <w:p w14:paraId="5E9F33D1" w14:textId="5CDACFA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25CB61AB" w14:textId="134653EB" w:rsidR="005C6ECB" w:rsidRDefault="005C6ECB" w:rsidP="00C96551">
      <w:pPr>
        <w:jc w:val="both"/>
        <w:rPr>
          <w:bCs/>
          <w:lang w:val="en-US"/>
        </w:rPr>
      </w:pPr>
      <w:r>
        <w:rPr>
          <w:bCs/>
          <w:lang w:val="en-US"/>
        </w:rPr>
        <w:t>The</w:t>
      </w:r>
      <w:r w:rsidR="000B59A4">
        <w:rPr>
          <w:bCs/>
          <w:lang w:val="en-US"/>
        </w:rPr>
        <w:t xml:space="preserve">re is </w:t>
      </w:r>
      <w:r>
        <w:rPr>
          <w:bCs/>
          <w:lang w:val="en-US"/>
        </w:rPr>
        <w:t>increasing</w:t>
      </w:r>
      <w:r w:rsidR="00C96551">
        <w:rPr>
          <w:bCs/>
          <w:lang w:val="en-US"/>
        </w:rPr>
        <w:t xml:space="preserve"> </w:t>
      </w:r>
      <w:r>
        <w:rPr>
          <w:bCs/>
          <w:lang w:val="en-US"/>
        </w:rPr>
        <w:t xml:space="preserve">societal concern about </w:t>
      </w:r>
      <w:r w:rsidR="00756B87">
        <w:rPr>
          <w:bCs/>
          <w:lang w:val="en-US"/>
        </w:rPr>
        <w:t xml:space="preserve">AW </w:t>
      </w:r>
      <w:r>
        <w:rPr>
          <w:bCs/>
          <w:lang w:val="en-US"/>
        </w:rPr>
        <w:t xml:space="preserve">in </w:t>
      </w:r>
      <w:r w:rsidR="008D0C13">
        <w:rPr>
          <w:bCs/>
          <w:lang w:val="en-US"/>
        </w:rPr>
        <w:t xml:space="preserve">intensive </w:t>
      </w:r>
      <w:r>
        <w:rPr>
          <w:bCs/>
          <w:lang w:val="en-US"/>
        </w:rPr>
        <w:t xml:space="preserve">systems, </w:t>
      </w:r>
      <w:r w:rsidR="008D0C13">
        <w:rPr>
          <w:bCs/>
          <w:lang w:val="en-US"/>
        </w:rPr>
        <w:t>growing</w:t>
      </w:r>
      <w:r>
        <w:rPr>
          <w:bCs/>
          <w:lang w:val="en-US"/>
        </w:rPr>
        <w:t xml:space="preserve"> interest in </w:t>
      </w:r>
      <w:proofErr w:type="spellStart"/>
      <w:r>
        <w:rPr>
          <w:bCs/>
          <w:lang w:val="en-US"/>
        </w:rPr>
        <w:t>pigmeat</w:t>
      </w:r>
      <w:proofErr w:type="spellEnd"/>
      <w:r>
        <w:rPr>
          <w:bCs/>
          <w:lang w:val="en-US"/>
        </w:rPr>
        <w:t xml:space="preserve"> produced from alternative systems and </w:t>
      </w:r>
      <w:r w:rsidR="00132A10">
        <w:rPr>
          <w:bCs/>
          <w:lang w:val="en-US"/>
        </w:rPr>
        <w:t>awareness</w:t>
      </w:r>
      <w:r w:rsidR="008D0C13">
        <w:rPr>
          <w:bCs/>
          <w:lang w:val="en-US"/>
        </w:rPr>
        <w:t xml:space="preserve"> of </w:t>
      </w:r>
      <w:r>
        <w:rPr>
          <w:bCs/>
          <w:lang w:val="en-US"/>
        </w:rPr>
        <w:t>the</w:t>
      </w:r>
      <w:r w:rsidR="00E56BAE">
        <w:rPr>
          <w:bCs/>
          <w:lang w:val="en-US"/>
        </w:rPr>
        <w:t>ir</w:t>
      </w:r>
      <w:r>
        <w:rPr>
          <w:bCs/>
          <w:lang w:val="en-US"/>
        </w:rPr>
        <w:t xml:space="preserve"> value </w:t>
      </w:r>
      <w:r w:rsidR="00E56BAE">
        <w:rPr>
          <w:bCs/>
          <w:lang w:val="en-US"/>
        </w:rPr>
        <w:t xml:space="preserve">in terms </w:t>
      </w:r>
      <w:r>
        <w:rPr>
          <w:bCs/>
          <w:lang w:val="en-US"/>
        </w:rPr>
        <w:t xml:space="preserve">of </w:t>
      </w:r>
      <w:r w:rsidR="00132A10">
        <w:rPr>
          <w:bCs/>
          <w:lang w:val="en-US"/>
        </w:rPr>
        <w:t>ecosystem services</w:t>
      </w:r>
      <w:r w:rsidR="00E56BAE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  <w:r w:rsidR="00C96551">
        <w:rPr>
          <w:bCs/>
          <w:lang w:val="en-US"/>
        </w:rPr>
        <w:t>However, while o</w:t>
      </w:r>
      <w:r w:rsidRPr="005C6ECB">
        <w:rPr>
          <w:bCs/>
          <w:lang w:val="en-US"/>
        </w:rPr>
        <w:t>utdoor farming is perceived as ‘</w:t>
      </w:r>
      <w:r w:rsidR="005A4586">
        <w:rPr>
          <w:bCs/>
          <w:lang w:val="en-US"/>
        </w:rPr>
        <w:t>AW</w:t>
      </w:r>
      <w:r w:rsidRPr="005C6ECB">
        <w:rPr>
          <w:bCs/>
          <w:lang w:val="en-US"/>
        </w:rPr>
        <w:t xml:space="preserve"> friendly’ as it allows pig</w:t>
      </w:r>
      <w:r w:rsidR="00132A10">
        <w:rPr>
          <w:bCs/>
          <w:lang w:val="en-US"/>
        </w:rPr>
        <w:t>s</w:t>
      </w:r>
      <w:r w:rsidRPr="005C6ECB">
        <w:rPr>
          <w:bCs/>
          <w:lang w:val="en-US"/>
        </w:rPr>
        <w:t xml:space="preserve"> to perform natural </w:t>
      </w:r>
      <w:proofErr w:type="spellStart"/>
      <w:r w:rsidRPr="005C6ECB">
        <w:rPr>
          <w:bCs/>
          <w:lang w:val="en-US"/>
        </w:rPr>
        <w:t>behaviour</w:t>
      </w:r>
      <w:r>
        <w:rPr>
          <w:bCs/>
          <w:lang w:val="en-US"/>
        </w:rPr>
        <w:t>s</w:t>
      </w:r>
      <w:proofErr w:type="spellEnd"/>
      <w:r w:rsidR="00132A10">
        <w:rPr>
          <w:bCs/>
          <w:lang w:val="en-US"/>
        </w:rPr>
        <w:t xml:space="preserve">, they can adversely affect the </w:t>
      </w:r>
      <w:r w:rsidR="00C96551">
        <w:rPr>
          <w:bCs/>
          <w:lang w:val="en-US"/>
        </w:rPr>
        <w:t>environment</w:t>
      </w:r>
      <w:r w:rsidR="00132A10">
        <w:rPr>
          <w:bCs/>
          <w:lang w:val="en-US"/>
        </w:rPr>
        <w:t>,</w:t>
      </w:r>
      <w:r w:rsidR="008D0C13">
        <w:rPr>
          <w:bCs/>
          <w:lang w:val="en-US"/>
        </w:rPr>
        <w:t xml:space="preserve"> </w:t>
      </w:r>
      <w:r w:rsidR="00C96551">
        <w:rPr>
          <w:bCs/>
          <w:lang w:val="en-US"/>
        </w:rPr>
        <w:t>particularly soil health. Furthermore, there are potentially greater challenges to humans due to lack of policy supports</w:t>
      </w:r>
      <w:r w:rsidR="00E56BAE">
        <w:rPr>
          <w:bCs/>
          <w:lang w:val="en-US"/>
        </w:rPr>
        <w:t xml:space="preserve"> and</w:t>
      </w:r>
      <w:r w:rsidR="008D0C13">
        <w:rPr>
          <w:bCs/>
          <w:lang w:val="en-US"/>
        </w:rPr>
        <w:t xml:space="preserve"> insecure income</w:t>
      </w:r>
      <w:r w:rsidR="00C96551">
        <w:rPr>
          <w:bCs/>
          <w:lang w:val="en-US"/>
        </w:rPr>
        <w:t xml:space="preserve">. </w:t>
      </w:r>
      <w:r w:rsidR="008D0C13" w:rsidRPr="008D0C13">
        <w:rPr>
          <w:bCs/>
          <w:lang w:val="en-US"/>
        </w:rPr>
        <w:t xml:space="preserve">The aim of this study was to use the One Welfare framework to evaluate outdoor pig farming. </w:t>
      </w:r>
    </w:p>
    <w:p w14:paraId="167B5498" w14:textId="77777777" w:rsidR="007B30E3" w:rsidRDefault="007B30E3">
      <w:pPr>
        <w:rPr>
          <w:b/>
          <w:bCs/>
          <w:lang w:val="en-US"/>
        </w:rPr>
      </w:pP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</w:t>
      </w:r>
      <w:r w:rsidRPr="00132A10">
        <w:rPr>
          <w:bCs/>
          <w:lang w:val="en-US"/>
        </w:rPr>
        <w:t>t</w:t>
      </w:r>
      <w:r>
        <w:rPr>
          <w:b/>
          <w:bCs/>
          <w:lang w:val="en-US"/>
        </w:rPr>
        <w:t>hods</w:t>
      </w:r>
    </w:p>
    <w:p w14:paraId="31DE43A2" w14:textId="308435EF" w:rsidR="007B30E3" w:rsidRPr="00C96551" w:rsidRDefault="005A4586" w:rsidP="00C96551">
      <w:pPr>
        <w:jc w:val="both"/>
        <w:rPr>
          <w:bCs/>
          <w:lang w:val="en-US"/>
        </w:rPr>
      </w:pPr>
      <w:r>
        <w:rPr>
          <w:bCs/>
          <w:lang w:val="en-US"/>
        </w:rPr>
        <w:t>Animal</w:t>
      </w:r>
      <w:r w:rsidR="00C96551" w:rsidRPr="00C96551">
        <w:rPr>
          <w:bCs/>
          <w:lang w:val="en-US"/>
        </w:rPr>
        <w:t xml:space="preserve">, environment and farmer </w:t>
      </w:r>
      <w:r w:rsidR="00C96551">
        <w:rPr>
          <w:bCs/>
          <w:lang w:val="en-US"/>
        </w:rPr>
        <w:t xml:space="preserve">data </w:t>
      </w:r>
      <w:r w:rsidR="00C96551" w:rsidRPr="00C96551">
        <w:rPr>
          <w:bCs/>
          <w:lang w:val="en-US"/>
        </w:rPr>
        <w:t xml:space="preserve">were collected on 17 outdoor farms between July and October 2023. Pigs (n=223) </w:t>
      </w:r>
      <w:r w:rsidR="00820CFE">
        <w:rPr>
          <w:bCs/>
          <w:lang w:val="en-US"/>
        </w:rPr>
        <w:t xml:space="preserve">in 29 paddocks </w:t>
      </w:r>
      <w:r w:rsidR="00C96551" w:rsidRPr="00C96551">
        <w:rPr>
          <w:bCs/>
          <w:lang w:val="en-US"/>
        </w:rPr>
        <w:t>were observe</w:t>
      </w:r>
      <w:r w:rsidR="00B27DB5">
        <w:rPr>
          <w:bCs/>
          <w:lang w:val="en-US"/>
        </w:rPr>
        <w:t>d for body condition</w:t>
      </w:r>
      <w:r w:rsidR="00C96551" w:rsidRPr="00C96551">
        <w:rPr>
          <w:bCs/>
          <w:lang w:val="en-US"/>
        </w:rPr>
        <w:t>, lameness, lesions</w:t>
      </w:r>
      <w:r w:rsidR="000B59A4">
        <w:rPr>
          <w:bCs/>
          <w:lang w:val="en-US"/>
        </w:rPr>
        <w:t>, tear staining and the p</w:t>
      </w:r>
      <w:r w:rsidR="00C96551" w:rsidRPr="00C96551">
        <w:rPr>
          <w:bCs/>
          <w:lang w:val="en-US"/>
        </w:rPr>
        <w:t xml:space="preserve">resence of external parasites. </w:t>
      </w:r>
      <w:r w:rsidR="008D0C13">
        <w:rPr>
          <w:bCs/>
          <w:lang w:val="en-US"/>
        </w:rPr>
        <w:t>P</w:t>
      </w:r>
      <w:r w:rsidR="00C96551" w:rsidRPr="00C96551">
        <w:rPr>
          <w:bCs/>
          <w:lang w:val="en-US"/>
        </w:rPr>
        <w:t>addock</w:t>
      </w:r>
      <w:r w:rsidR="008D0C13">
        <w:rPr>
          <w:bCs/>
          <w:lang w:val="en-US"/>
        </w:rPr>
        <w:t>s</w:t>
      </w:r>
      <w:r w:rsidR="00C96551" w:rsidRPr="00C96551">
        <w:rPr>
          <w:bCs/>
          <w:lang w:val="en-US"/>
        </w:rPr>
        <w:t xml:space="preserve"> w</w:t>
      </w:r>
      <w:r w:rsidR="008D0C13">
        <w:rPr>
          <w:bCs/>
          <w:lang w:val="en-US"/>
        </w:rPr>
        <w:t>ere</w:t>
      </w:r>
      <w:r w:rsidR="00C96551" w:rsidRPr="00C96551">
        <w:rPr>
          <w:bCs/>
          <w:lang w:val="en-US"/>
        </w:rPr>
        <w:t xml:space="preserve"> divided into </w:t>
      </w:r>
      <w:r w:rsidR="00756B87" w:rsidRPr="00C96551">
        <w:rPr>
          <w:bCs/>
          <w:lang w:val="en-US"/>
        </w:rPr>
        <w:t>foraging and defecation</w:t>
      </w:r>
      <w:r w:rsidR="00756B87" w:rsidRPr="00C96551">
        <w:rPr>
          <w:bCs/>
          <w:lang w:val="en-US"/>
        </w:rPr>
        <w:t xml:space="preserve"> </w:t>
      </w:r>
      <w:r w:rsidR="00C96551" w:rsidRPr="00C96551">
        <w:rPr>
          <w:bCs/>
          <w:lang w:val="en-US"/>
        </w:rPr>
        <w:t xml:space="preserve">areas. Soil shear strength was measured </w:t>
      </w:r>
      <w:r w:rsidR="008D0C13">
        <w:rPr>
          <w:bCs/>
          <w:lang w:val="en-US"/>
        </w:rPr>
        <w:t xml:space="preserve">three times/area </w:t>
      </w:r>
      <w:r w:rsidR="00C96551" w:rsidRPr="00C96551">
        <w:rPr>
          <w:bCs/>
          <w:lang w:val="en-US"/>
        </w:rPr>
        <w:t xml:space="preserve">and averaged and </w:t>
      </w:r>
      <w:r w:rsidR="008D0C13">
        <w:rPr>
          <w:bCs/>
          <w:lang w:val="en-US"/>
        </w:rPr>
        <w:t xml:space="preserve">a control measurement was taken outside </w:t>
      </w:r>
      <w:r w:rsidR="00C96551" w:rsidRPr="00C96551">
        <w:rPr>
          <w:bCs/>
          <w:lang w:val="en-US"/>
        </w:rPr>
        <w:t>the paddock</w:t>
      </w:r>
      <w:r>
        <w:rPr>
          <w:bCs/>
          <w:lang w:val="en-US"/>
        </w:rPr>
        <w:t xml:space="preserve">. The shear strength </w:t>
      </w:r>
      <w:r w:rsidR="00C96551" w:rsidRPr="00C96551">
        <w:rPr>
          <w:bCs/>
          <w:lang w:val="en-US"/>
        </w:rPr>
        <w:t xml:space="preserve">of each area was subtracted from the </w:t>
      </w:r>
      <w:r w:rsidR="00756B87">
        <w:rPr>
          <w:bCs/>
          <w:lang w:val="en-US"/>
        </w:rPr>
        <w:t xml:space="preserve">control </w:t>
      </w:r>
      <w:r w:rsidR="00C96551" w:rsidRPr="00C96551">
        <w:rPr>
          <w:bCs/>
          <w:lang w:val="en-US"/>
        </w:rPr>
        <w:t xml:space="preserve">value </w:t>
      </w:r>
      <w:r w:rsidR="000B59A4">
        <w:rPr>
          <w:bCs/>
          <w:lang w:val="en-US"/>
        </w:rPr>
        <w:t xml:space="preserve">to obtain a </w:t>
      </w:r>
      <w:r w:rsidR="00C96551" w:rsidRPr="00C96551">
        <w:rPr>
          <w:bCs/>
          <w:lang w:val="en-US"/>
        </w:rPr>
        <w:t xml:space="preserve">delta value. </w:t>
      </w:r>
      <w:r w:rsidR="008D0C13">
        <w:rPr>
          <w:bCs/>
          <w:lang w:val="en-US"/>
        </w:rPr>
        <w:t xml:space="preserve">All plant species </w:t>
      </w:r>
      <w:r w:rsidR="00C96551" w:rsidRPr="00C96551">
        <w:rPr>
          <w:bCs/>
          <w:lang w:val="en-US"/>
        </w:rPr>
        <w:t>were counted in the same areas</w:t>
      </w:r>
      <w:r w:rsidR="000B59A4">
        <w:rPr>
          <w:bCs/>
          <w:lang w:val="en-US"/>
        </w:rPr>
        <w:t xml:space="preserve"> and the delta value obtained in the same way as for shear strength</w:t>
      </w:r>
      <w:r w:rsidR="00C96551" w:rsidRPr="00C96551">
        <w:rPr>
          <w:bCs/>
          <w:lang w:val="en-US"/>
        </w:rPr>
        <w:t>. A</w:t>
      </w:r>
      <w:r w:rsidR="00756B87">
        <w:rPr>
          <w:bCs/>
          <w:lang w:val="en-US"/>
        </w:rPr>
        <w:t>W</w:t>
      </w:r>
      <w:r w:rsidR="00C96551" w:rsidRPr="00C96551">
        <w:rPr>
          <w:bCs/>
          <w:lang w:val="en-US"/>
        </w:rPr>
        <w:t xml:space="preserve"> and environmental measures were averaged across paddocks. Farmers completed a Quality of Life (</w:t>
      </w:r>
      <w:proofErr w:type="spellStart"/>
      <w:r w:rsidR="00C96551" w:rsidRPr="00C96551">
        <w:rPr>
          <w:bCs/>
          <w:lang w:val="en-US"/>
        </w:rPr>
        <w:t>QoL</w:t>
      </w:r>
      <w:proofErr w:type="spellEnd"/>
      <w:r w:rsidR="00C96551" w:rsidRPr="00C96551">
        <w:rPr>
          <w:bCs/>
          <w:lang w:val="en-US"/>
        </w:rPr>
        <w:t xml:space="preserve">) questionnaire (WHO, 2012) </w:t>
      </w:r>
      <w:r w:rsidR="008D0C13">
        <w:rPr>
          <w:bCs/>
          <w:lang w:val="en-US"/>
        </w:rPr>
        <w:t xml:space="preserve">producing </w:t>
      </w:r>
      <w:r w:rsidR="00C96551" w:rsidRPr="00C96551">
        <w:rPr>
          <w:bCs/>
          <w:lang w:val="en-US"/>
        </w:rPr>
        <w:t xml:space="preserve">scores based on </w:t>
      </w:r>
      <w:r>
        <w:rPr>
          <w:bCs/>
          <w:lang w:val="en-US"/>
        </w:rPr>
        <w:t xml:space="preserve">four </w:t>
      </w:r>
      <w:r w:rsidR="00C96551" w:rsidRPr="00C96551">
        <w:rPr>
          <w:bCs/>
          <w:lang w:val="en-US"/>
        </w:rPr>
        <w:t>sub-sections (0-100)</w:t>
      </w:r>
      <w:r w:rsidR="008D0C13">
        <w:rPr>
          <w:bCs/>
          <w:lang w:val="en-US"/>
        </w:rPr>
        <w:t xml:space="preserve"> and a</w:t>
      </w:r>
      <w:r w:rsidR="00C96551" w:rsidRPr="00C96551">
        <w:rPr>
          <w:bCs/>
          <w:lang w:val="en-US"/>
        </w:rPr>
        <w:t xml:space="preserve">n overall </w:t>
      </w:r>
      <w:r w:rsidR="00B27DB5">
        <w:rPr>
          <w:bCs/>
          <w:lang w:val="en-US"/>
        </w:rPr>
        <w:t xml:space="preserve">health and </w:t>
      </w:r>
      <w:proofErr w:type="spellStart"/>
      <w:r w:rsidR="00C96551" w:rsidRPr="00C96551">
        <w:rPr>
          <w:bCs/>
          <w:lang w:val="en-US"/>
        </w:rPr>
        <w:t>QoL</w:t>
      </w:r>
      <w:proofErr w:type="spellEnd"/>
      <w:r w:rsidR="00C96551" w:rsidRPr="00C96551">
        <w:rPr>
          <w:bCs/>
          <w:lang w:val="en-US"/>
        </w:rPr>
        <w:t xml:space="preserve"> score</w:t>
      </w:r>
      <w:r w:rsidR="00C96551">
        <w:rPr>
          <w:bCs/>
          <w:lang w:val="en-US"/>
        </w:rPr>
        <w:t xml:space="preserve"> </w:t>
      </w:r>
      <w:r w:rsidR="00C96551" w:rsidRPr="00C96551">
        <w:rPr>
          <w:bCs/>
          <w:lang w:val="en-US"/>
        </w:rPr>
        <w:t>(0 – 5). P</w:t>
      </w:r>
      <w:r w:rsidR="00C96551">
        <w:rPr>
          <w:bCs/>
          <w:lang w:val="en-US"/>
        </w:rPr>
        <w:t xml:space="preserve">rincipal </w:t>
      </w:r>
      <w:r w:rsidR="00C96551" w:rsidRPr="00C96551">
        <w:rPr>
          <w:bCs/>
          <w:lang w:val="en-US"/>
        </w:rPr>
        <w:t>C</w:t>
      </w:r>
      <w:r w:rsidR="00C96551">
        <w:rPr>
          <w:bCs/>
          <w:lang w:val="en-US"/>
        </w:rPr>
        <w:t xml:space="preserve">omponent </w:t>
      </w:r>
      <w:r w:rsidR="00C96551" w:rsidRPr="00C96551">
        <w:rPr>
          <w:bCs/>
          <w:lang w:val="en-US"/>
        </w:rPr>
        <w:t>A</w:t>
      </w:r>
      <w:r w:rsidR="00C96551">
        <w:rPr>
          <w:bCs/>
          <w:lang w:val="en-US"/>
        </w:rPr>
        <w:t>nalysis</w:t>
      </w:r>
      <w:r w:rsidR="00C96551" w:rsidRPr="00C96551">
        <w:rPr>
          <w:bCs/>
          <w:lang w:val="en-US"/>
        </w:rPr>
        <w:t xml:space="preserve"> </w:t>
      </w:r>
      <w:r>
        <w:rPr>
          <w:bCs/>
          <w:lang w:val="en-US"/>
        </w:rPr>
        <w:t xml:space="preserve">(PCA) </w:t>
      </w:r>
      <w:r w:rsidR="00C96551" w:rsidRPr="00C96551">
        <w:rPr>
          <w:bCs/>
          <w:lang w:val="en-US"/>
        </w:rPr>
        <w:t xml:space="preserve">was conducted using </w:t>
      </w:r>
      <w:proofErr w:type="spellStart"/>
      <w:r w:rsidR="00C96551" w:rsidRPr="00C96551">
        <w:rPr>
          <w:bCs/>
          <w:lang w:val="en-US"/>
        </w:rPr>
        <w:t>Rstudio</w:t>
      </w:r>
      <w:proofErr w:type="spellEnd"/>
      <w:r w:rsidR="00C96551" w:rsidRPr="00C96551">
        <w:rPr>
          <w:bCs/>
          <w:lang w:val="en-US"/>
        </w:rPr>
        <w:t xml:space="preserve"> software (R version 4.3.1, R core team, 2022)</w:t>
      </w:r>
      <w:r w:rsidR="008D0C13">
        <w:rPr>
          <w:bCs/>
          <w:lang w:val="en-US"/>
        </w:rPr>
        <w:t xml:space="preserve"> using the</w:t>
      </w:r>
      <w:r w:rsidR="00C96551">
        <w:rPr>
          <w:bCs/>
          <w:lang w:val="en-US"/>
        </w:rPr>
        <w:t xml:space="preserve"> </w:t>
      </w:r>
      <w:proofErr w:type="spellStart"/>
      <w:r w:rsidR="00C96551" w:rsidRPr="00C96551">
        <w:rPr>
          <w:bCs/>
          <w:lang w:val="en-US"/>
        </w:rPr>
        <w:t>FActMineR</w:t>
      </w:r>
      <w:proofErr w:type="spellEnd"/>
      <w:r w:rsidR="00C96551" w:rsidRPr="00C96551">
        <w:rPr>
          <w:bCs/>
          <w:lang w:val="en-US"/>
        </w:rPr>
        <w:t xml:space="preserve"> and </w:t>
      </w:r>
      <w:proofErr w:type="spellStart"/>
      <w:r w:rsidR="00C96551" w:rsidRPr="00C96551">
        <w:rPr>
          <w:bCs/>
          <w:lang w:val="en-US"/>
        </w:rPr>
        <w:t>missMDA</w:t>
      </w:r>
      <w:proofErr w:type="spellEnd"/>
      <w:r w:rsidR="00C96551" w:rsidRPr="00C96551">
        <w:rPr>
          <w:bCs/>
          <w:lang w:val="en-US"/>
        </w:rPr>
        <w:t xml:space="preserve"> packages. </w:t>
      </w:r>
      <w:r w:rsidR="00C96551">
        <w:rPr>
          <w:bCs/>
          <w:lang w:val="en-US"/>
        </w:rPr>
        <w:t>D</w:t>
      </w:r>
      <w:r w:rsidR="00C96551" w:rsidRPr="00C96551">
        <w:rPr>
          <w:bCs/>
          <w:lang w:val="en-US"/>
        </w:rPr>
        <w:t xml:space="preserve">ata were scaled before </w:t>
      </w:r>
      <w:r w:rsidR="00C96551">
        <w:rPr>
          <w:bCs/>
          <w:lang w:val="en-US"/>
        </w:rPr>
        <w:t xml:space="preserve">PCA </w:t>
      </w:r>
      <w:r w:rsidR="00C96551" w:rsidRPr="00C96551">
        <w:rPr>
          <w:bCs/>
          <w:lang w:val="en-US"/>
        </w:rPr>
        <w:t xml:space="preserve">analysis. </w:t>
      </w:r>
      <w:proofErr w:type="spellStart"/>
      <w:r w:rsidR="00C96551" w:rsidRPr="00C96551">
        <w:rPr>
          <w:bCs/>
          <w:lang w:val="en-US"/>
        </w:rPr>
        <w:t>Biplot</w:t>
      </w:r>
      <w:proofErr w:type="spellEnd"/>
      <w:r w:rsidR="00C96551" w:rsidRPr="00C96551">
        <w:rPr>
          <w:bCs/>
          <w:lang w:val="en-US"/>
        </w:rPr>
        <w:t xml:space="preserve"> was obtained and clusters were created to explain the analysis. Means of each variable was calculated for each cluster and an ANOVA was performed between each cluster. A Tukey’s test was performed post hoc.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6D99FC81" w14:textId="0F3AD77B" w:rsidR="00C96551" w:rsidRPr="00C96551" w:rsidRDefault="000B59A4" w:rsidP="00C96551">
      <w:pPr>
        <w:jc w:val="both"/>
        <w:rPr>
          <w:bCs/>
          <w:lang w:val="en-US"/>
        </w:rPr>
      </w:pPr>
      <w:r>
        <w:rPr>
          <w:bCs/>
          <w:lang w:val="en-US"/>
        </w:rPr>
        <w:t>B</w:t>
      </w:r>
      <w:r w:rsidR="00C96551" w:rsidRPr="00C96551">
        <w:rPr>
          <w:bCs/>
          <w:lang w:val="en-US"/>
        </w:rPr>
        <w:t>i-plots captured 13.7% from dimension 1 and 34.5% from dimension 2</w:t>
      </w:r>
      <w:r>
        <w:rPr>
          <w:bCs/>
          <w:lang w:val="en-US"/>
        </w:rPr>
        <w:t xml:space="preserve"> revealing </w:t>
      </w:r>
      <w:r w:rsidR="00C96551" w:rsidRPr="00C96551">
        <w:rPr>
          <w:bCs/>
          <w:lang w:val="en-US"/>
        </w:rPr>
        <w:t>three distinctive clusters</w:t>
      </w:r>
      <w:r>
        <w:rPr>
          <w:bCs/>
          <w:lang w:val="en-US"/>
        </w:rPr>
        <w:t xml:space="preserve"> which w</w:t>
      </w:r>
      <w:r w:rsidR="008D0C13">
        <w:rPr>
          <w:bCs/>
          <w:lang w:val="en-US"/>
        </w:rPr>
        <w:t>ere</w:t>
      </w:r>
      <w:r w:rsidR="00C96551" w:rsidRPr="00C96551">
        <w:rPr>
          <w:bCs/>
          <w:lang w:val="en-US"/>
        </w:rPr>
        <w:t xml:space="preserve"> named according to characteristics show</w:t>
      </w:r>
      <w:r w:rsidR="00C96551">
        <w:rPr>
          <w:bCs/>
          <w:lang w:val="en-US"/>
        </w:rPr>
        <w:t>n</w:t>
      </w:r>
      <w:r w:rsidR="00C96551" w:rsidRPr="00C96551">
        <w:rPr>
          <w:bCs/>
          <w:lang w:val="en-US"/>
        </w:rPr>
        <w:t xml:space="preserve"> by each of the mean scores in the cluster (Table </w:t>
      </w:r>
      <w:r w:rsidR="00C96551">
        <w:rPr>
          <w:bCs/>
          <w:lang w:val="en-US"/>
        </w:rPr>
        <w:t>1</w:t>
      </w:r>
      <w:r w:rsidR="00C96551" w:rsidRPr="00C96551">
        <w:rPr>
          <w:bCs/>
          <w:lang w:val="en-US"/>
        </w:rPr>
        <w:t>).</w:t>
      </w:r>
      <w:r w:rsidR="00132A10">
        <w:rPr>
          <w:bCs/>
          <w:lang w:val="en-US"/>
        </w:rPr>
        <w:t xml:space="preserve"> </w:t>
      </w:r>
      <w:r w:rsidR="00C96551" w:rsidRPr="00C96551">
        <w:rPr>
          <w:bCs/>
          <w:lang w:val="en-US"/>
        </w:rPr>
        <w:t>Cluster 1 represented paddocks where sows were kept</w:t>
      </w:r>
      <w:r w:rsidR="00820CFE">
        <w:rPr>
          <w:bCs/>
          <w:lang w:val="en-US"/>
        </w:rPr>
        <w:t xml:space="preserve"> (sows </w:t>
      </w:r>
      <w:r>
        <w:rPr>
          <w:bCs/>
          <w:lang w:val="en-US"/>
        </w:rPr>
        <w:t xml:space="preserve">were only </w:t>
      </w:r>
      <w:r w:rsidR="00820CFE">
        <w:rPr>
          <w:bCs/>
          <w:lang w:val="en-US"/>
        </w:rPr>
        <w:t>on</w:t>
      </w:r>
      <w:r>
        <w:rPr>
          <w:bCs/>
          <w:lang w:val="en-US"/>
        </w:rPr>
        <w:t xml:space="preserve"> </w:t>
      </w:r>
      <w:r w:rsidR="00820CFE">
        <w:rPr>
          <w:bCs/>
          <w:lang w:val="en-US"/>
        </w:rPr>
        <w:t>3 farms)</w:t>
      </w:r>
      <w:r w:rsidR="008D1238">
        <w:rPr>
          <w:bCs/>
          <w:lang w:val="en-US"/>
        </w:rPr>
        <w:t xml:space="preserve"> and with </w:t>
      </w:r>
      <w:r w:rsidR="00C96551" w:rsidRPr="00C96551">
        <w:rPr>
          <w:bCs/>
          <w:lang w:val="en-US"/>
        </w:rPr>
        <w:t xml:space="preserve">the highest </w:t>
      </w:r>
      <w:r w:rsidR="008D0C13">
        <w:rPr>
          <w:bCs/>
          <w:lang w:val="en-US"/>
        </w:rPr>
        <w:t xml:space="preserve">(i.e. worst) </w:t>
      </w:r>
      <w:r w:rsidR="00C96551" w:rsidRPr="00C96551">
        <w:rPr>
          <w:bCs/>
          <w:lang w:val="en-US"/>
        </w:rPr>
        <w:t xml:space="preserve">average scores for </w:t>
      </w:r>
      <w:r w:rsidR="00820CFE">
        <w:rPr>
          <w:bCs/>
          <w:lang w:val="en-US"/>
        </w:rPr>
        <w:t xml:space="preserve">all </w:t>
      </w:r>
      <w:r w:rsidR="00756B87">
        <w:rPr>
          <w:bCs/>
          <w:lang w:val="en-US"/>
        </w:rPr>
        <w:t xml:space="preserve">AW </w:t>
      </w:r>
      <w:r w:rsidR="00C96551" w:rsidRPr="00C96551">
        <w:rPr>
          <w:bCs/>
          <w:lang w:val="en-US"/>
        </w:rPr>
        <w:t xml:space="preserve">measurements. </w:t>
      </w:r>
      <w:r w:rsidR="008D1238">
        <w:rPr>
          <w:bCs/>
          <w:lang w:val="en-US"/>
        </w:rPr>
        <w:t xml:space="preserve">This </w:t>
      </w:r>
      <w:r w:rsidR="00820CFE">
        <w:rPr>
          <w:bCs/>
          <w:lang w:val="en-US"/>
        </w:rPr>
        <w:t xml:space="preserve">cluster </w:t>
      </w:r>
      <w:r w:rsidR="00C96551" w:rsidRPr="00C96551">
        <w:rPr>
          <w:bCs/>
          <w:lang w:val="en-US"/>
        </w:rPr>
        <w:t xml:space="preserve">also had the highest </w:t>
      </w:r>
      <w:r w:rsidR="00820CFE">
        <w:rPr>
          <w:bCs/>
          <w:lang w:val="en-US"/>
        </w:rPr>
        <w:t xml:space="preserve">number </w:t>
      </w:r>
      <w:r w:rsidR="00C96551" w:rsidRPr="00C96551">
        <w:rPr>
          <w:bCs/>
          <w:lang w:val="en-US"/>
        </w:rPr>
        <w:t xml:space="preserve">of plants in both areas in the paddock. The </w:t>
      </w:r>
      <w:r w:rsidR="00D62CA7">
        <w:rPr>
          <w:bCs/>
          <w:lang w:val="en-US"/>
        </w:rPr>
        <w:t xml:space="preserve">majority of </w:t>
      </w:r>
      <w:proofErr w:type="spellStart"/>
      <w:r w:rsidR="00820CFE">
        <w:rPr>
          <w:bCs/>
          <w:lang w:val="en-US"/>
        </w:rPr>
        <w:t>QoL</w:t>
      </w:r>
      <w:proofErr w:type="spellEnd"/>
      <w:r w:rsidR="00C96551" w:rsidRPr="00C96551">
        <w:rPr>
          <w:bCs/>
          <w:lang w:val="en-US"/>
        </w:rPr>
        <w:t xml:space="preserve"> </w:t>
      </w:r>
      <w:r w:rsidR="00B27DB5">
        <w:rPr>
          <w:bCs/>
          <w:lang w:val="en-US"/>
        </w:rPr>
        <w:t>sub-section (&gt;80%) and overall scores</w:t>
      </w:r>
      <w:r w:rsidR="00C96551" w:rsidRPr="00C96551">
        <w:rPr>
          <w:bCs/>
          <w:lang w:val="en-US"/>
        </w:rPr>
        <w:t xml:space="preserve"> were highe</w:t>
      </w:r>
      <w:r w:rsidR="00B27DB5">
        <w:rPr>
          <w:bCs/>
          <w:lang w:val="en-US"/>
        </w:rPr>
        <w:t>r than in the other 2 clusters</w:t>
      </w:r>
      <w:r w:rsidR="00C96551" w:rsidRPr="00C96551">
        <w:rPr>
          <w:bCs/>
          <w:lang w:val="en-US"/>
        </w:rPr>
        <w:t xml:space="preserve">. Cluster 2 represented </w:t>
      </w:r>
      <w:r w:rsidR="00820CFE">
        <w:rPr>
          <w:bCs/>
          <w:lang w:val="en-US"/>
        </w:rPr>
        <w:t>5</w:t>
      </w:r>
      <w:r w:rsidR="00C96551" w:rsidRPr="00C96551">
        <w:rPr>
          <w:bCs/>
          <w:lang w:val="en-US"/>
        </w:rPr>
        <w:t xml:space="preserve"> paddocks in three farms</w:t>
      </w:r>
      <w:r w:rsidR="00820CFE">
        <w:rPr>
          <w:bCs/>
          <w:lang w:val="en-US"/>
        </w:rPr>
        <w:t xml:space="preserve"> which had </w:t>
      </w:r>
      <w:r w:rsidR="00C96551" w:rsidRPr="00C96551">
        <w:rPr>
          <w:bCs/>
          <w:lang w:val="en-US"/>
        </w:rPr>
        <w:t>the lowest</w:t>
      </w:r>
      <w:r w:rsidR="008D0C13">
        <w:rPr>
          <w:bCs/>
          <w:lang w:val="en-US"/>
        </w:rPr>
        <w:t xml:space="preserve"> (i.e. best)</w:t>
      </w:r>
      <w:r w:rsidR="00C96551" w:rsidRPr="00C96551">
        <w:rPr>
          <w:bCs/>
          <w:lang w:val="en-US"/>
        </w:rPr>
        <w:t xml:space="preserve"> scores for </w:t>
      </w:r>
      <w:r w:rsidR="00756B87">
        <w:rPr>
          <w:bCs/>
          <w:lang w:val="en-US"/>
        </w:rPr>
        <w:t>AW</w:t>
      </w:r>
      <w:r w:rsidR="00C96551" w:rsidRPr="00C96551">
        <w:rPr>
          <w:bCs/>
          <w:lang w:val="en-US"/>
        </w:rPr>
        <w:t xml:space="preserve"> </w:t>
      </w:r>
      <w:r w:rsidR="009859A2">
        <w:rPr>
          <w:bCs/>
          <w:lang w:val="en-US"/>
        </w:rPr>
        <w:t>and for soil compaction</w:t>
      </w:r>
      <w:r w:rsidR="00C96551" w:rsidRPr="00C96551">
        <w:rPr>
          <w:bCs/>
          <w:lang w:val="en-US"/>
        </w:rPr>
        <w:t xml:space="preserve">. However, this cluster </w:t>
      </w:r>
      <w:r w:rsidR="00B27DB5">
        <w:rPr>
          <w:bCs/>
          <w:lang w:val="en-US"/>
        </w:rPr>
        <w:t xml:space="preserve">also </w:t>
      </w:r>
      <w:r w:rsidR="00C96551" w:rsidRPr="00C96551">
        <w:rPr>
          <w:bCs/>
          <w:lang w:val="en-US"/>
        </w:rPr>
        <w:t xml:space="preserve">had the lowest </w:t>
      </w:r>
      <w:proofErr w:type="spellStart"/>
      <w:r w:rsidR="00820CFE">
        <w:rPr>
          <w:bCs/>
          <w:lang w:val="en-US"/>
        </w:rPr>
        <w:t>QoL</w:t>
      </w:r>
      <w:proofErr w:type="spellEnd"/>
      <w:r w:rsidR="00C96551" w:rsidRPr="00C96551">
        <w:rPr>
          <w:bCs/>
          <w:lang w:val="en-US"/>
        </w:rPr>
        <w:t xml:space="preserve"> </w:t>
      </w:r>
      <w:r w:rsidR="00B27DB5">
        <w:rPr>
          <w:bCs/>
          <w:lang w:val="en-US"/>
        </w:rPr>
        <w:t>scores</w:t>
      </w:r>
      <w:r w:rsidR="00820CFE">
        <w:rPr>
          <w:bCs/>
          <w:lang w:val="en-US"/>
        </w:rPr>
        <w:t xml:space="preserve"> </w:t>
      </w:r>
      <w:r w:rsidR="00B27DB5">
        <w:rPr>
          <w:bCs/>
          <w:lang w:val="en-US"/>
        </w:rPr>
        <w:t xml:space="preserve">in the sub-sections </w:t>
      </w:r>
      <w:r w:rsidR="00820CFE">
        <w:rPr>
          <w:bCs/>
          <w:lang w:val="en-US"/>
        </w:rPr>
        <w:t>(</w:t>
      </w:r>
      <w:r w:rsidR="00B27DB5">
        <w:rPr>
          <w:bCs/>
          <w:lang w:val="en-US"/>
        </w:rPr>
        <w:t>av. 43.75%</w:t>
      </w:r>
      <w:r w:rsidR="00820CFE">
        <w:rPr>
          <w:bCs/>
          <w:lang w:val="en-US"/>
        </w:rPr>
        <w:t>)</w:t>
      </w:r>
      <w:r w:rsidR="00B27DB5">
        <w:rPr>
          <w:bCs/>
          <w:lang w:val="en-US"/>
        </w:rPr>
        <w:t xml:space="preserve"> and overall</w:t>
      </w:r>
      <w:r w:rsidR="009859A2">
        <w:rPr>
          <w:bCs/>
          <w:lang w:val="en-US"/>
        </w:rPr>
        <w:t xml:space="preserve">. </w:t>
      </w:r>
      <w:r w:rsidR="000C2F3E">
        <w:rPr>
          <w:bCs/>
          <w:lang w:val="en-US"/>
        </w:rPr>
        <w:t>Cluster 3 contained 20</w:t>
      </w:r>
      <w:r w:rsidR="008D1238">
        <w:rPr>
          <w:bCs/>
          <w:lang w:val="en-US"/>
        </w:rPr>
        <w:t xml:space="preserve"> </w:t>
      </w:r>
      <w:r w:rsidR="00C96551" w:rsidRPr="00C96551">
        <w:rPr>
          <w:bCs/>
          <w:lang w:val="en-US"/>
        </w:rPr>
        <w:t xml:space="preserve">paddocks and it </w:t>
      </w:r>
      <w:r w:rsidR="008D0C13">
        <w:rPr>
          <w:bCs/>
          <w:lang w:val="en-US"/>
        </w:rPr>
        <w:t xml:space="preserve">generally </w:t>
      </w:r>
      <w:r w:rsidR="00B27DB5">
        <w:rPr>
          <w:bCs/>
          <w:lang w:val="en-US"/>
        </w:rPr>
        <w:t xml:space="preserve">fell </w:t>
      </w:r>
      <w:r w:rsidR="008D0C13">
        <w:rPr>
          <w:bCs/>
          <w:lang w:val="en-US"/>
        </w:rPr>
        <w:t xml:space="preserve">between Cluster 1 and 2 for </w:t>
      </w:r>
      <w:r w:rsidR="00756B87">
        <w:rPr>
          <w:bCs/>
          <w:lang w:val="en-US"/>
        </w:rPr>
        <w:t>AW</w:t>
      </w:r>
      <w:r w:rsidR="00C96551" w:rsidRPr="00C96551">
        <w:rPr>
          <w:bCs/>
          <w:lang w:val="en-US"/>
        </w:rPr>
        <w:t xml:space="preserve">. The </w:t>
      </w:r>
      <w:r w:rsidR="00820CFE">
        <w:rPr>
          <w:bCs/>
          <w:lang w:val="en-US"/>
        </w:rPr>
        <w:t xml:space="preserve">farmers also had </w:t>
      </w:r>
      <w:r w:rsidR="00B27DB5">
        <w:rPr>
          <w:bCs/>
          <w:lang w:val="en-US"/>
        </w:rPr>
        <w:t xml:space="preserve">generally </w:t>
      </w:r>
      <w:r w:rsidR="00820CFE" w:rsidRPr="00C96551">
        <w:rPr>
          <w:bCs/>
          <w:lang w:val="en-US"/>
        </w:rPr>
        <w:t xml:space="preserve">higher average </w:t>
      </w:r>
      <w:proofErr w:type="spellStart"/>
      <w:r w:rsidR="00820CFE">
        <w:rPr>
          <w:bCs/>
          <w:lang w:val="en-US"/>
        </w:rPr>
        <w:t>QoL</w:t>
      </w:r>
      <w:proofErr w:type="spellEnd"/>
      <w:r w:rsidR="00C96551" w:rsidRPr="00C96551">
        <w:rPr>
          <w:bCs/>
          <w:lang w:val="en-US"/>
        </w:rPr>
        <w:t xml:space="preserve"> </w:t>
      </w:r>
      <w:r w:rsidR="00820CFE">
        <w:rPr>
          <w:bCs/>
          <w:lang w:val="en-US"/>
        </w:rPr>
        <w:t xml:space="preserve">scores </w:t>
      </w:r>
      <w:r w:rsidR="00B27DB5">
        <w:rPr>
          <w:bCs/>
          <w:lang w:val="en-US"/>
        </w:rPr>
        <w:t>than Cluster 2 but lower than Cluster 1</w:t>
      </w:r>
      <w:r w:rsidR="00C96551" w:rsidRPr="00C96551">
        <w:rPr>
          <w:bCs/>
          <w:lang w:val="en-US"/>
        </w:rPr>
        <w:t xml:space="preserve"> in every sub</w:t>
      </w:r>
      <w:r w:rsidR="005A4586">
        <w:rPr>
          <w:bCs/>
          <w:lang w:val="en-US"/>
        </w:rPr>
        <w:t>-</w:t>
      </w:r>
      <w:r w:rsidR="00C96551" w:rsidRPr="00C96551">
        <w:rPr>
          <w:bCs/>
          <w:lang w:val="en-US"/>
        </w:rPr>
        <w:t xml:space="preserve">section. </w:t>
      </w:r>
    </w:p>
    <w:p w14:paraId="3D5C9672" w14:textId="6B9E9AE3" w:rsidR="007B30E3" w:rsidRDefault="00C96551" w:rsidP="00C96551">
      <w:pPr>
        <w:jc w:val="both"/>
        <w:rPr>
          <w:bCs/>
          <w:lang w:val="en-US"/>
        </w:rPr>
      </w:pPr>
      <w:r w:rsidRPr="00C96551">
        <w:rPr>
          <w:bCs/>
          <w:lang w:val="en-US"/>
        </w:rPr>
        <w:t>The</w:t>
      </w:r>
      <w:r w:rsidR="008D1238">
        <w:rPr>
          <w:bCs/>
          <w:lang w:val="en-US"/>
        </w:rPr>
        <w:t xml:space="preserve">re were </w:t>
      </w:r>
      <w:r w:rsidRPr="00C96551">
        <w:rPr>
          <w:bCs/>
          <w:lang w:val="en-US"/>
        </w:rPr>
        <w:t>differences (P &lt; 0.05) between the three clusters in lameness, skin lesion count</w:t>
      </w:r>
      <w:r w:rsidR="00D62CA7">
        <w:rPr>
          <w:bCs/>
          <w:lang w:val="en-US"/>
        </w:rPr>
        <w:t>s</w:t>
      </w:r>
      <w:r w:rsidRPr="00C96551">
        <w:rPr>
          <w:bCs/>
          <w:lang w:val="en-US"/>
        </w:rPr>
        <w:t xml:space="preserve">, </w:t>
      </w:r>
      <w:proofErr w:type="gramStart"/>
      <w:r w:rsidR="008D1238">
        <w:rPr>
          <w:bCs/>
          <w:lang w:val="en-US"/>
        </w:rPr>
        <w:t>e</w:t>
      </w:r>
      <w:r w:rsidRPr="00C96551">
        <w:rPr>
          <w:bCs/>
          <w:lang w:val="en-US"/>
        </w:rPr>
        <w:t>ar</w:t>
      </w:r>
      <w:proofErr w:type="gramEnd"/>
      <w:r w:rsidRPr="00C96551">
        <w:rPr>
          <w:bCs/>
          <w:lang w:val="en-US"/>
        </w:rPr>
        <w:t xml:space="preserve"> lesion </w:t>
      </w:r>
      <w:r w:rsidR="00820CFE">
        <w:rPr>
          <w:bCs/>
          <w:lang w:val="en-US"/>
        </w:rPr>
        <w:t xml:space="preserve">and tear </w:t>
      </w:r>
      <w:r w:rsidRPr="00C96551">
        <w:rPr>
          <w:bCs/>
          <w:lang w:val="en-US"/>
        </w:rPr>
        <w:t>score</w:t>
      </w:r>
      <w:r w:rsidR="00820CFE">
        <w:rPr>
          <w:bCs/>
          <w:lang w:val="en-US"/>
        </w:rPr>
        <w:t>s</w:t>
      </w:r>
      <w:r w:rsidRPr="00C96551">
        <w:rPr>
          <w:bCs/>
          <w:lang w:val="en-US"/>
        </w:rPr>
        <w:t>. The soil shear strength differe</w:t>
      </w:r>
      <w:r w:rsidR="00820CFE">
        <w:rPr>
          <w:bCs/>
          <w:lang w:val="en-US"/>
        </w:rPr>
        <w:t xml:space="preserve">d </w:t>
      </w:r>
      <w:r w:rsidR="00D62CA7">
        <w:rPr>
          <w:bCs/>
          <w:lang w:val="en-US"/>
        </w:rPr>
        <w:t xml:space="preserve">across the three clusters </w:t>
      </w:r>
      <w:r w:rsidRPr="00C96551">
        <w:rPr>
          <w:bCs/>
          <w:lang w:val="en-US"/>
        </w:rPr>
        <w:t xml:space="preserve">in the </w:t>
      </w:r>
      <w:r w:rsidRPr="00C96551">
        <w:rPr>
          <w:bCs/>
          <w:lang w:val="en-US"/>
        </w:rPr>
        <w:lastRenderedPageBreak/>
        <w:t xml:space="preserve">foraging area </w:t>
      </w:r>
      <w:r w:rsidR="00B27DB5">
        <w:rPr>
          <w:bCs/>
          <w:lang w:val="en-US"/>
        </w:rPr>
        <w:t xml:space="preserve">and </w:t>
      </w:r>
      <w:r w:rsidRPr="00C96551">
        <w:rPr>
          <w:bCs/>
          <w:lang w:val="en-US"/>
        </w:rPr>
        <w:t xml:space="preserve">plant species diversity </w:t>
      </w:r>
      <w:r w:rsidR="00D62CA7">
        <w:rPr>
          <w:bCs/>
          <w:lang w:val="en-US"/>
        </w:rPr>
        <w:t xml:space="preserve">differed across the clusters </w:t>
      </w:r>
      <w:r w:rsidRPr="00C96551">
        <w:rPr>
          <w:bCs/>
          <w:lang w:val="en-US"/>
        </w:rPr>
        <w:t xml:space="preserve">in the defecation area. All of the </w:t>
      </w:r>
      <w:proofErr w:type="spellStart"/>
      <w:r w:rsidR="00820CFE">
        <w:rPr>
          <w:bCs/>
          <w:lang w:val="en-US"/>
        </w:rPr>
        <w:t>QoL</w:t>
      </w:r>
      <w:proofErr w:type="spellEnd"/>
      <w:r w:rsidR="00820CFE">
        <w:rPr>
          <w:bCs/>
          <w:lang w:val="en-US"/>
        </w:rPr>
        <w:t xml:space="preserve"> </w:t>
      </w:r>
      <w:r w:rsidRPr="00C96551">
        <w:rPr>
          <w:bCs/>
          <w:lang w:val="en-US"/>
        </w:rPr>
        <w:t xml:space="preserve">measurements </w:t>
      </w:r>
      <w:r w:rsidR="00D62CA7">
        <w:rPr>
          <w:bCs/>
          <w:lang w:val="en-US"/>
        </w:rPr>
        <w:t xml:space="preserve">differed </w:t>
      </w:r>
      <w:r w:rsidRPr="00C96551">
        <w:rPr>
          <w:bCs/>
          <w:lang w:val="en-US"/>
        </w:rPr>
        <w:t>significant</w:t>
      </w:r>
      <w:r w:rsidR="00D62CA7">
        <w:rPr>
          <w:bCs/>
          <w:lang w:val="en-US"/>
        </w:rPr>
        <w:t>ly</w:t>
      </w:r>
      <w:r w:rsidRPr="00C96551">
        <w:rPr>
          <w:bCs/>
          <w:lang w:val="en-US"/>
        </w:rPr>
        <w:t xml:space="preserve"> (P &lt; 0.001) across all the clusters</w:t>
      </w:r>
      <w:r w:rsidR="00820CFE">
        <w:rPr>
          <w:bCs/>
          <w:lang w:val="en-US"/>
        </w:rPr>
        <w:t>.</w:t>
      </w:r>
    </w:p>
    <w:p w14:paraId="6C89DD3F" w14:textId="3E6D1827" w:rsidR="000B59A4" w:rsidRPr="000B59A4" w:rsidRDefault="000B59A4" w:rsidP="000B59A4">
      <w:pPr>
        <w:jc w:val="both"/>
        <w:rPr>
          <w:b/>
        </w:rPr>
      </w:pPr>
      <w:r w:rsidRPr="000B59A4">
        <w:rPr>
          <w:b/>
        </w:rPr>
        <w:t xml:space="preserve">Table 1 – </w:t>
      </w:r>
      <w:r w:rsidR="00B84292">
        <w:rPr>
          <w:b/>
        </w:rPr>
        <w:t>Mean v</w:t>
      </w:r>
      <w:r w:rsidRPr="000B59A4">
        <w:rPr>
          <w:b/>
        </w:rPr>
        <w:t xml:space="preserve">alues </w:t>
      </w:r>
      <w:r>
        <w:rPr>
          <w:b/>
        </w:rPr>
        <w:t>for animal, environment and human Q</w:t>
      </w:r>
      <w:r w:rsidR="008D1238">
        <w:rPr>
          <w:b/>
        </w:rPr>
        <w:t>uality of Life (</w:t>
      </w:r>
      <w:proofErr w:type="spellStart"/>
      <w:r w:rsidR="008D1238">
        <w:rPr>
          <w:b/>
        </w:rPr>
        <w:t>Q</w:t>
      </w:r>
      <w:r>
        <w:rPr>
          <w:b/>
        </w:rPr>
        <w:t>oL</w:t>
      </w:r>
      <w:proofErr w:type="spellEnd"/>
      <w:r w:rsidR="008D1238">
        <w:rPr>
          <w:b/>
        </w:rPr>
        <w:t>)</w:t>
      </w:r>
      <w:r>
        <w:rPr>
          <w:b/>
        </w:rPr>
        <w:t xml:space="preserve"> </w:t>
      </w:r>
      <w:r w:rsidRPr="000B59A4">
        <w:rPr>
          <w:b/>
        </w:rPr>
        <w:t>measurements in</w:t>
      </w:r>
      <w:r>
        <w:rPr>
          <w:b/>
        </w:rPr>
        <w:t xml:space="preserve"> </w:t>
      </w:r>
      <w:r w:rsidR="00D62CA7">
        <w:rPr>
          <w:b/>
        </w:rPr>
        <w:t xml:space="preserve">three </w:t>
      </w:r>
      <w:r>
        <w:rPr>
          <w:b/>
        </w:rPr>
        <w:t>cluster</w:t>
      </w:r>
      <w:r w:rsidR="00D62CA7">
        <w:rPr>
          <w:b/>
        </w:rPr>
        <w:t>s</w:t>
      </w:r>
    </w:p>
    <w:tbl>
      <w:tblPr>
        <w:tblpPr w:leftFromText="180" w:rightFromText="180" w:vertAnchor="text" w:horzAnchor="margin" w:tblpXSpec="center" w:tblpY="207"/>
        <w:tblW w:w="7513" w:type="dxa"/>
        <w:tblLook w:val="04A0" w:firstRow="1" w:lastRow="0" w:firstColumn="1" w:lastColumn="0" w:noHBand="0" w:noVBand="1"/>
      </w:tblPr>
      <w:tblGrid>
        <w:gridCol w:w="3040"/>
        <w:gridCol w:w="1213"/>
        <w:gridCol w:w="1134"/>
        <w:gridCol w:w="1134"/>
        <w:gridCol w:w="992"/>
      </w:tblGrid>
      <w:tr w:rsidR="000B59A4" w:rsidRPr="000B59A4" w14:paraId="71D701EA" w14:textId="77777777" w:rsidTr="006468FE">
        <w:trPr>
          <w:trHeight w:val="300"/>
        </w:trPr>
        <w:tc>
          <w:tcPr>
            <w:tcW w:w="30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48A" w14:textId="77777777" w:rsidR="000B59A4" w:rsidRPr="000B59A4" w:rsidRDefault="000B59A4" w:rsidP="000B59A4">
            <w:pPr>
              <w:spacing w:line="240" w:lineRule="auto"/>
            </w:pPr>
            <w:r w:rsidRPr="000B59A4">
              <w:t> 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823E1B" w14:textId="654E22B5" w:rsidR="000B59A4" w:rsidRPr="000B59A4" w:rsidRDefault="00B84292" w:rsidP="000B59A4">
            <w:pPr>
              <w:spacing w:line="240" w:lineRule="auto"/>
            </w:pPr>
            <w:r>
              <w:t>Cluster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1D6" w14:textId="77777777" w:rsidR="000B59A4" w:rsidRPr="000B59A4" w:rsidRDefault="000B59A4" w:rsidP="000B59A4">
            <w:pPr>
              <w:spacing w:line="240" w:lineRule="auto"/>
            </w:pPr>
            <w:r w:rsidRPr="000B59A4">
              <w:t>P- value</w:t>
            </w:r>
          </w:p>
        </w:tc>
      </w:tr>
      <w:tr w:rsidR="000B59A4" w:rsidRPr="000B59A4" w14:paraId="40362190" w14:textId="77777777" w:rsidTr="006468FE">
        <w:trPr>
          <w:trHeight w:val="300"/>
        </w:trPr>
        <w:tc>
          <w:tcPr>
            <w:tcW w:w="30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717088" w14:textId="77777777" w:rsidR="000B59A4" w:rsidRPr="000B59A4" w:rsidRDefault="000B59A4" w:rsidP="000B59A4">
            <w:pPr>
              <w:spacing w:line="240" w:lineRule="auto"/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B6D" w14:textId="576C377F" w:rsidR="000B59A4" w:rsidRPr="000B59A4" w:rsidRDefault="00B27DB5" w:rsidP="005A4586">
            <w:pPr>
              <w:spacing w:line="240" w:lineRule="auto"/>
            </w:pPr>
            <w:r>
              <w:t xml:space="preserve">Low </w:t>
            </w:r>
            <w:r w:rsidR="005A4586">
              <w:t>AW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59F" w14:textId="516AD13D" w:rsidR="000B59A4" w:rsidRPr="000B59A4" w:rsidRDefault="00B27DB5" w:rsidP="00B27DB5">
            <w:pPr>
              <w:spacing w:line="240" w:lineRule="auto"/>
            </w:pPr>
            <w:r>
              <w:t xml:space="preserve">Low </w:t>
            </w:r>
            <w:proofErr w:type="spellStart"/>
            <w:r>
              <w:t>QoL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CDE" w14:textId="5D02CBC7" w:rsidR="000B59A4" w:rsidRPr="000B59A4" w:rsidRDefault="00B27DB5" w:rsidP="00B27DB5">
            <w:pPr>
              <w:spacing w:line="240" w:lineRule="auto"/>
            </w:pPr>
            <w:r>
              <w:t>Average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1F7772" w14:textId="77777777" w:rsidR="000B59A4" w:rsidRPr="000B59A4" w:rsidRDefault="000B59A4" w:rsidP="000B59A4">
            <w:pPr>
              <w:spacing w:line="240" w:lineRule="auto"/>
            </w:pPr>
          </w:p>
        </w:tc>
      </w:tr>
      <w:tr w:rsidR="000B59A4" w:rsidRPr="000B59A4" w14:paraId="1124BB98" w14:textId="77777777" w:rsidTr="006468FE">
        <w:trPr>
          <w:trHeight w:val="300"/>
        </w:trPr>
        <w:tc>
          <w:tcPr>
            <w:tcW w:w="751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6049" w14:textId="7B4CBEE8" w:rsidR="000B59A4" w:rsidRPr="000B59A4" w:rsidRDefault="000B59A4" w:rsidP="00756B87">
            <w:pPr>
              <w:spacing w:line="240" w:lineRule="auto"/>
              <w:rPr>
                <w:b/>
              </w:rPr>
            </w:pPr>
            <w:r w:rsidRPr="000B59A4">
              <w:rPr>
                <w:b/>
              </w:rPr>
              <w:t>Animal welfare</w:t>
            </w:r>
          </w:p>
        </w:tc>
      </w:tr>
      <w:tr w:rsidR="000B59A4" w:rsidRPr="000B59A4" w14:paraId="51AF117A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93D7F6C" w14:textId="68ECF39D" w:rsidR="000B59A4" w:rsidRPr="000B59A4" w:rsidRDefault="000B59A4" w:rsidP="00B27DB5">
            <w:pPr>
              <w:spacing w:line="240" w:lineRule="auto"/>
            </w:pPr>
            <w:r w:rsidRPr="000B59A4">
              <w:t>B</w:t>
            </w:r>
            <w:r w:rsidR="00B27DB5">
              <w:t>ody condition score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574E3DD5" w14:textId="77777777" w:rsidR="000B59A4" w:rsidRPr="000B59A4" w:rsidRDefault="000B59A4" w:rsidP="000B59A4">
            <w:pPr>
              <w:spacing w:line="240" w:lineRule="auto"/>
            </w:pPr>
            <w:r w:rsidRPr="000B59A4">
              <w:t>3.2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6E7EC" w14:textId="77777777" w:rsidR="000B59A4" w:rsidRPr="000B59A4" w:rsidRDefault="000B59A4" w:rsidP="000B59A4">
            <w:pPr>
              <w:spacing w:line="240" w:lineRule="auto"/>
            </w:pPr>
            <w:r w:rsidRPr="000B59A4">
              <w:t>3.16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C36E0" w14:textId="77777777" w:rsidR="000B59A4" w:rsidRPr="000B59A4" w:rsidRDefault="000B59A4" w:rsidP="000B59A4">
            <w:pPr>
              <w:spacing w:line="240" w:lineRule="auto"/>
            </w:pPr>
            <w:r w:rsidRPr="000B59A4">
              <w:t>3.3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2302D" w14:textId="77777777" w:rsidR="000B59A4" w:rsidRPr="000B59A4" w:rsidRDefault="000B59A4" w:rsidP="000B59A4">
            <w:pPr>
              <w:spacing w:line="240" w:lineRule="auto"/>
            </w:pPr>
            <w:r w:rsidRPr="000B59A4">
              <w:t>NS</w:t>
            </w:r>
          </w:p>
        </w:tc>
      </w:tr>
      <w:tr w:rsidR="000B59A4" w:rsidRPr="000B59A4" w14:paraId="7B8EE815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43E5B13" w14:textId="77777777" w:rsidR="000B59A4" w:rsidRPr="000B59A4" w:rsidRDefault="000B59A4" w:rsidP="000B59A4">
            <w:pPr>
              <w:spacing w:line="240" w:lineRule="auto"/>
            </w:pPr>
            <w:r w:rsidRPr="000B59A4">
              <w:t>Lameness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2738B501" w14:textId="77777777" w:rsidR="000B59A4" w:rsidRPr="000B59A4" w:rsidRDefault="000B59A4" w:rsidP="000B59A4">
            <w:pPr>
              <w:spacing w:line="240" w:lineRule="auto"/>
            </w:pPr>
            <w:r w:rsidRPr="000B59A4">
              <w:t>0.1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4BDAE" w14:textId="77777777" w:rsidR="000B59A4" w:rsidRPr="000B59A4" w:rsidRDefault="000B59A4" w:rsidP="000B59A4">
            <w:pPr>
              <w:spacing w:line="240" w:lineRule="auto"/>
            </w:pPr>
            <w:r w:rsidRPr="000B59A4"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D9FA5" w14:textId="77777777" w:rsidR="000B59A4" w:rsidRPr="000B59A4" w:rsidRDefault="000B59A4" w:rsidP="000B59A4">
            <w:pPr>
              <w:spacing w:line="240" w:lineRule="auto"/>
            </w:pPr>
            <w:r w:rsidRPr="000B59A4"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231D7" w14:textId="77777777" w:rsidR="000B59A4" w:rsidRPr="000B59A4" w:rsidRDefault="000B59A4" w:rsidP="000B59A4">
            <w:pPr>
              <w:spacing w:line="240" w:lineRule="auto"/>
            </w:pPr>
            <w:r w:rsidRPr="000B59A4">
              <w:t>&lt;0.01</w:t>
            </w:r>
          </w:p>
        </w:tc>
      </w:tr>
      <w:tr w:rsidR="000B59A4" w:rsidRPr="000B59A4" w14:paraId="0215D482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346A6BCF" w14:textId="72956AE1" w:rsidR="000B59A4" w:rsidRPr="000B59A4" w:rsidRDefault="000B59A4" w:rsidP="000B59A4">
            <w:pPr>
              <w:spacing w:line="240" w:lineRule="auto"/>
            </w:pPr>
            <w:proofErr w:type="spellStart"/>
            <w:r w:rsidRPr="000B59A4">
              <w:t>Ecto</w:t>
            </w:r>
            <w:proofErr w:type="spellEnd"/>
            <w:r w:rsidRPr="000B59A4">
              <w:t xml:space="preserve"> </w:t>
            </w:r>
            <w:r w:rsidR="00756B87">
              <w:t>–</w:t>
            </w:r>
            <w:r w:rsidRPr="000B59A4">
              <w:t xml:space="preserve"> parasites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71B6B98A" w14:textId="77777777" w:rsidR="000B59A4" w:rsidRPr="000B59A4" w:rsidRDefault="000B59A4" w:rsidP="000B59A4">
            <w:pPr>
              <w:spacing w:line="240" w:lineRule="auto"/>
            </w:pPr>
            <w:r w:rsidRPr="000B59A4">
              <w:t>0.2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8DF11" w14:textId="77777777" w:rsidR="000B59A4" w:rsidRPr="000B59A4" w:rsidRDefault="000B59A4" w:rsidP="000B59A4">
            <w:pPr>
              <w:spacing w:line="240" w:lineRule="auto"/>
            </w:pPr>
            <w:r w:rsidRPr="000B59A4">
              <w:t>0.18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25370" w14:textId="77777777" w:rsidR="000B59A4" w:rsidRPr="000B59A4" w:rsidRDefault="000B59A4" w:rsidP="000B59A4">
            <w:pPr>
              <w:spacing w:line="240" w:lineRule="auto"/>
            </w:pPr>
            <w:r w:rsidRPr="000B59A4">
              <w:t>0.13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7B55F" w14:textId="77777777" w:rsidR="000B59A4" w:rsidRPr="000B59A4" w:rsidRDefault="000B59A4" w:rsidP="000B59A4">
            <w:pPr>
              <w:spacing w:line="240" w:lineRule="auto"/>
            </w:pPr>
            <w:r w:rsidRPr="000B59A4">
              <w:t>NS</w:t>
            </w:r>
          </w:p>
        </w:tc>
      </w:tr>
      <w:tr w:rsidR="000B59A4" w:rsidRPr="000B59A4" w14:paraId="681FD86A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1A862E49" w14:textId="21F58075" w:rsidR="000B59A4" w:rsidRPr="000B59A4" w:rsidRDefault="000B59A4" w:rsidP="00756B87">
            <w:pPr>
              <w:spacing w:line="240" w:lineRule="auto"/>
            </w:pPr>
            <w:r w:rsidRPr="000B59A4">
              <w:t>Skin lesion</w:t>
            </w:r>
            <w:r w:rsidR="00756B87">
              <w:t xml:space="preserve"> count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28AA5CB2" w14:textId="77777777" w:rsidR="000B59A4" w:rsidRPr="000B59A4" w:rsidRDefault="000B59A4" w:rsidP="000B59A4">
            <w:pPr>
              <w:spacing w:line="240" w:lineRule="auto"/>
            </w:pPr>
            <w:r w:rsidRPr="000B59A4"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2EFA8" w14:textId="77777777" w:rsidR="000B59A4" w:rsidRPr="000B59A4" w:rsidRDefault="000B59A4" w:rsidP="000B59A4">
            <w:pPr>
              <w:spacing w:line="240" w:lineRule="auto"/>
            </w:pPr>
            <w:r w:rsidRPr="000B59A4">
              <w:t>0.3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0D573" w14:textId="77777777" w:rsidR="000B59A4" w:rsidRPr="000B59A4" w:rsidRDefault="000B59A4" w:rsidP="000B59A4">
            <w:pPr>
              <w:spacing w:line="240" w:lineRule="auto"/>
            </w:pPr>
            <w:r w:rsidRPr="000B59A4">
              <w:t>1.1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297951" w14:textId="77777777" w:rsidR="000B59A4" w:rsidRPr="000B59A4" w:rsidRDefault="000B59A4" w:rsidP="000B59A4">
            <w:pPr>
              <w:spacing w:line="240" w:lineRule="auto"/>
            </w:pPr>
            <w:r w:rsidRPr="000B59A4">
              <w:t>&lt;0.01</w:t>
            </w:r>
          </w:p>
        </w:tc>
      </w:tr>
      <w:tr w:rsidR="000B59A4" w:rsidRPr="000B59A4" w14:paraId="7A25FB98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8BE38FE" w14:textId="77777777" w:rsidR="000B59A4" w:rsidRPr="000B59A4" w:rsidRDefault="000B59A4" w:rsidP="000B59A4">
            <w:pPr>
              <w:spacing w:line="240" w:lineRule="auto"/>
            </w:pPr>
            <w:r w:rsidRPr="000B59A4">
              <w:t>Tail lesion score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249D43FD" w14:textId="77777777" w:rsidR="000B59A4" w:rsidRPr="000B59A4" w:rsidRDefault="000B59A4" w:rsidP="000B59A4">
            <w:pPr>
              <w:spacing w:line="240" w:lineRule="auto"/>
            </w:pPr>
            <w:r w:rsidRPr="000B59A4">
              <w:t>0.3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600F9" w14:textId="77777777" w:rsidR="000B59A4" w:rsidRPr="000B59A4" w:rsidRDefault="000B59A4" w:rsidP="000B59A4">
            <w:pPr>
              <w:spacing w:line="240" w:lineRule="auto"/>
            </w:pPr>
            <w:r w:rsidRPr="000B59A4"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035E9" w14:textId="77777777" w:rsidR="000B59A4" w:rsidRPr="000B59A4" w:rsidRDefault="000B59A4" w:rsidP="000B59A4">
            <w:pPr>
              <w:spacing w:line="240" w:lineRule="auto"/>
            </w:pPr>
            <w:r w:rsidRPr="000B59A4">
              <w:t>0.1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1033D" w14:textId="77777777" w:rsidR="000B59A4" w:rsidRPr="000B59A4" w:rsidRDefault="000B59A4" w:rsidP="000B59A4">
            <w:pPr>
              <w:spacing w:line="240" w:lineRule="auto"/>
            </w:pPr>
            <w:r w:rsidRPr="000B59A4">
              <w:t>NS</w:t>
            </w:r>
          </w:p>
        </w:tc>
      </w:tr>
      <w:tr w:rsidR="000B59A4" w:rsidRPr="000B59A4" w14:paraId="5A4E4C2F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1E31FE84" w14:textId="0D143C22" w:rsidR="000B59A4" w:rsidRPr="000B59A4" w:rsidRDefault="00756B87" w:rsidP="00756B87">
            <w:pPr>
              <w:spacing w:line="240" w:lineRule="auto"/>
            </w:pPr>
            <w:r>
              <w:t>E</w:t>
            </w:r>
            <w:r w:rsidR="000B59A4" w:rsidRPr="000B59A4">
              <w:t>ar lesion score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7EFDD103" w14:textId="77777777" w:rsidR="000B59A4" w:rsidRPr="000B59A4" w:rsidRDefault="000B59A4" w:rsidP="000B59A4">
            <w:pPr>
              <w:spacing w:line="240" w:lineRule="auto"/>
            </w:pPr>
            <w:r w:rsidRPr="000B59A4">
              <w:t>0.9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84FBB" w14:textId="77777777" w:rsidR="000B59A4" w:rsidRPr="000B59A4" w:rsidRDefault="000B59A4" w:rsidP="000B59A4">
            <w:pPr>
              <w:spacing w:line="240" w:lineRule="auto"/>
            </w:pPr>
            <w:r w:rsidRPr="000B59A4">
              <w:t>0.3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7ABA5" w14:textId="77777777" w:rsidR="000B59A4" w:rsidRPr="000B59A4" w:rsidRDefault="000B59A4" w:rsidP="000B59A4">
            <w:pPr>
              <w:spacing w:line="240" w:lineRule="auto"/>
            </w:pPr>
            <w:r w:rsidRPr="000B59A4">
              <w:t>0.5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F0DCAA" w14:textId="77777777" w:rsidR="000B59A4" w:rsidRPr="000B59A4" w:rsidRDefault="000B59A4" w:rsidP="000B59A4">
            <w:pPr>
              <w:spacing w:line="240" w:lineRule="auto"/>
            </w:pPr>
            <w:r w:rsidRPr="000B59A4">
              <w:t>&lt;0.01</w:t>
            </w:r>
          </w:p>
        </w:tc>
      </w:tr>
      <w:tr w:rsidR="000B59A4" w:rsidRPr="000B59A4" w14:paraId="4D418802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8CD8C88" w14:textId="709E04D4" w:rsidR="000B59A4" w:rsidRPr="000B59A4" w:rsidRDefault="00756B87" w:rsidP="00756B87">
            <w:pPr>
              <w:spacing w:line="240" w:lineRule="auto"/>
            </w:pPr>
            <w:r>
              <w:t>T</w:t>
            </w:r>
            <w:r w:rsidR="000B59A4" w:rsidRPr="000B59A4">
              <w:t>ear stain score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5094EEA2" w14:textId="77777777" w:rsidR="000B59A4" w:rsidRPr="000B59A4" w:rsidRDefault="000B59A4" w:rsidP="000B59A4">
            <w:pPr>
              <w:spacing w:line="240" w:lineRule="auto"/>
            </w:pPr>
            <w:r w:rsidRPr="000B59A4">
              <w:t>2.4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3A3A6" w14:textId="77777777" w:rsidR="000B59A4" w:rsidRPr="000B59A4" w:rsidRDefault="000B59A4" w:rsidP="000B59A4">
            <w:pPr>
              <w:spacing w:line="240" w:lineRule="auto"/>
            </w:pPr>
            <w:r w:rsidRPr="000B59A4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A1F99" w14:textId="77777777" w:rsidR="000B59A4" w:rsidRPr="000B59A4" w:rsidRDefault="000B59A4" w:rsidP="000B59A4">
            <w:pPr>
              <w:spacing w:line="240" w:lineRule="auto"/>
            </w:pPr>
            <w:r w:rsidRPr="000B59A4">
              <w:t>1.7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9B1A03" w14:textId="77777777" w:rsidR="000B59A4" w:rsidRPr="000B59A4" w:rsidRDefault="000B59A4" w:rsidP="000B59A4">
            <w:pPr>
              <w:spacing w:line="240" w:lineRule="auto"/>
            </w:pPr>
            <w:r w:rsidRPr="000B59A4">
              <w:t>0.039</w:t>
            </w:r>
          </w:p>
        </w:tc>
      </w:tr>
      <w:tr w:rsidR="000B59A4" w:rsidRPr="000B59A4" w14:paraId="119BDC46" w14:textId="77777777" w:rsidTr="006468FE">
        <w:trPr>
          <w:trHeight w:val="43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660B80ED" w14:textId="13CE128A" w:rsidR="000B59A4" w:rsidRPr="000B59A4" w:rsidRDefault="00756B87" w:rsidP="000B59A4">
            <w:pPr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625DF9E2" w14:textId="77777777" w:rsidR="000B59A4" w:rsidRPr="000B59A4" w:rsidRDefault="000B59A4" w:rsidP="000B59A4">
            <w:pPr>
              <w:spacing w:line="240" w:lineRule="auto"/>
              <w:rPr>
                <w:b/>
              </w:rPr>
            </w:pPr>
            <w:r w:rsidRPr="000B59A4">
              <w:rPr>
                <w:b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8419F" w14:textId="77777777" w:rsidR="000B59A4" w:rsidRPr="000B59A4" w:rsidRDefault="000B59A4" w:rsidP="000B59A4">
            <w:pPr>
              <w:spacing w:line="240" w:lineRule="auto"/>
              <w:rPr>
                <w:b/>
              </w:rPr>
            </w:pPr>
            <w:r w:rsidRPr="000B59A4">
              <w:rPr>
                <w:b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A4787" w14:textId="77777777" w:rsidR="000B59A4" w:rsidRPr="000B59A4" w:rsidRDefault="000B59A4" w:rsidP="000B59A4">
            <w:pPr>
              <w:spacing w:line="240" w:lineRule="auto"/>
              <w:rPr>
                <w:b/>
              </w:rPr>
            </w:pPr>
            <w:r w:rsidRPr="000B59A4">
              <w:rPr>
                <w:b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6ECEC" w14:textId="77777777" w:rsidR="000B59A4" w:rsidRPr="000B59A4" w:rsidRDefault="000B59A4" w:rsidP="000B59A4">
            <w:pPr>
              <w:spacing w:line="240" w:lineRule="auto"/>
              <w:rPr>
                <w:b/>
              </w:rPr>
            </w:pPr>
            <w:r w:rsidRPr="000B59A4">
              <w:rPr>
                <w:b/>
              </w:rPr>
              <w:t> </w:t>
            </w:r>
          </w:p>
        </w:tc>
      </w:tr>
      <w:tr w:rsidR="000B59A4" w:rsidRPr="000B59A4" w14:paraId="28F7666A" w14:textId="77777777" w:rsidTr="006468FE">
        <w:trPr>
          <w:trHeight w:val="407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35E284C" w14:textId="77777777" w:rsidR="000B59A4" w:rsidRPr="008D1238" w:rsidRDefault="000B59A4" w:rsidP="000B59A4">
            <w:pPr>
              <w:spacing w:line="240" w:lineRule="auto"/>
              <w:rPr>
                <w:u w:val="single"/>
              </w:rPr>
            </w:pPr>
            <w:r w:rsidRPr="008D1238">
              <w:rPr>
                <w:u w:val="single"/>
              </w:rPr>
              <w:t xml:space="preserve">Soil shear strength </w:t>
            </w:r>
          </w:p>
        </w:tc>
        <w:tc>
          <w:tcPr>
            <w:tcW w:w="4473" w:type="dxa"/>
            <w:gridSpan w:val="4"/>
            <w:shd w:val="clear" w:color="auto" w:fill="auto"/>
            <w:noWrap/>
            <w:hideMark/>
          </w:tcPr>
          <w:p w14:paraId="6E3CAE4B" w14:textId="77777777" w:rsidR="000B59A4" w:rsidRPr="000B59A4" w:rsidRDefault="000B59A4" w:rsidP="000B59A4">
            <w:pPr>
              <w:spacing w:line="240" w:lineRule="auto"/>
            </w:pPr>
          </w:p>
        </w:tc>
      </w:tr>
      <w:tr w:rsidR="000B59A4" w:rsidRPr="000B59A4" w14:paraId="78D56681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3620AB07" w14:textId="77777777" w:rsidR="000B59A4" w:rsidRPr="000B59A4" w:rsidRDefault="000B59A4" w:rsidP="000B59A4">
            <w:pPr>
              <w:spacing w:line="240" w:lineRule="auto"/>
            </w:pPr>
            <w:r w:rsidRPr="000B59A4">
              <w:t>Foraging area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1E4E0011" w14:textId="77777777" w:rsidR="000B59A4" w:rsidRPr="000B59A4" w:rsidRDefault="000B59A4" w:rsidP="000B59A4">
            <w:pPr>
              <w:spacing w:line="240" w:lineRule="auto"/>
            </w:pPr>
            <w:r w:rsidRPr="000B59A4">
              <w:t>-17.7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53B75" w14:textId="77777777" w:rsidR="000B59A4" w:rsidRPr="000B59A4" w:rsidRDefault="000B59A4" w:rsidP="000B59A4">
            <w:pPr>
              <w:spacing w:line="240" w:lineRule="auto"/>
            </w:pPr>
            <w:r w:rsidRPr="000B59A4">
              <w:t>-82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6C296" w14:textId="77777777" w:rsidR="000B59A4" w:rsidRPr="000B59A4" w:rsidRDefault="000B59A4" w:rsidP="000B59A4">
            <w:pPr>
              <w:spacing w:line="240" w:lineRule="auto"/>
            </w:pPr>
            <w:r w:rsidRPr="000B59A4">
              <w:t>-46.3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3A81D" w14:textId="77777777" w:rsidR="000B59A4" w:rsidRPr="000B59A4" w:rsidRDefault="000B59A4" w:rsidP="000B59A4">
            <w:pPr>
              <w:spacing w:line="240" w:lineRule="auto"/>
            </w:pPr>
            <w:r w:rsidRPr="000B59A4">
              <w:t>0.03</w:t>
            </w:r>
          </w:p>
        </w:tc>
      </w:tr>
      <w:tr w:rsidR="000B59A4" w:rsidRPr="000B59A4" w14:paraId="41558DD6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DCA5A60" w14:textId="77777777" w:rsidR="000B59A4" w:rsidRPr="000B59A4" w:rsidRDefault="000B59A4" w:rsidP="000B59A4">
            <w:pPr>
              <w:spacing w:line="240" w:lineRule="auto"/>
            </w:pPr>
            <w:r w:rsidRPr="000B59A4">
              <w:t>Defecation area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46F9E3ED" w14:textId="77777777" w:rsidR="000B59A4" w:rsidRPr="000B59A4" w:rsidRDefault="000B59A4" w:rsidP="000B59A4">
            <w:pPr>
              <w:spacing w:line="240" w:lineRule="auto"/>
            </w:pPr>
            <w:r w:rsidRPr="000B59A4">
              <w:t>29.6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9C6C6" w14:textId="77777777" w:rsidR="000B59A4" w:rsidRPr="000B59A4" w:rsidRDefault="000B59A4" w:rsidP="000B59A4">
            <w:pPr>
              <w:spacing w:line="240" w:lineRule="auto"/>
            </w:pPr>
            <w:r w:rsidRPr="000B59A4">
              <w:t>-37.2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B854D" w14:textId="77777777" w:rsidR="000B59A4" w:rsidRPr="000B59A4" w:rsidRDefault="000B59A4" w:rsidP="000B59A4">
            <w:pPr>
              <w:spacing w:line="240" w:lineRule="auto"/>
            </w:pPr>
            <w:r w:rsidRPr="000B59A4">
              <w:t>-11.6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5C00C" w14:textId="77777777" w:rsidR="000B59A4" w:rsidRPr="000B59A4" w:rsidRDefault="000B59A4" w:rsidP="000B59A4">
            <w:pPr>
              <w:spacing w:line="240" w:lineRule="auto"/>
            </w:pPr>
            <w:r w:rsidRPr="000B59A4">
              <w:t>NS</w:t>
            </w:r>
          </w:p>
        </w:tc>
      </w:tr>
      <w:tr w:rsidR="000B59A4" w:rsidRPr="000B59A4" w14:paraId="456ACDDC" w14:textId="77777777" w:rsidTr="006468FE">
        <w:trPr>
          <w:trHeight w:val="321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A2F1FCA" w14:textId="77777777" w:rsidR="000B59A4" w:rsidRPr="008D1238" w:rsidRDefault="000B59A4" w:rsidP="000B59A4">
            <w:pPr>
              <w:spacing w:line="240" w:lineRule="auto"/>
              <w:rPr>
                <w:u w:val="single"/>
              </w:rPr>
            </w:pPr>
            <w:r w:rsidRPr="008D1238">
              <w:rPr>
                <w:u w:val="single"/>
              </w:rPr>
              <w:t>Plant species diversity</w:t>
            </w:r>
          </w:p>
        </w:tc>
        <w:tc>
          <w:tcPr>
            <w:tcW w:w="4473" w:type="dxa"/>
            <w:gridSpan w:val="4"/>
            <w:shd w:val="clear" w:color="auto" w:fill="auto"/>
            <w:noWrap/>
            <w:hideMark/>
          </w:tcPr>
          <w:p w14:paraId="4CE34214" w14:textId="77777777" w:rsidR="000B59A4" w:rsidRPr="000B59A4" w:rsidRDefault="000B59A4" w:rsidP="000B59A4">
            <w:pPr>
              <w:spacing w:line="240" w:lineRule="auto"/>
            </w:pPr>
          </w:p>
        </w:tc>
      </w:tr>
      <w:tr w:rsidR="000B59A4" w:rsidRPr="000B59A4" w14:paraId="48222226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D684D89" w14:textId="77777777" w:rsidR="000B59A4" w:rsidRPr="000B59A4" w:rsidRDefault="000B59A4" w:rsidP="000B59A4">
            <w:pPr>
              <w:spacing w:line="240" w:lineRule="auto"/>
            </w:pPr>
            <w:r w:rsidRPr="000B59A4">
              <w:t>Foraging area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157347BB" w14:textId="77777777" w:rsidR="000B59A4" w:rsidRPr="000B59A4" w:rsidRDefault="000B59A4" w:rsidP="000B59A4">
            <w:pPr>
              <w:spacing w:line="240" w:lineRule="auto"/>
            </w:pPr>
            <w:r w:rsidRPr="000B59A4">
              <w:t>-0.3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384F0" w14:textId="77777777" w:rsidR="000B59A4" w:rsidRPr="000B59A4" w:rsidRDefault="000B59A4" w:rsidP="000B59A4">
            <w:pPr>
              <w:spacing w:line="240" w:lineRule="auto"/>
            </w:pPr>
            <w:r w:rsidRPr="000B59A4">
              <w:t>-2.86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FA0E9" w14:textId="77777777" w:rsidR="000B59A4" w:rsidRPr="000B59A4" w:rsidRDefault="000B59A4" w:rsidP="000B59A4">
            <w:pPr>
              <w:spacing w:line="240" w:lineRule="auto"/>
            </w:pPr>
            <w:r w:rsidRPr="000B59A4">
              <w:t>-2.3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CED8E" w14:textId="77777777" w:rsidR="000B59A4" w:rsidRPr="000B59A4" w:rsidRDefault="000B59A4" w:rsidP="000B59A4">
            <w:pPr>
              <w:spacing w:line="240" w:lineRule="auto"/>
            </w:pPr>
            <w:r w:rsidRPr="000B59A4">
              <w:t>0.05</w:t>
            </w:r>
          </w:p>
        </w:tc>
      </w:tr>
      <w:tr w:rsidR="000B59A4" w:rsidRPr="000B59A4" w14:paraId="77011AD8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6084E32B" w14:textId="77777777" w:rsidR="000B59A4" w:rsidRPr="000B59A4" w:rsidRDefault="000B59A4" w:rsidP="000B59A4">
            <w:pPr>
              <w:spacing w:line="240" w:lineRule="auto"/>
            </w:pPr>
            <w:r w:rsidRPr="000B59A4">
              <w:t>Defecation area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650BE0E1" w14:textId="77777777" w:rsidR="000B59A4" w:rsidRPr="000B59A4" w:rsidRDefault="000B59A4" w:rsidP="000B59A4">
            <w:pPr>
              <w:spacing w:line="240" w:lineRule="auto"/>
            </w:pPr>
            <w:r w:rsidRPr="000B59A4">
              <w:t>1.2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F0609" w14:textId="77777777" w:rsidR="000B59A4" w:rsidRPr="000B59A4" w:rsidRDefault="000B59A4" w:rsidP="000B59A4">
            <w:pPr>
              <w:spacing w:line="240" w:lineRule="auto"/>
            </w:pPr>
            <w:r w:rsidRPr="000B59A4">
              <w:t>-1.6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74922" w14:textId="77777777" w:rsidR="000B59A4" w:rsidRPr="000B59A4" w:rsidRDefault="000B59A4" w:rsidP="000B59A4">
            <w:pPr>
              <w:spacing w:line="240" w:lineRule="auto"/>
            </w:pPr>
            <w:r w:rsidRPr="000B59A4">
              <w:t>-1.1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D6A3B" w14:textId="77777777" w:rsidR="000B59A4" w:rsidRPr="000B59A4" w:rsidRDefault="000B59A4" w:rsidP="000B59A4">
            <w:pPr>
              <w:spacing w:line="240" w:lineRule="auto"/>
            </w:pPr>
            <w:r w:rsidRPr="000B59A4">
              <w:t>0.04</w:t>
            </w:r>
          </w:p>
        </w:tc>
      </w:tr>
      <w:tr w:rsidR="000B59A4" w:rsidRPr="000B59A4" w14:paraId="5A2FA47A" w14:textId="77777777" w:rsidTr="006468FE">
        <w:trPr>
          <w:trHeight w:val="423"/>
        </w:trPr>
        <w:tc>
          <w:tcPr>
            <w:tcW w:w="7513" w:type="dxa"/>
            <w:gridSpan w:val="5"/>
            <w:shd w:val="clear" w:color="auto" w:fill="auto"/>
            <w:noWrap/>
            <w:vAlign w:val="bottom"/>
            <w:hideMark/>
          </w:tcPr>
          <w:p w14:paraId="006FC044" w14:textId="0C56FD74" w:rsidR="000B59A4" w:rsidRPr="000B59A4" w:rsidRDefault="008D1238" w:rsidP="008D123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QoL</w:t>
            </w:r>
            <w:proofErr w:type="spellEnd"/>
          </w:p>
        </w:tc>
      </w:tr>
      <w:tr w:rsidR="000B59A4" w:rsidRPr="000B59A4" w14:paraId="7B18331B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70C5C9DD" w14:textId="2A4EDF2B" w:rsidR="000B59A4" w:rsidRPr="000B59A4" w:rsidRDefault="000B59A4" w:rsidP="008D1238">
            <w:pPr>
              <w:spacing w:line="240" w:lineRule="auto"/>
            </w:pPr>
            <w:r w:rsidRPr="000B59A4">
              <w:t>Physical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6EDE1E04" w14:textId="77777777" w:rsidR="000B59A4" w:rsidRPr="000B59A4" w:rsidRDefault="000B59A4" w:rsidP="000B59A4">
            <w:pPr>
              <w:spacing w:line="240" w:lineRule="auto"/>
            </w:pPr>
            <w:r w:rsidRPr="000B59A4">
              <w:t>87.3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26DAC" w14:textId="77777777" w:rsidR="000B59A4" w:rsidRPr="000B59A4" w:rsidRDefault="000B59A4" w:rsidP="000B59A4">
            <w:pPr>
              <w:spacing w:line="240" w:lineRule="auto"/>
            </w:pPr>
            <w:r w:rsidRPr="000B59A4">
              <w:t>45.8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640D1" w14:textId="77777777" w:rsidR="000B59A4" w:rsidRPr="000B59A4" w:rsidRDefault="000B59A4" w:rsidP="000B59A4">
            <w:pPr>
              <w:spacing w:line="240" w:lineRule="auto"/>
            </w:pPr>
            <w:r w:rsidRPr="000B59A4">
              <w:t>90.1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169E5" w14:textId="28C91FF6" w:rsidR="000B59A4" w:rsidRPr="000B59A4" w:rsidRDefault="000B59A4" w:rsidP="000B59A4">
            <w:pPr>
              <w:spacing w:line="240" w:lineRule="auto"/>
            </w:pPr>
            <w:r w:rsidRPr="000B59A4">
              <w:t>&lt;0.001</w:t>
            </w:r>
          </w:p>
        </w:tc>
      </w:tr>
      <w:tr w:rsidR="000B59A4" w:rsidRPr="000B59A4" w14:paraId="51179D68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6A6D867F" w14:textId="0C33D72C" w:rsidR="000B59A4" w:rsidRPr="000B59A4" w:rsidRDefault="000B59A4" w:rsidP="008D1238">
            <w:pPr>
              <w:spacing w:line="240" w:lineRule="auto"/>
            </w:pPr>
            <w:r w:rsidRPr="000B59A4">
              <w:t>Psychological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06CDA15D" w14:textId="77777777" w:rsidR="000B59A4" w:rsidRPr="000B59A4" w:rsidRDefault="000B59A4" w:rsidP="000B59A4">
            <w:pPr>
              <w:spacing w:line="240" w:lineRule="auto"/>
            </w:pPr>
            <w:r w:rsidRPr="000B59A4"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41D7E" w14:textId="77777777" w:rsidR="000B59A4" w:rsidRPr="000B59A4" w:rsidRDefault="000B59A4" w:rsidP="000B59A4">
            <w:pPr>
              <w:spacing w:line="240" w:lineRule="auto"/>
            </w:pPr>
            <w:r w:rsidRPr="000B59A4">
              <w:t>52.6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C20CC" w14:textId="77777777" w:rsidR="000B59A4" w:rsidRPr="000B59A4" w:rsidRDefault="000B59A4" w:rsidP="000B59A4">
            <w:pPr>
              <w:spacing w:line="240" w:lineRule="auto"/>
            </w:pPr>
            <w:r w:rsidRPr="000B59A4">
              <w:t>83.8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30A86" w14:textId="54E9CF78" w:rsidR="000B59A4" w:rsidRPr="000B59A4" w:rsidRDefault="000B59A4" w:rsidP="000B59A4">
            <w:pPr>
              <w:spacing w:line="240" w:lineRule="auto"/>
            </w:pPr>
            <w:r w:rsidRPr="000B59A4">
              <w:t>&lt;0.001</w:t>
            </w:r>
          </w:p>
        </w:tc>
      </w:tr>
      <w:tr w:rsidR="000B59A4" w:rsidRPr="000B59A4" w14:paraId="47FC92B5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11FE79D2" w14:textId="77777777" w:rsidR="000B59A4" w:rsidRPr="000B59A4" w:rsidRDefault="000B59A4" w:rsidP="000B59A4">
            <w:pPr>
              <w:spacing w:line="240" w:lineRule="auto"/>
            </w:pPr>
            <w:r w:rsidRPr="000B59A4">
              <w:t>Social relationships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6A943B5D" w14:textId="77777777" w:rsidR="000B59A4" w:rsidRPr="000B59A4" w:rsidRDefault="000B59A4" w:rsidP="000B59A4">
            <w:pPr>
              <w:spacing w:line="240" w:lineRule="auto"/>
            </w:pPr>
            <w:r w:rsidRPr="000B59A4">
              <w:t>95.8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642F7" w14:textId="77777777" w:rsidR="000B59A4" w:rsidRPr="000B59A4" w:rsidRDefault="000B59A4" w:rsidP="000B59A4">
            <w:pPr>
              <w:spacing w:line="240" w:lineRule="auto"/>
            </w:pPr>
            <w:r w:rsidRPr="000B59A4">
              <w:t>36.6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3D1F4" w14:textId="20C78214" w:rsidR="000B59A4" w:rsidRPr="000B59A4" w:rsidRDefault="000B59A4" w:rsidP="000B59A4">
            <w:pPr>
              <w:spacing w:line="240" w:lineRule="auto"/>
            </w:pPr>
            <w:r w:rsidRPr="000B59A4">
              <w:t>83</w:t>
            </w:r>
            <w:r w:rsidR="00B27DB5">
              <w:t>.0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A3768" w14:textId="77777777" w:rsidR="000B59A4" w:rsidRPr="000B59A4" w:rsidRDefault="000B59A4" w:rsidP="000B59A4">
            <w:pPr>
              <w:spacing w:line="240" w:lineRule="auto"/>
            </w:pPr>
            <w:r w:rsidRPr="000B59A4">
              <w:t>&lt;0.001</w:t>
            </w:r>
          </w:p>
        </w:tc>
      </w:tr>
      <w:tr w:rsidR="000B59A4" w:rsidRPr="000B59A4" w14:paraId="1B133469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3F95023F" w14:textId="6760D48D" w:rsidR="000B59A4" w:rsidRPr="000B59A4" w:rsidRDefault="000B59A4" w:rsidP="008D1238">
            <w:pPr>
              <w:spacing w:line="240" w:lineRule="auto"/>
            </w:pPr>
            <w:r w:rsidRPr="000B59A4">
              <w:t>Environmental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5283F238" w14:textId="77777777" w:rsidR="000B59A4" w:rsidRPr="000B59A4" w:rsidRDefault="000B59A4" w:rsidP="000B59A4">
            <w:pPr>
              <w:spacing w:line="240" w:lineRule="auto"/>
            </w:pPr>
            <w:r w:rsidRPr="000B59A4">
              <w:t>81.3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02530" w14:textId="0E8BDCD1" w:rsidR="000B59A4" w:rsidRPr="000B59A4" w:rsidRDefault="000B59A4" w:rsidP="000B59A4">
            <w:pPr>
              <w:spacing w:line="240" w:lineRule="auto"/>
            </w:pPr>
            <w:r w:rsidRPr="000B59A4">
              <w:t>40</w:t>
            </w:r>
            <w:r w:rsidR="00B27DB5">
              <w:t>.0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F69EB" w14:textId="52B7FDBD" w:rsidR="000B59A4" w:rsidRPr="000B59A4" w:rsidRDefault="000B59A4" w:rsidP="000B59A4">
            <w:pPr>
              <w:spacing w:line="240" w:lineRule="auto"/>
            </w:pPr>
            <w:r w:rsidRPr="000B59A4">
              <w:t>81</w:t>
            </w:r>
            <w:r w:rsidR="00B27DB5">
              <w:t>.0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F4127" w14:textId="46DBF363" w:rsidR="000B59A4" w:rsidRPr="000B59A4" w:rsidRDefault="000B59A4" w:rsidP="000B59A4">
            <w:pPr>
              <w:spacing w:line="240" w:lineRule="auto"/>
            </w:pPr>
            <w:r w:rsidRPr="000B59A4">
              <w:t>&lt;0.001</w:t>
            </w:r>
          </w:p>
        </w:tc>
      </w:tr>
      <w:tr w:rsidR="000B59A4" w:rsidRPr="000B59A4" w14:paraId="772AE89B" w14:textId="77777777" w:rsidTr="006468FE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ACE5F4F" w14:textId="642BD5A9" w:rsidR="000B59A4" w:rsidRPr="000B59A4" w:rsidRDefault="008D1238" w:rsidP="000B59A4">
            <w:pPr>
              <w:spacing w:line="240" w:lineRule="auto"/>
            </w:pPr>
            <w:r>
              <w:t>Overall health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14:paraId="6A2B3842" w14:textId="77777777" w:rsidR="000B59A4" w:rsidRPr="000B59A4" w:rsidRDefault="000B59A4" w:rsidP="000B59A4">
            <w:pPr>
              <w:spacing w:line="240" w:lineRule="auto"/>
            </w:pPr>
            <w:r w:rsidRPr="000B59A4">
              <w:t>4.6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A1EA9" w14:textId="77777777" w:rsidR="000B59A4" w:rsidRPr="000B59A4" w:rsidRDefault="000B59A4" w:rsidP="000B59A4">
            <w:pPr>
              <w:spacing w:line="240" w:lineRule="auto"/>
            </w:pPr>
            <w:r w:rsidRPr="000B59A4">
              <w:t>2.6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6F556" w14:textId="77777777" w:rsidR="000B59A4" w:rsidRPr="000B59A4" w:rsidRDefault="000B59A4" w:rsidP="000B59A4">
            <w:pPr>
              <w:spacing w:line="240" w:lineRule="auto"/>
            </w:pPr>
            <w:r w:rsidRPr="000B59A4">
              <w:t>4.6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ECA11" w14:textId="7F1500B1" w:rsidR="000B59A4" w:rsidRPr="000B59A4" w:rsidRDefault="000B59A4" w:rsidP="000B59A4">
            <w:pPr>
              <w:spacing w:line="240" w:lineRule="auto"/>
            </w:pPr>
            <w:r w:rsidRPr="000B59A4">
              <w:t>&lt;0.001</w:t>
            </w:r>
          </w:p>
        </w:tc>
      </w:tr>
      <w:tr w:rsidR="000B59A4" w:rsidRPr="000B59A4" w14:paraId="6747B101" w14:textId="77777777" w:rsidTr="006468FE">
        <w:trPr>
          <w:trHeight w:val="300"/>
        </w:trPr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B05" w14:textId="45D7D61F" w:rsidR="000B59A4" w:rsidRPr="000B59A4" w:rsidRDefault="000B59A4" w:rsidP="008D1238">
            <w:pPr>
              <w:spacing w:line="240" w:lineRule="auto"/>
            </w:pPr>
            <w:r w:rsidRPr="000B59A4">
              <w:t xml:space="preserve">Overall </w:t>
            </w:r>
            <w:proofErr w:type="spellStart"/>
            <w:r w:rsidRPr="000B59A4">
              <w:t>Q</w:t>
            </w:r>
            <w:r w:rsidR="008D1238">
              <w:t>oL</w:t>
            </w:r>
            <w:proofErr w:type="spellEnd"/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A45" w14:textId="77777777" w:rsidR="000B59A4" w:rsidRPr="000B59A4" w:rsidRDefault="000B59A4" w:rsidP="000B59A4">
            <w:pPr>
              <w:spacing w:line="240" w:lineRule="auto"/>
            </w:pPr>
            <w:r w:rsidRPr="000B59A4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F89" w14:textId="77777777" w:rsidR="000B59A4" w:rsidRPr="000B59A4" w:rsidRDefault="000B59A4" w:rsidP="000B59A4">
            <w:pPr>
              <w:spacing w:line="240" w:lineRule="auto"/>
            </w:pPr>
            <w:r w:rsidRPr="000B59A4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5C6" w14:textId="77777777" w:rsidR="000B59A4" w:rsidRPr="000B59A4" w:rsidRDefault="000B59A4" w:rsidP="000B59A4">
            <w:pPr>
              <w:spacing w:line="240" w:lineRule="auto"/>
            </w:pPr>
            <w:r w:rsidRPr="000B59A4">
              <w:t>4.5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BFF4" w14:textId="77777777" w:rsidR="000B59A4" w:rsidRPr="000B59A4" w:rsidRDefault="000B59A4" w:rsidP="000B59A4">
            <w:pPr>
              <w:spacing w:line="240" w:lineRule="auto"/>
            </w:pPr>
            <w:r w:rsidRPr="000B59A4">
              <w:t>&lt;0.01</w:t>
            </w:r>
          </w:p>
        </w:tc>
      </w:tr>
    </w:tbl>
    <w:p w14:paraId="44D4A8D6" w14:textId="77777777" w:rsidR="000B59A4" w:rsidRPr="00C96551" w:rsidRDefault="000B59A4" w:rsidP="00C96551">
      <w:pPr>
        <w:jc w:val="both"/>
        <w:rPr>
          <w:bCs/>
          <w:lang w:val="en-US"/>
        </w:rPr>
      </w:pPr>
    </w:p>
    <w:p w14:paraId="27FA8F5E" w14:textId="77777777" w:rsidR="000B59A4" w:rsidRDefault="000B59A4">
      <w:pPr>
        <w:rPr>
          <w:b/>
          <w:bCs/>
          <w:lang w:val="en-US"/>
        </w:rPr>
      </w:pPr>
    </w:p>
    <w:p w14:paraId="68E461EC" w14:textId="56FA17D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1A3C7EB" w14:textId="7648738F" w:rsidR="007B30E3" w:rsidRPr="008D1238" w:rsidRDefault="00132A10" w:rsidP="008D1238">
      <w:pPr>
        <w:jc w:val="both"/>
        <w:rPr>
          <w:bCs/>
          <w:lang w:val="en-US"/>
        </w:rPr>
      </w:pPr>
      <w:r>
        <w:rPr>
          <w:bCs/>
          <w:lang w:val="en-US"/>
        </w:rPr>
        <w:t>U</w:t>
      </w:r>
      <w:r w:rsidRPr="00132A10">
        <w:rPr>
          <w:bCs/>
          <w:lang w:val="en-US"/>
        </w:rPr>
        <w:t xml:space="preserve">sing </w:t>
      </w:r>
      <w:r w:rsidR="005A4586">
        <w:rPr>
          <w:bCs/>
          <w:lang w:val="en-US"/>
        </w:rPr>
        <w:t xml:space="preserve">One Welfare </w:t>
      </w:r>
      <w:r w:rsidRPr="00132A10">
        <w:rPr>
          <w:bCs/>
          <w:lang w:val="en-US"/>
        </w:rPr>
        <w:t xml:space="preserve">measures </w:t>
      </w:r>
      <w:r w:rsidR="005A4586">
        <w:rPr>
          <w:bCs/>
          <w:lang w:val="en-US"/>
        </w:rPr>
        <w:t>(</w:t>
      </w:r>
      <w:r w:rsidRPr="00132A10">
        <w:rPr>
          <w:bCs/>
          <w:lang w:val="en-US"/>
        </w:rPr>
        <w:t>animal, environmental and human</w:t>
      </w:r>
      <w:r w:rsidR="005A4586">
        <w:rPr>
          <w:bCs/>
          <w:lang w:val="en-US"/>
        </w:rPr>
        <w:t>)</w:t>
      </w:r>
      <w:r w:rsidRPr="00132A10">
        <w:rPr>
          <w:bCs/>
          <w:lang w:val="en-US"/>
        </w:rPr>
        <w:t xml:space="preserve"> within one analysis, we identified three clusters of paddock ‘type’. When comparing clusters, most differences were between the </w:t>
      </w:r>
      <w:r w:rsidR="00756B87">
        <w:rPr>
          <w:bCs/>
          <w:lang w:val="en-US"/>
        </w:rPr>
        <w:t>AW</w:t>
      </w:r>
      <w:r w:rsidRPr="00132A10">
        <w:rPr>
          <w:bCs/>
          <w:lang w:val="en-US"/>
        </w:rPr>
        <w:t xml:space="preserve"> and human </w:t>
      </w:r>
      <w:proofErr w:type="spellStart"/>
      <w:r w:rsidRPr="00132A10">
        <w:rPr>
          <w:bCs/>
          <w:lang w:val="en-US"/>
        </w:rPr>
        <w:t>QoL</w:t>
      </w:r>
      <w:proofErr w:type="spellEnd"/>
      <w:r w:rsidR="00756B87" w:rsidRPr="00756B87">
        <w:rPr>
          <w:bCs/>
          <w:lang w:val="en-US"/>
        </w:rPr>
        <w:t xml:space="preserve"> </w:t>
      </w:r>
      <w:r w:rsidR="00756B87" w:rsidRPr="00132A10">
        <w:rPr>
          <w:bCs/>
          <w:lang w:val="en-US"/>
        </w:rPr>
        <w:t>measures</w:t>
      </w:r>
      <w:r w:rsidRPr="00132A10">
        <w:rPr>
          <w:bCs/>
          <w:lang w:val="en-US"/>
        </w:rPr>
        <w:t xml:space="preserve">. </w:t>
      </w:r>
      <w:r w:rsidR="008D1238" w:rsidRPr="008D1238">
        <w:rPr>
          <w:bCs/>
          <w:lang w:val="en-US"/>
        </w:rPr>
        <w:t xml:space="preserve">The environmental parameters were less specific, </w:t>
      </w:r>
      <w:r w:rsidR="008D1238">
        <w:rPr>
          <w:bCs/>
          <w:lang w:val="en-US"/>
        </w:rPr>
        <w:t xml:space="preserve">possibly because there </w:t>
      </w:r>
      <w:r w:rsidR="008D1238" w:rsidRPr="008D1238">
        <w:rPr>
          <w:bCs/>
          <w:lang w:val="en-US"/>
        </w:rPr>
        <w:t xml:space="preserve">were only two measurements. </w:t>
      </w:r>
      <w:r w:rsidR="009859A2">
        <w:rPr>
          <w:bCs/>
          <w:lang w:val="en-US"/>
        </w:rPr>
        <w:t xml:space="preserve">Poor welfare of sows in Cluster 1 could be related to their age compared to the fattening pigs but may also reflect </w:t>
      </w:r>
      <w:r w:rsidR="00B84292">
        <w:rPr>
          <w:bCs/>
          <w:lang w:val="en-US"/>
        </w:rPr>
        <w:t>poorer levels of care</w:t>
      </w:r>
      <w:r w:rsidR="00B84292">
        <w:rPr>
          <w:bCs/>
          <w:lang w:val="en-US"/>
        </w:rPr>
        <w:t xml:space="preserve"> directed towards </w:t>
      </w:r>
      <w:r w:rsidR="009859A2">
        <w:rPr>
          <w:bCs/>
          <w:lang w:val="en-US"/>
        </w:rPr>
        <w:t xml:space="preserve">lower value animals. The lower </w:t>
      </w:r>
      <w:proofErr w:type="spellStart"/>
      <w:r w:rsidR="009859A2">
        <w:rPr>
          <w:bCs/>
          <w:lang w:val="en-US"/>
        </w:rPr>
        <w:t>QoL</w:t>
      </w:r>
      <w:proofErr w:type="spellEnd"/>
      <w:r w:rsidR="009859A2">
        <w:rPr>
          <w:bCs/>
          <w:lang w:val="en-US"/>
        </w:rPr>
        <w:t xml:space="preserve"> scores in </w:t>
      </w:r>
      <w:r w:rsidR="008D1238" w:rsidRPr="008D1238">
        <w:rPr>
          <w:bCs/>
          <w:lang w:val="en-US"/>
        </w:rPr>
        <w:t>Cluster</w:t>
      </w:r>
      <w:r w:rsidR="009859A2">
        <w:rPr>
          <w:bCs/>
          <w:lang w:val="en-US"/>
        </w:rPr>
        <w:t xml:space="preserve"> </w:t>
      </w:r>
      <w:r w:rsidR="008D1238" w:rsidRPr="008D1238">
        <w:rPr>
          <w:bCs/>
          <w:lang w:val="en-US"/>
        </w:rPr>
        <w:t xml:space="preserve">2 </w:t>
      </w:r>
      <w:r w:rsidR="009859A2">
        <w:rPr>
          <w:bCs/>
          <w:lang w:val="en-US"/>
        </w:rPr>
        <w:t xml:space="preserve">could be because these </w:t>
      </w:r>
      <w:r w:rsidR="00756B87">
        <w:rPr>
          <w:bCs/>
          <w:lang w:val="en-US"/>
        </w:rPr>
        <w:t xml:space="preserve">three </w:t>
      </w:r>
      <w:r w:rsidR="009859A2">
        <w:rPr>
          <w:bCs/>
          <w:lang w:val="en-US"/>
        </w:rPr>
        <w:t xml:space="preserve">farmers </w:t>
      </w:r>
      <w:r w:rsidR="008D1238" w:rsidRPr="008D1238">
        <w:rPr>
          <w:bCs/>
          <w:lang w:val="en-US"/>
        </w:rPr>
        <w:t xml:space="preserve">were certified organic </w:t>
      </w:r>
      <w:r w:rsidR="009859A2">
        <w:rPr>
          <w:bCs/>
          <w:lang w:val="en-US"/>
        </w:rPr>
        <w:t xml:space="preserve">or </w:t>
      </w:r>
      <w:r w:rsidR="008D1238" w:rsidRPr="008D1238">
        <w:rPr>
          <w:bCs/>
          <w:lang w:val="en-US"/>
        </w:rPr>
        <w:t xml:space="preserve">providing GMO free feed </w:t>
      </w:r>
      <w:r>
        <w:rPr>
          <w:bCs/>
          <w:lang w:val="en-US"/>
        </w:rPr>
        <w:t xml:space="preserve">which is difficult to source </w:t>
      </w:r>
      <w:r w:rsidR="009859A2">
        <w:rPr>
          <w:bCs/>
          <w:lang w:val="en-US"/>
        </w:rPr>
        <w:t xml:space="preserve">and </w:t>
      </w:r>
      <w:r>
        <w:rPr>
          <w:bCs/>
          <w:lang w:val="en-US"/>
        </w:rPr>
        <w:t xml:space="preserve">expensive </w:t>
      </w:r>
      <w:r w:rsidR="009859A2">
        <w:rPr>
          <w:bCs/>
          <w:lang w:val="en-US"/>
        </w:rPr>
        <w:t>(</w:t>
      </w:r>
      <w:proofErr w:type="spellStart"/>
      <w:r w:rsidR="008D1238" w:rsidRPr="008D1238">
        <w:rPr>
          <w:bCs/>
          <w:lang w:val="en-US"/>
        </w:rPr>
        <w:t>Brajon</w:t>
      </w:r>
      <w:proofErr w:type="spellEnd"/>
      <w:r w:rsidR="008D1238" w:rsidRPr="008D1238">
        <w:rPr>
          <w:bCs/>
          <w:lang w:val="en-US"/>
        </w:rPr>
        <w:t xml:space="preserve"> et al.</w:t>
      </w:r>
      <w:r w:rsidR="009859A2">
        <w:rPr>
          <w:bCs/>
          <w:lang w:val="en-US"/>
        </w:rPr>
        <w:t>,</w:t>
      </w:r>
      <w:r w:rsidR="008D1238" w:rsidRPr="008D1238">
        <w:rPr>
          <w:bCs/>
          <w:lang w:val="en-US"/>
        </w:rPr>
        <w:t xml:space="preserve"> 2024)</w:t>
      </w:r>
      <w:r w:rsidR="009859A2">
        <w:rPr>
          <w:bCs/>
          <w:lang w:val="en-US"/>
        </w:rPr>
        <w:t>.</w:t>
      </w:r>
      <w:r w:rsidR="008D1238" w:rsidRPr="008D1238">
        <w:rPr>
          <w:bCs/>
          <w:lang w:val="en-US"/>
        </w:rPr>
        <w:t xml:space="preserve"> </w:t>
      </w:r>
      <w:r w:rsidR="009859A2">
        <w:rPr>
          <w:bCs/>
          <w:lang w:val="en-US"/>
        </w:rPr>
        <w:t xml:space="preserve">The generally better </w:t>
      </w:r>
      <w:r w:rsidR="00756B87">
        <w:rPr>
          <w:bCs/>
          <w:lang w:val="en-US"/>
        </w:rPr>
        <w:t>AW</w:t>
      </w:r>
      <w:r w:rsidR="009859A2">
        <w:rPr>
          <w:bCs/>
          <w:lang w:val="en-US"/>
        </w:rPr>
        <w:t xml:space="preserve"> in this cluster </w:t>
      </w:r>
      <w:r w:rsidR="009859A2">
        <w:rPr>
          <w:bCs/>
          <w:lang w:val="en-US"/>
        </w:rPr>
        <w:lastRenderedPageBreak/>
        <w:t xml:space="preserve">could reflect stricter standards for organic farms. In general this exercise reflects the value of </w:t>
      </w:r>
      <w:r w:rsidR="005358B6">
        <w:rPr>
          <w:bCs/>
          <w:lang w:val="en-US"/>
        </w:rPr>
        <w:t xml:space="preserve">a </w:t>
      </w:r>
      <w:r w:rsidR="00756B87">
        <w:rPr>
          <w:bCs/>
          <w:lang w:val="en-US"/>
        </w:rPr>
        <w:t xml:space="preserve">more holistic </w:t>
      </w:r>
      <w:r w:rsidR="005358B6">
        <w:rPr>
          <w:bCs/>
          <w:lang w:val="en-US"/>
        </w:rPr>
        <w:t>approach to the evaluation of farming systems.</w:t>
      </w:r>
    </w:p>
    <w:p w14:paraId="0ADB320F" w14:textId="61DE7AF0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1C60E67D" w14:textId="52B96CB6" w:rsidR="000B59A4" w:rsidRPr="000B59A4" w:rsidRDefault="00E56BAE" w:rsidP="000B59A4">
      <w:pPr>
        <w:jc w:val="both"/>
        <w:rPr>
          <w:rFonts w:ascii="Calibri" w:eastAsia="Calibri" w:hAnsi="Calibri" w:cs="Times New Roman"/>
          <w:kern w:val="0"/>
          <w:lang w:val="en-IE"/>
          <w14:ligatures w14:val="none"/>
        </w:rPr>
      </w:pPr>
      <w:r>
        <w:rPr>
          <w:rFonts w:ascii="Calibri" w:eastAsia="Calibri" w:hAnsi="Calibri" w:cs="Times New Roman"/>
          <w:kern w:val="0"/>
          <w:lang w:val="en-IE"/>
          <w14:ligatures w14:val="none"/>
        </w:rPr>
        <w:t>Boyle, L.A. &amp;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 Stevenson, P. (2024). British Society of Animal Science, Belfast, Northern Ireland, 9-11</w:t>
      </w:r>
      <w:r w:rsidR="000B59A4" w:rsidRPr="000B59A4">
        <w:rPr>
          <w:rFonts w:ascii="Calibri" w:eastAsia="Calibri" w:hAnsi="Calibri" w:cs="Times New Roman"/>
          <w:kern w:val="0"/>
          <w:vertAlign w:val="superscript"/>
          <w:lang w:val="en-IE"/>
          <w14:ligatures w14:val="none"/>
        </w:rPr>
        <w:t>th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 April 2024.</w:t>
      </w:r>
    </w:p>
    <w:p w14:paraId="5792321A" w14:textId="041EF73B" w:rsidR="000C2F3E" w:rsidRPr="000C2F3E" w:rsidRDefault="000C2F3E" w:rsidP="000B59A4">
      <w:pPr>
        <w:jc w:val="both"/>
        <w:rPr>
          <w:rFonts w:ascii="Calibri" w:hAnsi="Calibri" w:cs="Calibri"/>
          <w:shd w:val="clear" w:color="auto" w:fill="FFFFFF"/>
        </w:rPr>
      </w:pPr>
      <w:proofErr w:type="spellStart"/>
      <w:r w:rsidRPr="000C2F3E">
        <w:rPr>
          <w:rFonts w:ascii="Calibri" w:hAnsi="Calibri" w:cs="Calibri"/>
          <w:shd w:val="clear" w:color="auto" w:fill="FFFFFF"/>
        </w:rPr>
        <w:t>Brajon</w:t>
      </w:r>
      <w:proofErr w:type="spellEnd"/>
      <w:r w:rsidRPr="000C2F3E">
        <w:rPr>
          <w:rFonts w:ascii="Calibri" w:hAnsi="Calibri" w:cs="Calibri"/>
          <w:shd w:val="clear" w:color="auto" w:fill="FFFFFF"/>
        </w:rPr>
        <w:t xml:space="preserve">, S., Tallet, C., Merlot, E., </w:t>
      </w:r>
      <w:r w:rsidR="00E56BAE">
        <w:rPr>
          <w:rFonts w:ascii="Calibri" w:hAnsi="Calibri" w:cs="Calibri"/>
          <w:shd w:val="clear" w:color="auto" w:fill="FFFFFF"/>
        </w:rPr>
        <w:t>&amp;</w:t>
      </w:r>
      <w:r w:rsidRPr="000C2F3E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0C2F3E">
        <w:rPr>
          <w:rFonts w:ascii="Calibri" w:hAnsi="Calibri" w:cs="Calibri"/>
          <w:shd w:val="clear" w:color="auto" w:fill="FFFFFF"/>
        </w:rPr>
        <w:t>Lollivier</w:t>
      </w:r>
      <w:proofErr w:type="spellEnd"/>
      <w:r w:rsidRPr="000C2F3E">
        <w:rPr>
          <w:rFonts w:ascii="Calibri" w:hAnsi="Calibri" w:cs="Calibri"/>
          <w:shd w:val="clear" w:color="auto" w:fill="FFFFFF"/>
        </w:rPr>
        <w:t>, V. (2024). </w:t>
      </w:r>
      <w:r w:rsidR="00B84292" w:rsidRPr="00B84292">
        <w:rPr>
          <w:rFonts w:ascii="Calibri" w:hAnsi="Calibri" w:cs="Calibri"/>
          <w:shd w:val="clear" w:color="auto" w:fill="FFFFFF"/>
        </w:rPr>
        <w:t>An</w:t>
      </w:r>
      <w:r w:rsidRPr="00B84292">
        <w:rPr>
          <w:rFonts w:ascii="Calibri" w:hAnsi="Calibri" w:cs="Calibri"/>
          <w:shd w:val="clear" w:color="auto" w:fill="FFFFFF"/>
        </w:rPr>
        <w:t>imal</w:t>
      </w:r>
      <w:r w:rsidR="00B84292">
        <w:rPr>
          <w:rFonts w:ascii="Calibri" w:hAnsi="Calibri" w:cs="Calibri"/>
          <w:shd w:val="clear" w:color="auto" w:fill="FFFFFF"/>
        </w:rPr>
        <w:t xml:space="preserve"> </w:t>
      </w:r>
      <w:r w:rsidRPr="00B84292">
        <w:rPr>
          <w:rFonts w:ascii="Calibri" w:hAnsi="Calibri" w:cs="Calibri"/>
          <w:shd w:val="clear" w:color="auto" w:fill="FFFFFF"/>
        </w:rPr>
        <w:t>18</w:t>
      </w:r>
      <w:r w:rsidR="00E56BAE">
        <w:rPr>
          <w:rFonts w:ascii="Calibri" w:hAnsi="Calibri" w:cs="Calibri"/>
          <w:shd w:val="clear" w:color="auto" w:fill="FFFFFF"/>
        </w:rPr>
        <w:t>(5),</w:t>
      </w:r>
      <w:r w:rsidRPr="000C2F3E">
        <w:rPr>
          <w:rFonts w:ascii="Calibri" w:hAnsi="Calibri" w:cs="Calibri"/>
          <w:shd w:val="clear" w:color="auto" w:fill="FFFFFF"/>
        </w:rPr>
        <w:t xml:space="preserve"> 101138.</w:t>
      </w:r>
    </w:p>
    <w:p w14:paraId="4C770B46" w14:textId="0FABAD13" w:rsidR="000B59A4" w:rsidRDefault="000C2F3E" w:rsidP="000B59A4">
      <w:pPr>
        <w:jc w:val="both"/>
        <w:rPr>
          <w:rFonts w:ascii="Calibri" w:eastAsia="Calibri" w:hAnsi="Calibri" w:cs="Times New Roman"/>
          <w:kern w:val="0"/>
          <w:lang w:val="en-IE"/>
          <w14:ligatures w14:val="none"/>
        </w:rPr>
      </w:pPr>
      <w:r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 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>Pinillos, R.G</w:t>
      </w:r>
      <w:r w:rsidR="00132A10">
        <w:rPr>
          <w:rFonts w:ascii="Calibri" w:eastAsia="Calibri" w:hAnsi="Calibri" w:cs="Times New Roman"/>
          <w:kern w:val="0"/>
          <w:lang w:val="en-IE"/>
          <w14:ligatures w14:val="none"/>
        </w:rPr>
        <w:t>.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, </w:t>
      </w:r>
      <w:r w:rsidR="00132A10">
        <w:rPr>
          <w:rFonts w:ascii="Calibri" w:eastAsia="Calibri" w:hAnsi="Calibri" w:cs="Times New Roman"/>
          <w:kern w:val="0"/>
          <w:lang w:val="en-IE"/>
          <w14:ligatures w14:val="none"/>
        </w:rPr>
        <w:t>M.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>C. Appleby, X</w:t>
      </w:r>
      <w:r w:rsidR="00132A10">
        <w:rPr>
          <w:rFonts w:ascii="Calibri" w:eastAsia="Calibri" w:hAnsi="Calibri" w:cs="Times New Roman"/>
          <w:kern w:val="0"/>
          <w:lang w:val="en-IE"/>
          <w14:ligatures w14:val="none"/>
        </w:rPr>
        <w:t>.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 Manteca, F</w:t>
      </w:r>
      <w:r w:rsidR="00132A10">
        <w:rPr>
          <w:rFonts w:ascii="Calibri" w:eastAsia="Calibri" w:hAnsi="Calibri" w:cs="Times New Roman"/>
          <w:kern w:val="0"/>
          <w:lang w:val="en-IE"/>
          <w14:ligatures w14:val="none"/>
        </w:rPr>
        <w:t xml:space="preserve">. 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>Scott‐Park, C</w:t>
      </w:r>
      <w:r w:rsidR="00132A10">
        <w:rPr>
          <w:rFonts w:ascii="Calibri" w:eastAsia="Calibri" w:hAnsi="Calibri" w:cs="Times New Roman"/>
          <w:kern w:val="0"/>
          <w:lang w:val="en-IE"/>
          <w14:ligatures w14:val="none"/>
        </w:rPr>
        <w:t xml:space="preserve">. 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Smith </w:t>
      </w:r>
      <w:r w:rsidR="00E56BAE">
        <w:rPr>
          <w:rFonts w:ascii="Calibri" w:eastAsia="Calibri" w:hAnsi="Calibri" w:cs="Times New Roman"/>
          <w:kern w:val="0"/>
          <w:lang w:val="en-IE"/>
          <w14:ligatures w14:val="none"/>
        </w:rPr>
        <w:t>&amp;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 A</w:t>
      </w:r>
      <w:r w:rsidR="00132A10">
        <w:rPr>
          <w:rFonts w:ascii="Calibri" w:eastAsia="Calibri" w:hAnsi="Calibri" w:cs="Times New Roman"/>
          <w:kern w:val="0"/>
          <w:lang w:val="en-IE"/>
          <w14:ligatures w14:val="none"/>
        </w:rPr>
        <w:t>.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 xml:space="preserve"> Velarde. </w:t>
      </w:r>
      <w:r w:rsidR="00B84292">
        <w:rPr>
          <w:rFonts w:ascii="Calibri" w:eastAsia="Calibri" w:hAnsi="Calibri" w:cs="Times New Roman"/>
          <w:kern w:val="0"/>
          <w:lang w:val="en-IE"/>
          <w14:ligatures w14:val="none"/>
        </w:rPr>
        <w:t xml:space="preserve">2016. 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>Veterinary Record 179</w:t>
      </w:r>
      <w:r w:rsidR="00E56BAE">
        <w:rPr>
          <w:rFonts w:ascii="Calibri" w:eastAsia="Calibri" w:hAnsi="Calibri" w:cs="Times New Roman"/>
          <w:kern w:val="0"/>
          <w:lang w:val="en-IE"/>
          <w14:ligatures w14:val="none"/>
        </w:rPr>
        <w:t>(16),</w:t>
      </w:r>
      <w:r w:rsidR="00B84292">
        <w:rPr>
          <w:rFonts w:ascii="Calibri" w:eastAsia="Calibri" w:hAnsi="Calibri" w:cs="Times New Roman"/>
          <w:kern w:val="0"/>
          <w:lang w:val="en-IE"/>
          <w14:ligatures w14:val="none"/>
        </w:rPr>
        <w:t xml:space="preserve"> </w:t>
      </w:r>
      <w:r w:rsidR="000B59A4" w:rsidRPr="000B59A4">
        <w:rPr>
          <w:rFonts w:ascii="Calibri" w:eastAsia="Calibri" w:hAnsi="Calibri" w:cs="Times New Roman"/>
          <w:kern w:val="0"/>
          <w:lang w:val="en-IE"/>
          <w14:ligatures w14:val="none"/>
        </w:rPr>
        <w:t>412-413.</w:t>
      </w:r>
    </w:p>
    <w:p w14:paraId="2F9C43F1" w14:textId="7379321B" w:rsidR="00B84292" w:rsidRDefault="00B84292" w:rsidP="000B59A4">
      <w:pPr>
        <w:jc w:val="both"/>
        <w:rPr>
          <w:rFonts w:ascii="Calibri" w:eastAsia="Calibri" w:hAnsi="Calibri" w:cs="Times New Roman"/>
          <w:kern w:val="0"/>
          <w:lang w:val="en-IE"/>
          <w14:ligatures w14:val="none"/>
        </w:rPr>
      </w:pPr>
      <w:r>
        <w:rPr>
          <w:rFonts w:ascii="Calibri" w:eastAsia="Calibri" w:hAnsi="Calibri" w:cs="Times New Roman"/>
          <w:kern w:val="0"/>
          <w:lang w:val="en-IE"/>
          <w14:ligatures w14:val="none"/>
        </w:rPr>
        <w:t xml:space="preserve">World Health Organisation 2012.  </w:t>
      </w:r>
      <w:hyperlink r:id="rId8" w:history="1">
        <w:r w:rsidRPr="00AE21F6">
          <w:rPr>
            <w:rStyle w:val="Hyperlink"/>
            <w:rFonts w:ascii="Calibri" w:eastAsia="Calibri" w:hAnsi="Calibri" w:cs="Times New Roman"/>
            <w:kern w:val="0"/>
            <w:lang w:val="en-IE"/>
            <w14:ligatures w14:val="none"/>
          </w:rPr>
          <w:t>https://iris.who.int/bitstream/handle/10665/77932/WHO_HIS_HSI_Rev.2012.03_eng.pdf?sequence=1</w:t>
        </w:r>
      </w:hyperlink>
    </w:p>
    <w:p w14:paraId="73536FF2" w14:textId="77777777" w:rsidR="00B84292" w:rsidRPr="000B59A4" w:rsidRDefault="00B84292" w:rsidP="000B59A4">
      <w:pPr>
        <w:jc w:val="both"/>
        <w:rPr>
          <w:rFonts w:ascii="Calibri" w:eastAsia="Calibri" w:hAnsi="Calibri" w:cs="Times New Roman"/>
          <w:kern w:val="0"/>
          <w:lang w:val="en-IE"/>
          <w14:ligatures w14:val="none"/>
        </w:rPr>
      </w:pPr>
    </w:p>
    <w:p w14:paraId="2F1F2C8B" w14:textId="77777777" w:rsidR="000B59A4" w:rsidRPr="007B30E3" w:rsidRDefault="000B59A4">
      <w:pPr>
        <w:rPr>
          <w:b/>
          <w:bCs/>
          <w:lang w:val="en-US"/>
        </w:rPr>
      </w:pPr>
    </w:p>
    <w:sectPr w:rsidR="000B59A4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3"/>
    <w:rsid w:val="000B59A4"/>
    <w:rsid w:val="000C2F3E"/>
    <w:rsid w:val="00132A10"/>
    <w:rsid w:val="00383DCD"/>
    <w:rsid w:val="00397193"/>
    <w:rsid w:val="005358B6"/>
    <w:rsid w:val="005A4586"/>
    <w:rsid w:val="005C6ECB"/>
    <w:rsid w:val="00625B14"/>
    <w:rsid w:val="00694E38"/>
    <w:rsid w:val="006C628F"/>
    <w:rsid w:val="00756B87"/>
    <w:rsid w:val="007B30E3"/>
    <w:rsid w:val="00820CFE"/>
    <w:rsid w:val="008D0C13"/>
    <w:rsid w:val="008D1238"/>
    <w:rsid w:val="00933E8C"/>
    <w:rsid w:val="009859A2"/>
    <w:rsid w:val="00B27DB5"/>
    <w:rsid w:val="00B52E4E"/>
    <w:rsid w:val="00B84292"/>
    <w:rsid w:val="00C53AE2"/>
    <w:rsid w:val="00C95030"/>
    <w:rsid w:val="00C952E1"/>
    <w:rsid w:val="00C96551"/>
    <w:rsid w:val="00D62CA7"/>
    <w:rsid w:val="00DD21B5"/>
    <w:rsid w:val="00E27EE6"/>
    <w:rsid w:val="00E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2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who.int/bitstream/handle/10665/77932/WHO_HIS_HSI_Rev.2012.03_eng.pdf?sequence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AE4B9AAEECF4EAD0A6640EC52C338" ma:contentTypeVersion="11" ma:contentTypeDescription="Create a new document." ma:contentTypeScope="" ma:versionID="be619c21e50a8478c0d0df3c5aee36b5">
  <xsd:schema xmlns:xsd="http://www.w3.org/2001/XMLSchema" xmlns:xs="http://www.w3.org/2001/XMLSchema" xmlns:p="http://schemas.microsoft.com/office/2006/metadata/properties" xmlns:ns3="ec32989c-1330-4a59-afed-f9f7248c63b9" targetNamespace="http://schemas.microsoft.com/office/2006/metadata/properties" ma:root="true" ma:fieldsID="a89283d342289ac93b7d010382c27169" ns3:_="">
    <xsd:import namespace="ec32989c-1330-4a59-afed-f9f7248c63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2989c-1330-4a59-afed-f9f7248c63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6EB68-19C3-40B1-9FF3-F9285024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2989c-1330-4a59-afed-f9f7248c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950</Words>
  <Characters>5112</Characters>
  <Application>Microsoft Office Word</Application>
  <DocSecurity>0</DocSecurity>
  <Lines>189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Laura Boyle</cp:lastModifiedBy>
  <cp:revision>4</cp:revision>
  <dcterms:created xsi:type="dcterms:W3CDTF">2024-11-25T15:37:00Z</dcterms:created>
  <dcterms:modified xsi:type="dcterms:W3CDTF">2024-11-25T15:57:00Z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0x010100DE8AE4B9AAEECF4EAD0A6640EC52C338</vt:lpwstr>
  </property>
</Properties>
</file>