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F231" w14:textId="24696361" w:rsidR="00070B9D" w:rsidRPr="00830615" w:rsidRDefault="00640AA6" w:rsidP="00932856">
      <w:pPr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Effect </w:t>
      </w:r>
      <w:r w:rsidR="00697071" w:rsidRPr="00830615">
        <w:rPr>
          <w:rFonts w:ascii="Times New Roman" w:hAnsi="Times New Roman" w:cs="Times New Roman"/>
          <w:b/>
          <w:sz w:val="20"/>
          <w:szCs w:val="24"/>
        </w:rPr>
        <w:t xml:space="preserve">of </w:t>
      </w:r>
      <w:r w:rsidR="007E0523">
        <w:rPr>
          <w:rFonts w:ascii="Times New Roman" w:hAnsi="Times New Roman" w:cs="Times New Roman"/>
          <w:b/>
          <w:sz w:val="20"/>
          <w:szCs w:val="24"/>
        </w:rPr>
        <w:t xml:space="preserve">grass-only and grass-clover </w:t>
      </w:r>
      <w:r>
        <w:rPr>
          <w:rFonts w:ascii="Times New Roman" w:hAnsi="Times New Roman" w:cs="Times New Roman"/>
          <w:b/>
          <w:sz w:val="20"/>
          <w:szCs w:val="24"/>
        </w:rPr>
        <w:t xml:space="preserve">based </w:t>
      </w:r>
      <w:r w:rsidR="007E0523">
        <w:rPr>
          <w:rFonts w:ascii="Times New Roman" w:hAnsi="Times New Roman" w:cs="Times New Roman"/>
          <w:b/>
          <w:sz w:val="20"/>
          <w:szCs w:val="24"/>
        </w:rPr>
        <w:t>swards</w:t>
      </w:r>
      <w:r w:rsidR="00B9798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70B9D" w:rsidRPr="00830615">
        <w:rPr>
          <w:rFonts w:ascii="Times New Roman" w:hAnsi="Times New Roman" w:cs="Times New Roman"/>
          <w:b/>
          <w:sz w:val="20"/>
          <w:szCs w:val="24"/>
        </w:rPr>
        <w:t xml:space="preserve">on the </w:t>
      </w:r>
      <w:r>
        <w:rPr>
          <w:rFonts w:ascii="Times New Roman" w:hAnsi="Times New Roman" w:cs="Times New Roman"/>
          <w:b/>
          <w:sz w:val="20"/>
          <w:szCs w:val="24"/>
        </w:rPr>
        <w:t xml:space="preserve">growth </w:t>
      </w:r>
      <w:r w:rsidR="00070B9D" w:rsidRPr="00830615">
        <w:rPr>
          <w:rFonts w:ascii="Times New Roman" w:hAnsi="Times New Roman" w:cs="Times New Roman"/>
          <w:b/>
          <w:sz w:val="20"/>
          <w:szCs w:val="24"/>
        </w:rPr>
        <w:t>performance of suckler</w:t>
      </w:r>
      <w:r w:rsidR="004D75BE">
        <w:rPr>
          <w:rFonts w:ascii="Times New Roman" w:hAnsi="Times New Roman" w:cs="Times New Roman"/>
          <w:b/>
          <w:sz w:val="20"/>
          <w:szCs w:val="24"/>
        </w:rPr>
        <w:t>-</w:t>
      </w:r>
      <w:r w:rsidR="00B9798A">
        <w:rPr>
          <w:rFonts w:ascii="Times New Roman" w:hAnsi="Times New Roman" w:cs="Times New Roman"/>
          <w:b/>
          <w:sz w:val="20"/>
          <w:szCs w:val="24"/>
        </w:rPr>
        <w:t>bred</w:t>
      </w:r>
      <w:r w:rsidR="00070B9D" w:rsidRPr="0083061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50786" w:rsidRPr="00830615">
        <w:rPr>
          <w:rFonts w:ascii="Times New Roman" w:hAnsi="Times New Roman" w:cs="Times New Roman"/>
          <w:b/>
          <w:sz w:val="20"/>
          <w:szCs w:val="24"/>
        </w:rPr>
        <w:t xml:space="preserve">heifers and steers </w:t>
      </w:r>
      <w:r>
        <w:rPr>
          <w:rFonts w:ascii="Times New Roman" w:hAnsi="Times New Roman" w:cs="Times New Roman"/>
          <w:b/>
          <w:sz w:val="20"/>
          <w:szCs w:val="24"/>
        </w:rPr>
        <w:t xml:space="preserve">finished </w:t>
      </w:r>
      <w:r w:rsidR="00D50786" w:rsidRPr="00830615">
        <w:rPr>
          <w:rFonts w:ascii="Times New Roman" w:hAnsi="Times New Roman" w:cs="Times New Roman"/>
          <w:b/>
          <w:sz w:val="20"/>
          <w:szCs w:val="24"/>
        </w:rPr>
        <w:t xml:space="preserve">at </w:t>
      </w:r>
      <w:r w:rsidR="00A074FA">
        <w:rPr>
          <w:rFonts w:ascii="Times New Roman" w:hAnsi="Times New Roman" w:cs="Times New Roman"/>
          <w:b/>
          <w:sz w:val="20"/>
          <w:szCs w:val="24"/>
        </w:rPr>
        <w:t>19.5</w:t>
      </w:r>
      <w:r w:rsidR="00070B9D" w:rsidRPr="00830615">
        <w:rPr>
          <w:rFonts w:ascii="Times New Roman" w:hAnsi="Times New Roman" w:cs="Times New Roman"/>
          <w:b/>
          <w:sz w:val="20"/>
          <w:szCs w:val="24"/>
        </w:rPr>
        <w:t xml:space="preserve"> months of age</w:t>
      </w:r>
    </w:p>
    <w:p w14:paraId="355F3D22" w14:textId="77777777" w:rsidR="007842CC" w:rsidRDefault="00D27209" w:rsidP="000A26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3595">
        <w:rPr>
          <w:rFonts w:ascii="Times New Roman" w:hAnsi="Times New Roman" w:cs="Times New Roman"/>
          <w:b/>
          <w:sz w:val="20"/>
          <w:szCs w:val="20"/>
        </w:rPr>
        <w:t>Application</w:t>
      </w:r>
    </w:p>
    <w:p w14:paraId="08B4CFDA" w14:textId="454AA804" w:rsidR="00F52B2E" w:rsidRPr="00684CAE" w:rsidRDefault="00D26901" w:rsidP="00C33595">
      <w:pPr>
        <w:jc w:val="both"/>
        <w:rPr>
          <w:rFonts w:ascii="Times New Roman" w:hAnsi="Times New Roman" w:cs="Times New Roman"/>
          <w:b/>
          <w:i/>
          <w:sz w:val="18"/>
          <w:szCs w:val="24"/>
        </w:rPr>
      </w:pPr>
      <w:r>
        <w:rPr>
          <w:rFonts w:ascii="Times New Roman" w:hAnsi="Times New Roman" w:cs="Times New Roman"/>
          <w:sz w:val="18"/>
          <w:szCs w:val="20"/>
        </w:rPr>
        <w:t>Incorporating red and white clover into grass swards can</w:t>
      </w:r>
      <w:r w:rsidR="00C33595" w:rsidRPr="00684CAE">
        <w:rPr>
          <w:rFonts w:ascii="Times New Roman" w:hAnsi="Times New Roman" w:cs="Times New Roman"/>
          <w:sz w:val="18"/>
          <w:szCs w:val="20"/>
        </w:rPr>
        <w:t xml:space="preserve"> reduc</w:t>
      </w:r>
      <w:r>
        <w:rPr>
          <w:rFonts w:ascii="Times New Roman" w:hAnsi="Times New Roman" w:cs="Times New Roman"/>
          <w:sz w:val="18"/>
          <w:szCs w:val="20"/>
        </w:rPr>
        <w:t>e</w:t>
      </w:r>
      <w:r w:rsidR="00C33595" w:rsidRPr="00684CAE">
        <w:rPr>
          <w:rFonts w:ascii="Times New Roman" w:hAnsi="Times New Roman" w:cs="Times New Roman"/>
          <w:sz w:val="18"/>
          <w:szCs w:val="20"/>
        </w:rPr>
        <w:t xml:space="preserve"> </w:t>
      </w:r>
      <w:r w:rsidR="00C32813" w:rsidRPr="00684CAE">
        <w:rPr>
          <w:rFonts w:ascii="Times New Roman" w:hAnsi="Times New Roman" w:cs="Times New Roman"/>
          <w:sz w:val="18"/>
          <w:szCs w:val="20"/>
        </w:rPr>
        <w:t xml:space="preserve">the </w:t>
      </w:r>
      <w:r w:rsidR="008828D7">
        <w:rPr>
          <w:rFonts w:ascii="Times New Roman" w:hAnsi="Times New Roman" w:cs="Times New Roman"/>
          <w:sz w:val="18"/>
          <w:szCs w:val="20"/>
        </w:rPr>
        <w:t>requirement for</w:t>
      </w:r>
      <w:r w:rsidR="00C33595" w:rsidRPr="00684CAE">
        <w:rPr>
          <w:rFonts w:ascii="Times New Roman" w:hAnsi="Times New Roman" w:cs="Times New Roman"/>
          <w:sz w:val="18"/>
          <w:szCs w:val="20"/>
        </w:rPr>
        <w:t xml:space="preserve"> chemical nitrogen </w:t>
      </w:r>
      <w:r w:rsidR="00F52B2E">
        <w:rPr>
          <w:rFonts w:ascii="Times New Roman" w:hAnsi="Times New Roman" w:cs="Times New Roman"/>
          <w:sz w:val="18"/>
          <w:szCs w:val="20"/>
        </w:rPr>
        <w:t xml:space="preserve">fertiliser </w:t>
      </w:r>
      <w:r>
        <w:rPr>
          <w:rFonts w:ascii="Times New Roman" w:hAnsi="Times New Roman" w:cs="Times New Roman"/>
          <w:sz w:val="18"/>
          <w:szCs w:val="20"/>
        </w:rPr>
        <w:t>and</w:t>
      </w:r>
      <w:r w:rsidR="00C33595" w:rsidRPr="00684CAE">
        <w:rPr>
          <w:rFonts w:ascii="Times New Roman" w:hAnsi="Times New Roman" w:cs="Times New Roman"/>
          <w:sz w:val="18"/>
          <w:szCs w:val="20"/>
        </w:rPr>
        <w:t xml:space="preserve"> </w:t>
      </w:r>
      <w:r w:rsidR="00C32813" w:rsidRPr="00684CAE">
        <w:rPr>
          <w:rFonts w:ascii="Times New Roman" w:hAnsi="Times New Roman" w:cs="Times New Roman"/>
          <w:sz w:val="18"/>
          <w:szCs w:val="20"/>
        </w:rPr>
        <w:t xml:space="preserve">increase </w:t>
      </w:r>
      <w:r w:rsidR="000734D4">
        <w:rPr>
          <w:rFonts w:ascii="Times New Roman" w:hAnsi="Times New Roman" w:cs="Times New Roman"/>
          <w:sz w:val="18"/>
          <w:szCs w:val="20"/>
        </w:rPr>
        <w:t xml:space="preserve">animal </w:t>
      </w:r>
      <w:r>
        <w:rPr>
          <w:rFonts w:ascii="Times New Roman" w:hAnsi="Times New Roman" w:cs="Times New Roman"/>
          <w:sz w:val="18"/>
          <w:szCs w:val="20"/>
        </w:rPr>
        <w:t>live weight gain</w:t>
      </w:r>
      <w:r w:rsidR="004D2018">
        <w:rPr>
          <w:rFonts w:ascii="Times New Roman" w:hAnsi="Times New Roman" w:cs="Times New Roman"/>
          <w:sz w:val="18"/>
          <w:szCs w:val="20"/>
        </w:rPr>
        <w:t xml:space="preserve"> within a suckler calf-to-beef system.</w:t>
      </w:r>
      <w:r w:rsidR="00834855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553DF982" w14:textId="77777777" w:rsidR="00264084" w:rsidRPr="00C32813" w:rsidRDefault="000864C6" w:rsidP="0083485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32813">
        <w:rPr>
          <w:rFonts w:ascii="Times New Roman" w:hAnsi="Times New Roman" w:cs="Times New Roman"/>
          <w:b/>
          <w:sz w:val="20"/>
          <w:szCs w:val="24"/>
        </w:rPr>
        <w:t>Introduction</w:t>
      </w:r>
    </w:p>
    <w:p w14:paraId="370989F0" w14:textId="297E86C2" w:rsidR="00FF2515" w:rsidRDefault="00972EC3" w:rsidP="00CF4794">
      <w:pPr>
        <w:tabs>
          <w:tab w:val="center" w:pos="4513"/>
          <w:tab w:val="left" w:pos="4903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972EC3">
        <w:rPr>
          <w:rFonts w:ascii="Times New Roman" w:hAnsi="Times New Roman" w:cs="Times New Roman"/>
          <w:sz w:val="18"/>
          <w:szCs w:val="24"/>
        </w:rPr>
        <w:t>Grazed grass-white clover is recognized as a cost-efficient feed source for beef cattle produc</w:t>
      </w:r>
      <w:r w:rsidR="00A666C0">
        <w:rPr>
          <w:rFonts w:ascii="Times New Roman" w:hAnsi="Times New Roman" w:cs="Times New Roman"/>
          <w:sz w:val="18"/>
          <w:szCs w:val="24"/>
        </w:rPr>
        <w:t>tion systems (Doyle et al., 2024</w:t>
      </w:r>
      <w:r w:rsidRPr="00972EC3">
        <w:rPr>
          <w:rFonts w:ascii="Times New Roman" w:hAnsi="Times New Roman" w:cs="Times New Roman"/>
          <w:sz w:val="18"/>
          <w:szCs w:val="24"/>
        </w:rPr>
        <w:t>). The inclusion of clover species in pastures, particularly white and red clover, provides the dual benefit of biologically fixing nitrogen (N) and reducing dependency on chemical fertil</w:t>
      </w:r>
      <w:r w:rsidRPr="00223950">
        <w:rPr>
          <w:rFonts w:ascii="Times New Roman" w:hAnsi="Times New Roman" w:cs="Times New Roman"/>
          <w:sz w:val="18"/>
          <w:szCs w:val="24"/>
        </w:rPr>
        <w:t>i</w:t>
      </w:r>
      <w:r w:rsidR="00223950" w:rsidRPr="00223950">
        <w:rPr>
          <w:rFonts w:ascii="Times New Roman" w:hAnsi="Times New Roman" w:cs="Times New Roman"/>
          <w:sz w:val="18"/>
          <w:szCs w:val="24"/>
        </w:rPr>
        <w:t>s</w:t>
      </w:r>
      <w:r w:rsidRPr="00223950">
        <w:rPr>
          <w:rFonts w:ascii="Times New Roman" w:hAnsi="Times New Roman" w:cs="Times New Roman"/>
          <w:sz w:val="18"/>
          <w:szCs w:val="24"/>
        </w:rPr>
        <w:t>e</w:t>
      </w:r>
      <w:r w:rsidRPr="00972EC3">
        <w:rPr>
          <w:rFonts w:ascii="Times New Roman" w:hAnsi="Times New Roman" w:cs="Times New Roman"/>
          <w:sz w:val="18"/>
          <w:szCs w:val="24"/>
        </w:rPr>
        <w:t xml:space="preserve">rs. </w:t>
      </w:r>
      <w:r w:rsidR="00F52B2E">
        <w:rPr>
          <w:rFonts w:ascii="Times New Roman" w:hAnsi="Times New Roman" w:cs="Times New Roman"/>
          <w:sz w:val="18"/>
          <w:szCs w:val="24"/>
        </w:rPr>
        <w:t>Although</w:t>
      </w:r>
      <w:r w:rsidRPr="00972EC3">
        <w:rPr>
          <w:rFonts w:ascii="Times New Roman" w:hAnsi="Times New Roman" w:cs="Times New Roman"/>
          <w:sz w:val="18"/>
          <w:szCs w:val="24"/>
        </w:rPr>
        <w:t xml:space="preserve"> white clover is optimized for grazing systems, red clover is more suited for silage production. Research has shown that cattle grazing grass-white clover swards achieve approximately 0.1 kg greater live weight gain during the second grazing season compared to grass-only swards (Doyle et al., 2024; Fitzpatrick et al., 2024). Despite these advantages, there is limited research on the long-term performance of suckler beef cattle raised on grass-only versus grass-clover systems from birth</w:t>
      </w:r>
      <w:r w:rsidR="00F52B2E">
        <w:rPr>
          <w:rFonts w:ascii="Times New Roman" w:hAnsi="Times New Roman" w:cs="Times New Roman"/>
          <w:sz w:val="18"/>
          <w:szCs w:val="24"/>
        </w:rPr>
        <w:t>-</w:t>
      </w:r>
      <w:r w:rsidRPr="00972EC3">
        <w:rPr>
          <w:rFonts w:ascii="Times New Roman" w:hAnsi="Times New Roman" w:cs="Times New Roman"/>
          <w:sz w:val="18"/>
          <w:szCs w:val="24"/>
        </w:rPr>
        <w:t>to</w:t>
      </w:r>
      <w:r w:rsidR="00F52B2E">
        <w:rPr>
          <w:rFonts w:ascii="Times New Roman" w:hAnsi="Times New Roman" w:cs="Times New Roman"/>
          <w:sz w:val="18"/>
          <w:szCs w:val="24"/>
        </w:rPr>
        <w:t>-</w:t>
      </w:r>
      <w:r w:rsidRPr="00972EC3">
        <w:rPr>
          <w:rFonts w:ascii="Times New Roman" w:hAnsi="Times New Roman" w:cs="Times New Roman"/>
          <w:sz w:val="18"/>
          <w:szCs w:val="24"/>
        </w:rPr>
        <w:t xml:space="preserve">finish. The present study evaluates the growth performance and carcass traits of suckler cattle </w:t>
      </w:r>
      <w:r w:rsidR="00F52B2E">
        <w:rPr>
          <w:rFonts w:ascii="Times New Roman" w:hAnsi="Times New Roman" w:cs="Times New Roman"/>
          <w:sz w:val="18"/>
          <w:szCs w:val="24"/>
        </w:rPr>
        <w:t xml:space="preserve">produced on </w:t>
      </w:r>
      <w:r w:rsidRPr="00972EC3">
        <w:rPr>
          <w:rFonts w:ascii="Times New Roman" w:hAnsi="Times New Roman" w:cs="Times New Roman"/>
          <w:sz w:val="18"/>
          <w:szCs w:val="24"/>
        </w:rPr>
        <w:t xml:space="preserve">perennial ryegrass-only (GO) </w:t>
      </w:r>
      <w:r w:rsidR="00F52B2E">
        <w:rPr>
          <w:rFonts w:ascii="Times New Roman" w:hAnsi="Times New Roman" w:cs="Times New Roman"/>
          <w:sz w:val="18"/>
          <w:szCs w:val="24"/>
        </w:rPr>
        <w:t>or</w:t>
      </w:r>
      <w:r w:rsidRPr="00972EC3">
        <w:rPr>
          <w:rFonts w:ascii="Times New Roman" w:hAnsi="Times New Roman" w:cs="Times New Roman"/>
          <w:sz w:val="18"/>
          <w:szCs w:val="24"/>
        </w:rPr>
        <w:t xml:space="preserve"> perennial ryegrass-clover (GC) systems, incorporating grazed white clover and red clover silage.</w:t>
      </w:r>
      <w:r w:rsidR="00640AA6">
        <w:rPr>
          <w:rFonts w:ascii="Times New Roman" w:hAnsi="Times New Roman" w:cs="Times New Roman"/>
          <w:b/>
          <w:i/>
          <w:sz w:val="20"/>
          <w:szCs w:val="24"/>
        </w:rPr>
        <w:tab/>
      </w:r>
      <w:r w:rsidR="00640AA6">
        <w:rPr>
          <w:rFonts w:ascii="Times New Roman" w:hAnsi="Times New Roman" w:cs="Times New Roman"/>
          <w:b/>
          <w:i/>
          <w:sz w:val="20"/>
          <w:szCs w:val="24"/>
        </w:rPr>
        <w:tab/>
      </w:r>
    </w:p>
    <w:p w14:paraId="38A71A5E" w14:textId="77777777" w:rsidR="00F52B2E" w:rsidRDefault="00F52B2E" w:rsidP="00CF4794">
      <w:pPr>
        <w:tabs>
          <w:tab w:val="center" w:pos="4513"/>
          <w:tab w:val="left" w:pos="4903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03FD7DC1" w14:textId="077BF3CA" w:rsidR="00C33417" w:rsidRPr="00830615" w:rsidRDefault="0004751E" w:rsidP="00221D61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804985">
        <w:rPr>
          <w:rFonts w:ascii="Times New Roman" w:hAnsi="Times New Roman" w:cs="Times New Roman"/>
          <w:b/>
          <w:sz w:val="20"/>
          <w:szCs w:val="24"/>
        </w:rPr>
        <w:t xml:space="preserve">Materials and </w:t>
      </w:r>
      <w:r w:rsidR="002D1E32">
        <w:rPr>
          <w:rFonts w:ascii="Times New Roman" w:hAnsi="Times New Roman" w:cs="Times New Roman"/>
          <w:b/>
          <w:sz w:val="20"/>
          <w:szCs w:val="24"/>
        </w:rPr>
        <w:t>m</w:t>
      </w:r>
      <w:r w:rsidRPr="00804985">
        <w:rPr>
          <w:rFonts w:ascii="Times New Roman" w:hAnsi="Times New Roman" w:cs="Times New Roman"/>
          <w:b/>
          <w:sz w:val="20"/>
          <w:szCs w:val="24"/>
        </w:rPr>
        <w:t>ethods</w:t>
      </w:r>
    </w:p>
    <w:p w14:paraId="2ECE061E" w14:textId="742E1248" w:rsidR="002F5A6E" w:rsidRDefault="008E0212" w:rsidP="002A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30615">
        <w:rPr>
          <w:rFonts w:ascii="Times New Roman" w:hAnsi="Times New Roman" w:cs="Times New Roman"/>
          <w:sz w:val="18"/>
          <w:szCs w:val="24"/>
        </w:rPr>
        <w:t xml:space="preserve">This research was conducted at Teagasc Grange </w:t>
      </w:r>
      <w:r w:rsidR="0080184F">
        <w:rPr>
          <w:rFonts w:ascii="Times New Roman" w:hAnsi="Times New Roman" w:cs="Times New Roman"/>
          <w:sz w:val="18"/>
          <w:szCs w:val="24"/>
        </w:rPr>
        <w:t xml:space="preserve">Beef </w:t>
      </w:r>
      <w:r w:rsidRPr="00830615">
        <w:rPr>
          <w:rFonts w:ascii="Times New Roman" w:hAnsi="Times New Roman" w:cs="Times New Roman"/>
          <w:sz w:val="18"/>
          <w:szCs w:val="24"/>
        </w:rPr>
        <w:t>Research Centr</w:t>
      </w:r>
      <w:r w:rsidR="004B078E">
        <w:rPr>
          <w:rFonts w:ascii="Times New Roman" w:hAnsi="Times New Roman" w:cs="Times New Roman"/>
          <w:sz w:val="18"/>
          <w:szCs w:val="24"/>
        </w:rPr>
        <w:t>e</w:t>
      </w:r>
      <w:r w:rsidR="008A075B">
        <w:rPr>
          <w:rFonts w:ascii="Times New Roman" w:hAnsi="Times New Roman" w:cs="Times New Roman"/>
          <w:sz w:val="18"/>
          <w:szCs w:val="24"/>
        </w:rPr>
        <w:t xml:space="preserve"> between February 2023 and October 2024</w:t>
      </w:r>
      <w:r w:rsidR="00CA4C1D" w:rsidRPr="00830615">
        <w:rPr>
          <w:rFonts w:ascii="Times New Roman" w:hAnsi="Times New Roman" w:cs="Times New Roman"/>
          <w:sz w:val="18"/>
          <w:szCs w:val="24"/>
        </w:rPr>
        <w:t>.</w:t>
      </w:r>
      <w:r w:rsidR="004C6ED0" w:rsidRPr="00830615">
        <w:rPr>
          <w:rFonts w:ascii="Times New Roman" w:hAnsi="Times New Roman" w:cs="Times New Roman"/>
          <w:sz w:val="18"/>
          <w:szCs w:val="24"/>
        </w:rPr>
        <w:fldChar w:fldCharType="begin"/>
      </w:r>
      <w:r w:rsidR="004C6ED0" w:rsidRPr="00830615">
        <w:rPr>
          <w:rFonts w:ascii="Times New Roman" w:hAnsi="Times New Roman" w:cs="Times New Roman"/>
          <w:sz w:val="18"/>
          <w:szCs w:val="24"/>
        </w:rPr>
        <w:fldChar w:fldCharType="separate"/>
      </w:r>
      <w:r w:rsidR="004C6ED0" w:rsidRPr="00830615">
        <w:rPr>
          <w:rFonts w:ascii="Times New Roman" w:hAnsi="Times New Roman" w:cs="Times New Roman"/>
          <w:sz w:val="18"/>
          <w:szCs w:val="24"/>
        </w:rPr>
        <w:t>{NOTE:06}</w:t>
      </w:r>
      <w:r w:rsidR="004C6ED0" w:rsidRPr="00830615">
        <w:rPr>
          <w:rFonts w:ascii="Times New Roman" w:hAnsi="Times New Roman" w:cs="Times New Roman"/>
          <w:sz w:val="18"/>
          <w:szCs w:val="24"/>
        </w:rPr>
        <w:fldChar w:fldCharType="end"/>
      </w:r>
      <w:r w:rsidR="0080184F">
        <w:rPr>
          <w:rFonts w:ascii="Times New Roman" w:hAnsi="Times New Roman" w:cs="Times New Roman"/>
          <w:sz w:val="18"/>
          <w:szCs w:val="24"/>
        </w:rPr>
        <w:t xml:space="preserve"> </w:t>
      </w:r>
      <w:r w:rsidR="00972EC3">
        <w:rPr>
          <w:rFonts w:ascii="Times New Roman" w:hAnsi="Times New Roman" w:cs="Times New Roman"/>
          <w:sz w:val="18"/>
          <w:szCs w:val="24"/>
        </w:rPr>
        <w:t>E</w:t>
      </w:r>
      <w:r w:rsidR="00524DE4">
        <w:rPr>
          <w:rFonts w:ascii="Times New Roman" w:hAnsi="Times New Roman" w:cs="Times New Roman"/>
          <w:sz w:val="18"/>
          <w:szCs w:val="24"/>
        </w:rPr>
        <w:t>ighty</w:t>
      </w:r>
      <w:r w:rsidR="00A97ACE">
        <w:rPr>
          <w:rFonts w:ascii="Times New Roman" w:hAnsi="Times New Roman" w:cs="Times New Roman"/>
          <w:sz w:val="18"/>
          <w:szCs w:val="24"/>
        </w:rPr>
        <w:t xml:space="preserve"> spring-born</w:t>
      </w:r>
      <w:r w:rsidR="00A95030">
        <w:rPr>
          <w:rFonts w:ascii="Times New Roman" w:hAnsi="Times New Roman" w:cs="Times New Roman"/>
          <w:sz w:val="18"/>
          <w:szCs w:val="24"/>
        </w:rPr>
        <w:t xml:space="preserve"> Aberdeen Angus</w:t>
      </w:r>
      <w:r w:rsidR="00632E38">
        <w:rPr>
          <w:rFonts w:ascii="Times New Roman" w:hAnsi="Times New Roman" w:cs="Times New Roman"/>
          <w:sz w:val="18"/>
          <w:szCs w:val="24"/>
        </w:rPr>
        <w:t>-</w:t>
      </w:r>
      <w:r w:rsidR="00A95030">
        <w:rPr>
          <w:rFonts w:ascii="Times New Roman" w:hAnsi="Times New Roman" w:cs="Times New Roman"/>
          <w:sz w:val="18"/>
          <w:szCs w:val="24"/>
        </w:rPr>
        <w:t xml:space="preserve"> and </w:t>
      </w:r>
      <w:r w:rsidR="00A95030" w:rsidRPr="00632E38">
        <w:rPr>
          <w:rFonts w:ascii="Times New Roman" w:hAnsi="Times New Roman" w:cs="Times New Roman"/>
          <w:sz w:val="18"/>
          <w:szCs w:val="24"/>
        </w:rPr>
        <w:t>Charolais</w:t>
      </w:r>
      <w:r w:rsidR="00632E38">
        <w:rPr>
          <w:rFonts w:ascii="Times New Roman" w:hAnsi="Times New Roman" w:cs="Times New Roman"/>
          <w:sz w:val="18"/>
          <w:szCs w:val="24"/>
        </w:rPr>
        <w:t>-</w:t>
      </w:r>
      <w:r w:rsidR="00A95030" w:rsidRPr="00632E38">
        <w:rPr>
          <w:rFonts w:ascii="Times New Roman" w:hAnsi="Times New Roman" w:cs="Times New Roman"/>
          <w:sz w:val="18"/>
          <w:szCs w:val="24"/>
        </w:rPr>
        <w:t xml:space="preserve">sired </w:t>
      </w:r>
      <w:r w:rsidR="00A95030" w:rsidRPr="00CF4794">
        <w:rPr>
          <w:rFonts w:ascii="Times New Roman" w:hAnsi="Times New Roman" w:cs="Times New Roman"/>
          <w:sz w:val="18"/>
          <w:szCs w:val="24"/>
        </w:rPr>
        <w:t>calves</w:t>
      </w:r>
      <w:r w:rsidR="00A95030" w:rsidRPr="00632E38">
        <w:rPr>
          <w:rFonts w:ascii="Times New Roman" w:hAnsi="Times New Roman" w:cs="Times New Roman"/>
          <w:sz w:val="18"/>
          <w:szCs w:val="24"/>
        </w:rPr>
        <w:t xml:space="preserve">, </w:t>
      </w:r>
      <w:r w:rsidR="00A97ACE" w:rsidRPr="00632E38">
        <w:rPr>
          <w:rFonts w:ascii="Times New Roman" w:hAnsi="Times New Roman" w:cs="Times New Roman"/>
          <w:sz w:val="18"/>
          <w:szCs w:val="24"/>
        </w:rPr>
        <w:t>from</w:t>
      </w:r>
      <w:r w:rsidR="00A95030" w:rsidRPr="00632E38">
        <w:rPr>
          <w:rFonts w:ascii="Times New Roman" w:hAnsi="Times New Roman" w:cs="Times New Roman"/>
          <w:sz w:val="18"/>
          <w:szCs w:val="24"/>
        </w:rPr>
        <w:t xml:space="preserve"> Limousin </w:t>
      </w:r>
      <w:r w:rsidR="006D0142" w:rsidRPr="00632E38">
        <w:rPr>
          <w:rFonts w:ascii="Times New Roman" w:hAnsi="Times New Roman" w:cs="Times New Roman"/>
          <w:sz w:val="18"/>
          <w:szCs w:val="24"/>
        </w:rPr>
        <w:t>×</w:t>
      </w:r>
      <w:r w:rsidR="00A95030" w:rsidRPr="00632E38">
        <w:rPr>
          <w:rFonts w:ascii="Times New Roman" w:hAnsi="Times New Roman" w:cs="Times New Roman"/>
          <w:sz w:val="18"/>
          <w:szCs w:val="24"/>
        </w:rPr>
        <w:t xml:space="preserve"> </w:t>
      </w:r>
      <w:r w:rsidR="00632E38">
        <w:rPr>
          <w:rFonts w:ascii="Times New Roman" w:hAnsi="Times New Roman" w:cs="Times New Roman"/>
          <w:sz w:val="18"/>
          <w:szCs w:val="24"/>
        </w:rPr>
        <w:t>Holstein-Friesian</w:t>
      </w:r>
      <w:r w:rsidR="00A97ACE" w:rsidRPr="00632E38">
        <w:rPr>
          <w:rFonts w:ascii="Times New Roman" w:hAnsi="Times New Roman" w:cs="Times New Roman"/>
          <w:sz w:val="18"/>
          <w:szCs w:val="24"/>
        </w:rPr>
        <w:t xml:space="preserve"> </w:t>
      </w:r>
      <w:r w:rsidR="00A95030" w:rsidRPr="00632E38">
        <w:rPr>
          <w:rFonts w:ascii="Times New Roman" w:hAnsi="Times New Roman" w:cs="Times New Roman"/>
          <w:sz w:val="18"/>
          <w:szCs w:val="24"/>
        </w:rPr>
        <w:t xml:space="preserve">dams </w:t>
      </w:r>
      <w:r w:rsidR="00A97ACE" w:rsidRPr="00632E38">
        <w:rPr>
          <w:rFonts w:ascii="Times New Roman" w:hAnsi="Times New Roman" w:cs="Times New Roman"/>
          <w:sz w:val="18"/>
          <w:szCs w:val="24"/>
        </w:rPr>
        <w:t>were assigned to</w:t>
      </w:r>
      <w:r w:rsidR="00E55930" w:rsidRPr="00632E38">
        <w:rPr>
          <w:rFonts w:ascii="Times New Roman" w:hAnsi="Times New Roman" w:cs="Times New Roman"/>
          <w:sz w:val="18"/>
          <w:szCs w:val="24"/>
        </w:rPr>
        <w:t xml:space="preserve"> </w:t>
      </w:r>
      <w:r w:rsidR="00D0301A" w:rsidRPr="00632E38">
        <w:rPr>
          <w:rFonts w:ascii="Times New Roman" w:hAnsi="Times New Roman" w:cs="Times New Roman"/>
          <w:sz w:val="18"/>
          <w:szCs w:val="24"/>
        </w:rPr>
        <w:t xml:space="preserve">two different </w:t>
      </w:r>
      <w:r w:rsidR="00A97ACE" w:rsidRPr="00632E38">
        <w:rPr>
          <w:rFonts w:ascii="Times New Roman" w:hAnsi="Times New Roman" w:cs="Times New Roman"/>
          <w:sz w:val="18"/>
          <w:szCs w:val="24"/>
        </w:rPr>
        <w:t xml:space="preserve">pasture </w:t>
      </w:r>
      <w:r w:rsidR="00972EC3">
        <w:rPr>
          <w:rFonts w:ascii="Times New Roman" w:hAnsi="Times New Roman" w:cs="Times New Roman"/>
          <w:sz w:val="18"/>
          <w:szCs w:val="24"/>
        </w:rPr>
        <w:t>farm-</w:t>
      </w:r>
      <w:r w:rsidR="0066260A" w:rsidRPr="00CF4794">
        <w:rPr>
          <w:rFonts w:ascii="Times New Roman" w:hAnsi="Times New Roman" w:cs="Times New Roman"/>
          <w:sz w:val="18"/>
          <w:szCs w:val="24"/>
        </w:rPr>
        <w:t>treatment</w:t>
      </w:r>
      <w:r w:rsidR="00A97ACE" w:rsidRPr="00CF4794">
        <w:rPr>
          <w:rFonts w:ascii="Times New Roman" w:hAnsi="Times New Roman" w:cs="Times New Roman"/>
          <w:sz w:val="18"/>
          <w:szCs w:val="24"/>
        </w:rPr>
        <w:t>s</w:t>
      </w:r>
      <w:r w:rsidR="00A97ACE" w:rsidRPr="00632E38">
        <w:rPr>
          <w:rFonts w:ascii="Times New Roman" w:hAnsi="Times New Roman" w:cs="Times New Roman"/>
          <w:sz w:val="18"/>
          <w:szCs w:val="24"/>
        </w:rPr>
        <w:t xml:space="preserve">; </w:t>
      </w:r>
      <w:r w:rsidR="007A75B0" w:rsidRPr="00632E38">
        <w:rPr>
          <w:rFonts w:ascii="Times New Roman" w:hAnsi="Times New Roman" w:cs="Times New Roman"/>
          <w:sz w:val="18"/>
          <w:szCs w:val="24"/>
        </w:rPr>
        <w:t>GC</w:t>
      </w:r>
      <w:r w:rsidR="00A97ACE" w:rsidRPr="00632E38">
        <w:rPr>
          <w:rFonts w:ascii="Times New Roman" w:hAnsi="Times New Roman" w:cs="Times New Roman"/>
          <w:sz w:val="18"/>
          <w:szCs w:val="24"/>
        </w:rPr>
        <w:t xml:space="preserve"> or </w:t>
      </w:r>
      <w:r w:rsidR="007A75B0" w:rsidRPr="00632E38">
        <w:rPr>
          <w:rFonts w:ascii="Times New Roman" w:hAnsi="Times New Roman" w:cs="Times New Roman"/>
          <w:sz w:val="18"/>
          <w:szCs w:val="24"/>
        </w:rPr>
        <w:t>GO</w:t>
      </w:r>
      <w:r w:rsidR="00D0301A" w:rsidRPr="00632E38">
        <w:rPr>
          <w:rFonts w:ascii="Times New Roman" w:hAnsi="Times New Roman" w:cs="Times New Roman"/>
          <w:sz w:val="18"/>
          <w:szCs w:val="24"/>
        </w:rPr>
        <w:t>.</w:t>
      </w:r>
      <w:r w:rsidR="004B078E" w:rsidRPr="00632E38">
        <w:rPr>
          <w:rFonts w:ascii="Times New Roman" w:hAnsi="Times New Roman" w:cs="Times New Roman"/>
          <w:sz w:val="18"/>
          <w:szCs w:val="24"/>
        </w:rPr>
        <w:t xml:space="preserve"> </w:t>
      </w:r>
      <w:r w:rsidR="002809B3">
        <w:rPr>
          <w:rFonts w:ascii="Times New Roman" w:hAnsi="Times New Roman" w:cs="Times New Roman"/>
          <w:sz w:val="18"/>
          <w:szCs w:val="24"/>
        </w:rPr>
        <w:t>Calf</w:t>
      </w:r>
      <w:r w:rsidR="002A6B3B">
        <w:rPr>
          <w:rFonts w:ascii="Times New Roman" w:hAnsi="Times New Roman" w:cs="Times New Roman"/>
          <w:sz w:val="18"/>
          <w:szCs w:val="24"/>
        </w:rPr>
        <w:t xml:space="preserve"> mean date of birth was </w:t>
      </w:r>
      <w:r w:rsidR="00090C39">
        <w:rPr>
          <w:rFonts w:ascii="Times New Roman" w:hAnsi="Times New Roman" w:cs="Times New Roman"/>
          <w:sz w:val="18"/>
          <w:szCs w:val="24"/>
        </w:rPr>
        <w:t xml:space="preserve">26 </w:t>
      </w:r>
      <w:r w:rsidR="002809B3">
        <w:rPr>
          <w:rFonts w:ascii="Times New Roman" w:hAnsi="Times New Roman" w:cs="Times New Roman"/>
          <w:sz w:val="18"/>
          <w:szCs w:val="24"/>
        </w:rPr>
        <w:t>February 2023</w:t>
      </w:r>
      <w:r w:rsidR="00090C39">
        <w:rPr>
          <w:rFonts w:ascii="Times New Roman" w:hAnsi="Times New Roman" w:cs="Times New Roman"/>
          <w:sz w:val="18"/>
          <w:szCs w:val="24"/>
        </w:rPr>
        <w:t xml:space="preserve">, and mean </w:t>
      </w:r>
      <w:r w:rsidR="002809B3">
        <w:rPr>
          <w:rFonts w:ascii="Times New Roman" w:hAnsi="Times New Roman" w:cs="Times New Roman"/>
          <w:sz w:val="18"/>
          <w:szCs w:val="24"/>
        </w:rPr>
        <w:t xml:space="preserve">birth </w:t>
      </w:r>
      <w:r w:rsidR="00090C39">
        <w:rPr>
          <w:rFonts w:ascii="Times New Roman" w:hAnsi="Times New Roman" w:cs="Times New Roman"/>
          <w:sz w:val="18"/>
          <w:szCs w:val="24"/>
        </w:rPr>
        <w:t>weight</w:t>
      </w:r>
      <w:r w:rsidR="002A6B3B">
        <w:rPr>
          <w:rFonts w:ascii="Times New Roman" w:hAnsi="Times New Roman" w:cs="Times New Roman"/>
          <w:sz w:val="18"/>
          <w:szCs w:val="24"/>
        </w:rPr>
        <w:t xml:space="preserve"> </w:t>
      </w:r>
      <w:r w:rsidR="00090C39">
        <w:rPr>
          <w:rFonts w:ascii="Times New Roman" w:hAnsi="Times New Roman" w:cs="Times New Roman"/>
          <w:sz w:val="18"/>
          <w:szCs w:val="24"/>
        </w:rPr>
        <w:t xml:space="preserve">was 45 kg. </w:t>
      </w:r>
      <w:r w:rsidR="00A97ACE" w:rsidRPr="00632E38">
        <w:rPr>
          <w:rFonts w:ascii="Times New Roman" w:hAnsi="Times New Roman" w:cs="Times New Roman"/>
          <w:sz w:val="18"/>
          <w:szCs w:val="24"/>
        </w:rPr>
        <w:t>Treatments were balanced</w:t>
      </w:r>
      <w:r w:rsidR="00A97ACE">
        <w:rPr>
          <w:rFonts w:ascii="Times New Roman" w:hAnsi="Times New Roman" w:cs="Times New Roman"/>
          <w:sz w:val="18"/>
          <w:szCs w:val="24"/>
        </w:rPr>
        <w:t xml:space="preserve"> for sire </w:t>
      </w:r>
      <w:r w:rsidR="00A97ACE" w:rsidRPr="00830615">
        <w:rPr>
          <w:rFonts w:ascii="Times New Roman" w:hAnsi="Times New Roman" w:cs="Times New Roman"/>
          <w:sz w:val="18"/>
          <w:szCs w:val="24"/>
        </w:rPr>
        <w:t>breed</w:t>
      </w:r>
      <w:r w:rsidR="00A97ACE">
        <w:rPr>
          <w:rFonts w:ascii="Times New Roman" w:hAnsi="Times New Roman" w:cs="Times New Roman"/>
          <w:sz w:val="18"/>
          <w:szCs w:val="24"/>
        </w:rPr>
        <w:t>,</w:t>
      </w:r>
      <w:r w:rsidR="00A97ACE" w:rsidRPr="00830615">
        <w:rPr>
          <w:rFonts w:ascii="Times New Roman" w:hAnsi="Times New Roman" w:cs="Times New Roman"/>
          <w:sz w:val="18"/>
          <w:szCs w:val="24"/>
        </w:rPr>
        <w:t xml:space="preserve"> </w:t>
      </w:r>
      <w:r w:rsidR="00A97ACE">
        <w:rPr>
          <w:rFonts w:ascii="Times New Roman" w:hAnsi="Times New Roman" w:cs="Times New Roman"/>
          <w:sz w:val="18"/>
          <w:szCs w:val="24"/>
        </w:rPr>
        <w:t xml:space="preserve">calf sex, calf </w:t>
      </w:r>
      <w:r w:rsidR="00A97ACE" w:rsidRPr="00830615">
        <w:rPr>
          <w:rFonts w:ascii="Times New Roman" w:hAnsi="Times New Roman" w:cs="Times New Roman"/>
          <w:sz w:val="18"/>
          <w:szCs w:val="24"/>
        </w:rPr>
        <w:t>weight</w:t>
      </w:r>
      <w:r w:rsidR="00A97ACE">
        <w:rPr>
          <w:rFonts w:ascii="Times New Roman" w:hAnsi="Times New Roman" w:cs="Times New Roman"/>
          <w:sz w:val="18"/>
          <w:szCs w:val="24"/>
        </w:rPr>
        <w:t>,</w:t>
      </w:r>
      <w:r w:rsidR="00A97ACE" w:rsidRPr="00830615">
        <w:rPr>
          <w:rFonts w:ascii="Times New Roman" w:hAnsi="Times New Roman" w:cs="Times New Roman"/>
          <w:sz w:val="18"/>
          <w:szCs w:val="24"/>
        </w:rPr>
        <w:t xml:space="preserve"> date of birt</w:t>
      </w:r>
      <w:r w:rsidR="00A97ACE">
        <w:rPr>
          <w:rFonts w:ascii="Times New Roman" w:hAnsi="Times New Roman" w:cs="Times New Roman"/>
          <w:sz w:val="18"/>
          <w:szCs w:val="24"/>
        </w:rPr>
        <w:t xml:space="preserve">h, and dam </w:t>
      </w:r>
      <w:r w:rsidR="003E00D2">
        <w:rPr>
          <w:rFonts w:ascii="Times New Roman" w:hAnsi="Times New Roman" w:cs="Times New Roman"/>
          <w:sz w:val="18"/>
          <w:szCs w:val="24"/>
        </w:rPr>
        <w:t xml:space="preserve">parity and live </w:t>
      </w:r>
      <w:r w:rsidR="00A97ACE">
        <w:rPr>
          <w:rFonts w:ascii="Times New Roman" w:hAnsi="Times New Roman" w:cs="Times New Roman"/>
          <w:sz w:val="18"/>
          <w:szCs w:val="24"/>
        </w:rPr>
        <w:t>weight</w:t>
      </w:r>
      <w:r w:rsidR="00F52B2E">
        <w:rPr>
          <w:rFonts w:ascii="Times New Roman" w:hAnsi="Times New Roman" w:cs="Times New Roman"/>
          <w:sz w:val="18"/>
          <w:szCs w:val="24"/>
        </w:rPr>
        <w:t>.</w:t>
      </w:r>
      <w:r w:rsidR="00972EC3">
        <w:rPr>
          <w:rFonts w:ascii="Times New Roman" w:hAnsi="Times New Roman" w:cs="Times New Roman"/>
          <w:sz w:val="18"/>
          <w:szCs w:val="24"/>
        </w:rPr>
        <w:t xml:space="preserve"> </w:t>
      </w:r>
      <w:r w:rsidR="00F52B2E">
        <w:rPr>
          <w:rFonts w:ascii="Times New Roman" w:hAnsi="Times New Roman" w:cs="Times New Roman"/>
          <w:sz w:val="18"/>
          <w:szCs w:val="24"/>
        </w:rPr>
        <w:t>A</w:t>
      </w:r>
      <w:r w:rsidR="008A075B">
        <w:rPr>
          <w:rFonts w:ascii="Times New Roman" w:hAnsi="Times New Roman" w:cs="Times New Roman"/>
          <w:sz w:val="18"/>
          <w:szCs w:val="24"/>
        </w:rPr>
        <w:t>ll cows and c</w:t>
      </w:r>
      <w:r w:rsidR="0066260A">
        <w:rPr>
          <w:rFonts w:ascii="Times New Roman" w:hAnsi="Times New Roman" w:cs="Times New Roman"/>
          <w:sz w:val="18"/>
          <w:szCs w:val="24"/>
        </w:rPr>
        <w:t>a</w:t>
      </w:r>
      <w:r w:rsidR="008A075B">
        <w:rPr>
          <w:rFonts w:ascii="Times New Roman" w:hAnsi="Times New Roman" w:cs="Times New Roman"/>
          <w:sz w:val="18"/>
          <w:szCs w:val="24"/>
        </w:rPr>
        <w:t>l</w:t>
      </w:r>
      <w:r w:rsidR="0066260A">
        <w:rPr>
          <w:rFonts w:ascii="Times New Roman" w:hAnsi="Times New Roman" w:cs="Times New Roman"/>
          <w:sz w:val="18"/>
          <w:szCs w:val="24"/>
        </w:rPr>
        <w:t>ves were turned out to pasture on</w:t>
      </w:r>
      <w:r w:rsidR="00EE5716">
        <w:rPr>
          <w:rFonts w:ascii="Times New Roman" w:hAnsi="Times New Roman" w:cs="Times New Roman"/>
          <w:sz w:val="18"/>
          <w:szCs w:val="24"/>
        </w:rPr>
        <w:t xml:space="preserve"> </w:t>
      </w:r>
      <w:r w:rsidR="00D26901">
        <w:rPr>
          <w:rFonts w:ascii="Times New Roman" w:hAnsi="Times New Roman" w:cs="Times New Roman"/>
          <w:sz w:val="18"/>
          <w:szCs w:val="24"/>
        </w:rPr>
        <w:t xml:space="preserve">3 </w:t>
      </w:r>
      <w:r w:rsidR="00EE5716">
        <w:rPr>
          <w:rFonts w:ascii="Times New Roman" w:hAnsi="Times New Roman" w:cs="Times New Roman"/>
          <w:sz w:val="18"/>
          <w:szCs w:val="24"/>
        </w:rPr>
        <w:t xml:space="preserve">April </w:t>
      </w:r>
      <w:r w:rsidR="00D26901">
        <w:rPr>
          <w:rFonts w:ascii="Times New Roman" w:hAnsi="Times New Roman" w:cs="Times New Roman"/>
          <w:sz w:val="18"/>
          <w:szCs w:val="24"/>
        </w:rPr>
        <w:t>2023</w:t>
      </w:r>
      <w:r w:rsidR="00EE5716">
        <w:rPr>
          <w:rFonts w:ascii="Times New Roman" w:hAnsi="Times New Roman" w:cs="Times New Roman"/>
          <w:sz w:val="18"/>
          <w:szCs w:val="24"/>
        </w:rPr>
        <w:t>.</w:t>
      </w:r>
      <w:r w:rsidR="0066260A">
        <w:rPr>
          <w:rFonts w:ascii="Times New Roman" w:hAnsi="Times New Roman" w:cs="Times New Roman"/>
          <w:sz w:val="18"/>
          <w:szCs w:val="24"/>
        </w:rPr>
        <w:t xml:space="preserve"> The GO progeny grazed perennial ryegrass</w:t>
      </w:r>
      <w:r w:rsidR="00F52B2E">
        <w:rPr>
          <w:rFonts w:ascii="Times New Roman" w:hAnsi="Times New Roman" w:cs="Times New Roman"/>
          <w:sz w:val="18"/>
          <w:szCs w:val="24"/>
        </w:rPr>
        <w:t>-only</w:t>
      </w:r>
      <w:r w:rsidR="0066260A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66260A">
        <w:rPr>
          <w:rFonts w:ascii="Times New Roman" w:hAnsi="Times New Roman" w:cs="Times New Roman"/>
          <w:sz w:val="18"/>
          <w:szCs w:val="24"/>
        </w:rPr>
        <w:t xml:space="preserve">swards with their dam up to ca. </w:t>
      </w:r>
      <w:r w:rsidR="00F871AB">
        <w:rPr>
          <w:rFonts w:ascii="Times New Roman" w:hAnsi="Times New Roman" w:cs="Times New Roman"/>
          <w:sz w:val="18"/>
          <w:szCs w:val="24"/>
        </w:rPr>
        <w:t>7.4</w:t>
      </w:r>
      <w:r w:rsidR="0066260A">
        <w:rPr>
          <w:rFonts w:ascii="Times New Roman" w:hAnsi="Times New Roman" w:cs="Times New Roman"/>
          <w:sz w:val="18"/>
          <w:szCs w:val="24"/>
        </w:rPr>
        <w:t xml:space="preserve"> months of age, following which they were weaned, and </w:t>
      </w:r>
      <w:r w:rsidR="00F871AB">
        <w:rPr>
          <w:rFonts w:ascii="Times New Roman" w:hAnsi="Times New Roman" w:cs="Times New Roman"/>
          <w:sz w:val="18"/>
          <w:szCs w:val="24"/>
        </w:rPr>
        <w:t>four</w:t>
      </w:r>
      <w:r w:rsidR="0066260A">
        <w:rPr>
          <w:rFonts w:ascii="Times New Roman" w:hAnsi="Times New Roman" w:cs="Times New Roman"/>
          <w:sz w:val="18"/>
          <w:szCs w:val="24"/>
        </w:rPr>
        <w:t xml:space="preserve"> weeks later were housed and offered grass</w:t>
      </w:r>
      <w:r w:rsidR="00D26901">
        <w:rPr>
          <w:rFonts w:ascii="Times New Roman" w:hAnsi="Times New Roman" w:cs="Times New Roman"/>
          <w:sz w:val="18"/>
          <w:szCs w:val="24"/>
        </w:rPr>
        <w:t>-only</w:t>
      </w:r>
      <w:r w:rsidR="0066260A">
        <w:rPr>
          <w:rFonts w:ascii="Times New Roman" w:hAnsi="Times New Roman" w:cs="Times New Roman"/>
          <w:sz w:val="18"/>
          <w:szCs w:val="24"/>
        </w:rPr>
        <w:t xml:space="preserve"> silage </w:t>
      </w:r>
      <w:r w:rsidR="0066260A">
        <w:rPr>
          <w:rFonts w:ascii="Times New Roman" w:hAnsi="Times New Roman" w:cs="Times New Roman"/>
          <w:i/>
          <w:sz w:val="18"/>
          <w:szCs w:val="24"/>
        </w:rPr>
        <w:t xml:space="preserve">ad libitum </w:t>
      </w:r>
      <w:r w:rsidR="008A075B">
        <w:rPr>
          <w:rFonts w:ascii="Times New Roman" w:hAnsi="Times New Roman" w:cs="Times New Roman"/>
          <w:i/>
          <w:sz w:val="18"/>
          <w:szCs w:val="24"/>
        </w:rPr>
        <w:t xml:space="preserve">+ </w:t>
      </w:r>
      <w:r w:rsidR="00F871AB" w:rsidRPr="00F871AB">
        <w:rPr>
          <w:rFonts w:ascii="Times New Roman" w:hAnsi="Times New Roman" w:cs="Times New Roman"/>
          <w:sz w:val="18"/>
          <w:szCs w:val="24"/>
        </w:rPr>
        <w:t>1.25</w:t>
      </w:r>
      <w:r w:rsidR="00B16D14">
        <w:rPr>
          <w:rFonts w:ascii="Times New Roman" w:hAnsi="Times New Roman" w:cs="Times New Roman"/>
          <w:sz w:val="18"/>
          <w:szCs w:val="24"/>
        </w:rPr>
        <w:t xml:space="preserve"> </w:t>
      </w:r>
      <w:r w:rsidR="0066260A">
        <w:rPr>
          <w:rFonts w:ascii="Times New Roman" w:hAnsi="Times New Roman" w:cs="Times New Roman"/>
          <w:sz w:val="18"/>
          <w:szCs w:val="24"/>
        </w:rPr>
        <w:t xml:space="preserve">kg </w:t>
      </w:r>
      <w:r w:rsidR="00D26901">
        <w:rPr>
          <w:rFonts w:ascii="Times New Roman" w:hAnsi="Times New Roman" w:cs="Times New Roman"/>
          <w:sz w:val="18"/>
          <w:szCs w:val="24"/>
        </w:rPr>
        <w:t>dry matter</w:t>
      </w:r>
      <w:r w:rsidR="0066260A">
        <w:rPr>
          <w:rFonts w:ascii="Times New Roman" w:hAnsi="Times New Roman" w:cs="Times New Roman"/>
          <w:sz w:val="18"/>
          <w:szCs w:val="24"/>
        </w:rPr>
        <w:t xml:space="preserve"> (DM) concentrate/head for </w:t>
      </w:r>
      <w:r w:rsidR="00BF0786">
        <w:rPr>
          <w:rFonts w:ascii="Times New Roman" w:hAnsi="Times New Roman" w:cs="Times New Roman"/>
          <w:sz w:val="18"/>
          <w:szCs w:val="24"/>
        </w:rPr>
        <w:t>155</w:t>
      </w:r>
      <w:r w:rsidR="0066260A">
        <w:rPr>
          <w:rFonts w:ascii="Times New Roman" w:hAnsi="Times New Roman" w:cs="Times New Roman"/>
          <w:sz w:val="18"/>
          <w:szCs w:val="24"/>
        </w:rPr>
        <w:t xml:space="preserve"> days</w:t>
      </w:r>
      <w:r w:rsidR="008A075B">
        <w:rPr>
          <w:rFonts w:ascii="Times New Roman" w:hAnsi="Times New Roman" w:cs="Times New Roman"/>
          <w:sz w:val="18"/>
          <w:szCs w:val="24"/>
        </w:rPr>
        <w:t xml:space="preserve">. </w:t>
      </w:r>
      <w:r w:rsidR="00632E38">
        <w:rPr>
          <w:rFonts w:ascii="Times New Roman" w:hAnsi="Times New Roman" w:cs="Times New Roman"/>
          <w:sz w:val="18"/>
          <w:szCs w:val="24"/>
        </w:rPr>
        <w:t>At the end of the indoor winter</w:t>
      </w:r>
      <w:r w:rsidR="008A075B">
        <w:rPr>
          <w:rFonts w:ascii="Times New Roman" w:hAnsi="Times New Roman" w:cs="Times New Roman"/>
          <w:sz w:val="18"/>
          <w:szCs w:val="24"/>
        </w:rPr>
        <w:t xml:space="preserve"> they were turned out </w:t>
      </w:r>
      <w:r w:rsidR="00632E38">
        <w:rPr>
          <w:rFonts w:ascii="Times New Roman" w:hAnsi="Times New Roman" w:cs="Times New Roman"/>
          <w:sz w:val="18"/>
          <w:szCs w:val="24"/>
        </w:rPr>
        <w:t>to pasture (</w:t>
      </w:r>
      <w:r w:rsidR="00524DE4">
        <w:rPr>
          <w:rFonts w:ascii="Times New Roman" w:hAnsi="Times New Roman" w:cs="Times New Roman"/>
          <w:sz w:val="18"/>
          <w:szCs w:val="24"/>
        </w:rPr>
        <w:t>12 April 2024</w:t>
      </w:r>
      <w:r w:rsidR="00632E38">
        <w:rPr>
          <w:rFonts w:ascii="Times New Roman" w:hAnsi="Times New Roman" w:cs="Times New Roman"/>
          <w:sz w:val="18"/>
          <w:szCs w:val="24"/>
        </w:rPr>
        <w:t>)</w:t>
      </w:r>
      <w:r w:rsidR="008A075B">
        <w:rPr>
          <w:rFonts w:ascii="Times New Roman" w:hAnsi="Times New Roman" w:cs="Times New Roman"/>
          <w:sz w:val="18"/>
          <w:szCs w:val="24"/>
        </w:rPr>
        <w:t xml:space="preserve"> and grazed </w:t>
      </w:r>
      <w:r w:rsidR="00F52B2E">
        <w:rPr>
          <w:rFonts w:ascii="Times New Roman" w:hAnsi="Times New Roman" w:cs="Times New Roman"/>
          <w:sz w:val="18"/>
          <w:szCs w:val="24"/>
        </w:rPr>
        <w:t>perennial ryegrass</w:t>
      </w:r>
      <w:r w:rsidR="008A075B">
        <w:rPr>
          <w:rFonts w:ascii="Times New Roman" w:hAnsi="Times New Roman" w:cs="Times New Roman"/>
          <w:sz w:val="18"/>
          <w:szCs w:val="24"/>
        </w:rPr>
        <w:t>-only swards for their ‘second’ grazing season</w:t>
      </w:r>
      <w:r w:rsidR="00A074FA">
        <w:rPr>
          <w:rFonts w:ascii="Times New Roman" w:hAnsi="Times New Roman" w:cs="Times New Roman"/>
          <w:sz w:val="18"/>
          <w:szCs w:val="24"/>
        </w:rPr>
        <w:t>; heifers were grazed separately to steers</w:t>
      </w:r>
      <w:r w:rsidR="008A075B">
        <w:rPr>
          <w:rFonts w:ascii="Times New Roman" w:hAnsi="Times New Roman" w:cs="Times New Roman"/>
          <w:sz w:val="18"/>
          <w:szCs w:val="24"/>
        </w:rPr>
        <w:t xml:space="preserve">. </w:t>
      </w:r>
      <w:r w:rsidR="00A074FA">
        <w:rPr>
          <w:rFonts w:ascii="Times New Roman" w:hAnsi="Times New Roman" w:cs="Times New Roman"/>
          <w:sz w:val="18"/>
          <w:szCs w:val="24"/>
        </w:rPr>
        <w:t>Management of t</w:t>
      </w:r>
      <w:r w:rsidR="008A075B">
        <w:rPr>
          <w:rFonts w:ascii="Times New Roman" w:hAnsi="Times New Roman" w:cs="Times New Roman"/>
          <w:sz w:val="18"/>
          <w:szCs w:val="24"/>
        </w:rPr>
        <w:t xml:space="preserve">he GC progeny </w:t>
      </w:r>
      <w:r w:rsidR="00A074FA">
        <w:rPr>
          <w:rFonts w:ascii="Times New Roman" w:hAnsi="Times New Roman" w:cs="Times New Roman"/>
          <w:sz w:val="18"/>
          <w:szCs w:val="24"/>
        </w:rPr>
        <w:t xml:space="preserve">was </w:t>
      </w:r>
      <w:r w:rsidR="008A075B">
        <w:rPr>
          <w:rFonts w:ascii="Times New Roman" w:hAnsi="Times New Roman" w:cs="Times New Roman"/>
          <w:sz w:val="18"/>
          <w:szCs w:val="24"/>
        </w:rPr>
        <w:t xml:space="preserve">the same except </w:t>
      </w:r>
      <w:r w:rsidR="00A074FA">
        <w:rPr>
          <w:rFonts w:ascii="Times New Roman" w:hAnsi="Times New Roman" w:cs="Times New Roman"/>
          <w:sz w:val="18"/>
          <w:szCs w:val="24"/>
        </w:rPr>
        <w:t xml:space="preserve">that </w:t>
      </w:r>
      <w:r w:rsidR="008A075B">
        <w:rPr>
          <w:rFonts w:ascii="Times New Roman" w:hAnsi="Times New Roman" w:cs="Times New Roman"/>
          <w:sz w:val="18"/>
          <w:szCs w:val="24"/>
        </w:rPr>
        <w:t>they</w:t>
      </w:r>
      <w:r w:rsidR="006D0142">
        <w:rPr>
          <w:rFonts w:ascii="Times New Roman" w:hAnsi="Times New Roman" w:cs="Times New Roman"/>
          <w:sz w:val="18"/>
          <w:szCs w:val="24"/>
        </w:rPr>
        <w:t xml:space="preserve"> grazed perennial ryegrass-</w:t>
      </w:r>
      <w:r w:rsidR="008A075B">
        <w:rPr>
          <w:rFonts w:ascii="Times New Roman" w:hAnsi="Times New Roman" w:cs="Times New Roman"/>
          <w:sz w:val="18"/>
          <w:szCs w:val="24"/>
        </w:rPr>
        <w:t>white clover</w:t>
      </w:r>
      <w:r w:rsidR="008A075B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8A075B">
        <w:rPr>
          <w:rFonts w:ascii="Times New Roman" w:hAnsi="Times New Roman" w:cs="Times New Roman"/>
          <w:sz w:val="18"/>
          <w:szCs w:val="24"/>
        </w:rPr>
        <w:t xml:space="preserve">swards </w:t>
      </w:r>
      <w:r w:rsidR="00A074FA">
        <w:rPr>
          <w:rFonts w:ascii="Times New Roman" w:hAnsi="Times New Roman" w:cs="Times New Roman"/>
          <w:sz w:val="18"/>
          <w:szCs w:val="24"/>
        </w:rPr>
        <w:t xml:space="preserve">and </w:t>
      </w:r>
      <w:r w:rsidR="008A075B">
        <w:rPr>
          <w:rFonts w:ascii="Times New Roman" w:hAnsi="Times New Roman" w:cs="Times New Roman"/>
          <w:sz w:val="18"/>
          <w:szCs w:val="24"/>
        </w:rPr>
        <w:t>were offered grass</w:t>
      </w:r>
      <w:r w:rsidR="00223950">
        <w:rPr>
          <w:rFonts w:ascii="Times New Roman" w:hAnsi="Times New Roman" w:cs="Times New Roman"/>
          <w:sz w:val="18"/>
          <w:szCs w:val="24"/>
        </w:rPr>
        <w:t>-</w:t>
      </w:r>
      <w:r w:rsidR="008A075B">
        <w:rPr>
          <w:rFonts w:ascii="Times New Roman" w:hAnsi="Times New Roman" w:cs="Times New Roman"/>
          <w:sz w:val="18"/>
          <w:szCs w:val="24"/>
        </w:rPr>
        <w:t>red clover silage during the indoor winter.</w:t>
      </w:r>
      <w:r w:rsidR="00524DE4">
        <w:rPr>
          <w:rFonts w:ascii="Times New Roman" w:hAnsi="Times New Roman" w:cs="Times New Roman"/>
          <w:sz w:val="18"/>
          <w:szCs w:val="24"/>
        </w:rPr>
        <w:t xml:space="preserve"> </w:t>
      </w:r>
      <w:r w:rsidR="00A074FA">
        <w:rPr>
          <w:rFonts w:ascii="Times New Roman" w:hAnsi="Times New Roman" w:cs="Times New Roman"/>
          <w:sz w:val="18"/>
          <w:szCs w:val="24"/>
        </w:rPr>
        <w:t>All animals were finished at pasture (</w:t>
      </w:r>
      <w:r w:rsidR="008A075B">
        <w:rPr>
          <w:rFonts w:ascii="Times New Roman" w:hAnsi="Times New Roman" w:cs="Times New Roman"/>
          <w:sz w:val="18"/>
          <w:szCs w:val="24"/>
        </w:rPr>
        <w:t>10 October 2024</w:t>
      </w:r>
      <w:r w:rsidR="00A074FA">
        <w:rPr>
          <w:rFonts w:ascii="Times New Roman" w:hAnsi="Times New Roman" w:cs="Times New Roman"/>
          <w:sz w:val="18"/>
          <w:szCs w:val="24"/>
        </w:rPr>
        <w:t>)</w:t>
      </w:r>
      <w:r w:rsidR="008A075B">
        <w:rPr>
          <w:rFonts w:ascii="Times New Roman" w:hAnsi="Times New Roman" w:cs="Times New Roman"/>
          <w:sz w:val="18"/>
          <w:szCs w:val="24"/>
        </w:rPr>
        <w:t xml:space="preserve"> at </w:t>
      </w:r>
      <w:r w:rsidR="00F52B2E">
        <w:rPr>
          <w:rFonts w:ascii="Times New Roman" w:hAnsi="Times New Roman" w:cs="Times New Roman"/>
          <w:sz w:val="18"/>
          <w:szCs w:val="24"/>
        </w:rPr>
        <w:t xml:space="preserve">a mean age of </w:t>
      </w:r>
      <w:r w:rsidR="00BF0786">
        <w:rPr>
          <w:rFonts w:ascii="Times New Roman" w:hAnsi="Times New Roman" w:cs="Times New Roman"/>
          <w:sz w:val="18"/>
          <w:szCs w:val="24"/>
        </w:rPr>
        <w:t>19.5</w:t>
      </w:r>
      <w:r w:rsidR="008A075B">
        <w:rPr>
          <w:rFonts w:ascii="Times New Roman" w:hAnsi="Times New Roman" w:cs="Times New Roman"/>
          <w:sz w:val="18"/>
          <w:szCs w:val="24"/>
        </w:rPr>
        <w:t xml:space="preserve"> months. </w:t>
      </w:r>
      <w:r w:rsidR="00C7024E" w:rsidRPr="00830615">
        <w:rPr>
          <w:rFonts w:ascii="Times New Roman" w:hAnsi="Times New Roman" w:cs="Times New Roman"/>
          <w:sz w:val="18"/>
          <w:szCs w:val="24"/>
        </w:rPr>
        <w:t>On average, t</w:t>
      </w:r>
      <w:r w:rsidR="00F7075A" w:rsidRPr="00830615">
        <w:rPr>
          <w:rFonts w:ascii="Times New Roman" w:hAnsi="Times New Roman" w:cs="Times New Roman"/>
          <w:sz w:val="18"/>
          <w:szCs w:val="24"/>
        </w:rPr>
        <w:t xml:space="preserve">he GO </w:t>
      </w:r>
      <w:r w:rsidR="008A075B">
        <w:rPr>
          <w:rFonts w:ascii="Times New Roman" w:hAnsi="Times New Roman" w:cs="Times New Roman"/>
          <w:sz w:val="18"/>
          <w:szCs w:val="24"/>
        </w:rPr>
        <w:t xml:space="preserve">and GC </w:t>
      </w:r>
      <w:r w:rsidR="008B7A95">
        <w:rPr>
          <w:rFonts w:ascii="Times New Roman" w:hAnsi="Times New Roman" w:cs="Times New Roman"/>
          <w:sz w:val="18"/>
          <w:szCs w:val="24"/>
        </w:rPr>
        <w:t>land area</w:t>
      </w:r>
      <w:r w:rsidR="00524DE4">
        <w:rPr>
          <w:rFonts w:ascii="Times New Roman" w:hAnsi="Times New Roman" w:cs="Times New Roman"/>
          <w:sz w:val="18"/>
          <w:szCs w:val="24"/>
        </w:rPr>
        <w:t>s</w:t>
      </w:r>
      <w:r w:rsidR="008B7A95">
        <w:rPr>
          <w:rFonts w:ascii="Times New Roman" w:hAnsi="Times New Roman" w:cs="Times New Roman"/>
          <w:sz w:val="18"/>
          <w:szCs w:val="24"/>
        </w:rPr>
        <w:t xml:space="preserve"> </w:t>
      </w:r>
      <w:r w:rsidR="00C7024E" w:rsidRPr="00830615">
        <w:rPr>
          <w:rFonts w:ascii="Times New Roman" w:hAnsi="Times New Roman" w:cs="Times New Roman"/>
          <w:sz w:val="18"/>
          <w:szCs w:val="24"/>
        </w:rPr>
        <w:t xml:space="preserve">received </w:t>
      </w:r>
      <w:r w:rsidR="00F7075A" w:rsidRPr="00684CAE">
        <w:rPr>
          <w:rFonts w:ascii="Times New Roman" w:hAnsi="Times New Roman" w:cs="Times New Roman"/>
          <w:sz w:val="18"/>
          <w:szCs w:val="24"/>
        </w:rPr>
        <w:t>1</w:t>
      </w:r>
      <w:r w:rsidR="00BF0786" w:rsidRPr="00684CAE">
        <w:rPr>
          <w:rFonts w:ascii="Times New Roman" w:hAnsi="Times New Roman" w:cs="Times New Roman"/>
          <w:sz w:val="18"/>
          <w:szCs w:val="24"/>
        </w:rPr>
        <w:t>45</w:t>
      </w:r>
      <w:r w:rsidR="008A075B" w:rsidRPr="00684CAE">
        <w:rPr>
          <w:rFonts w:ascii="Times New Roman" w:hAnsi="Times New Roman" w:cs="Times New Roman"/>
          <w:sz w:val="18"/>
          <w:szCs w:val="24"/>
        </w:rPr>
        <w:t xml:space="preserve"> and 75 kg</w:t>
      </w:r>
      <w:r w:rsidR="008A075B">
        <w:rPr>
          <w:rFonts w:ascii="Times New Roman" w:hAnsi="Times New Roman" w:cs="Times New Roman"/>
          <w:sz w:val="18"/>
          <w:szCs w:val="24"/>
        </w:rPr>
        <w:t xml:space="preserve"> of </w:t>
      </w:r>
      <w:r w:rsidR="00F52B2E">
        <w:rPr>
          <w:rFonts w:ascii="Times New Roman" w:hAnsi="Times New Roman" w:cs="Times New Roman"/>
          <w:sz w:val="18"/>
          <w:szCs w:val="24"/>
        </w:rPr>
        <w:t>chemical</w:t>
      </w:r>
      <w:r w:rsidR="00F7075A" w:rsidRPr="00830615">
        <w:rPr>
          <w:rFonts w:ascii="Times New Roman" w:hAnsi="Times New Roman" w:cs="Times New Roman"/>
          <w:sz w:val="18"/>
          <w:szCs w:val="24"/>
        </w:rPr>
        <w:t xml:space="preserve"> N</w:t>
      </w:r>
      <w:r w:rsidR="00F52B2E">
        <w:rPr>
          <w:rFonts w:ascii="Times New Roman" w:hAnsi="Times New Roman" w:cs="Times New Roman"/>
          <w:sz w:val="18"/>
          <w:szCs w:val="24"/>
        </w:rPr>
        <w:t xml:space="preserve"> fertiliser per</w:t>
      </w:r>
      <w:r w:rsidR="00C97D9A">
        <w:rPr>
          <w:rFonts w:ascii="Times New Roman" w:hAnsi="Times New Roman" w:cs="Times New Roman"/>
          <w:sz w:val="18"/>
          <w:szCs w:val="24"/>
        </w:rPr>
        <w:t xml:space="preserve"> hectare</w:t>
      </w:r>
      <w:r w:rsidR="00524DE4">
        <w:rPr>
          <w:rFonts w:ascii="Times New Roman" w:hAnsi="Times New Roman" w:cs="Times New Roman"/>
          <w:sz w:val="18"/>
          <w:szCs w:val="24"/>
        </w:rPr>
        <w:t>, respectively</w:t>
      </w:r>
      <w:r w:rsidR="008A075B">
        <w:rPr>
          <w:rFonts w:ascii="Times New Roman" w:hAnsi="Times New Roman" w:cs="Times New Roman"/>
          <w:sz w:val="18"/>
          <w:szCs w:val="24"/>
        </w:rPr>
        <w:t>.</w:t>
      </w:r>
      <w:r w:rsidR="00C7024E" w:rsidRPr="00830615">
        <w:rPr>
          <w:rFonts w:ascii="Times New Roman" w:hAnsi="Times New Roman" w:cs="Times New Roman"/>
          <w:sz w:val="18"/>
          <w:szCs w:val="24"/>
        </w:rPr>
        <w:t xml:space="preserve"> </w:t>
      </w:r>
      <w:r w:rsidR="005422A2">
        <w:rPr>
          <w:rFonts w:ascii="Times New Roman" w:hAnsi="Times New Roman" w:cs="Times New Roman"/>
          <w:sz w:val="18"/>
          <w:szCs w:val="24"/>
        </w:rPr>
        <w:t>Male calves were castrated at ca. 6 months of age</w:t>
      </w:r>
      <w:r w:rsidR="005422A2">
        <w:rPr>
          <w:rFonts w:ascii="Times New Roman" w:hAnsi="Times New Roman" w:cs="Times New Roman"/>
          <w:b/>
          <w:i/>
          <w:sz w:val="20"/>
          <w:szCs w:val="24"/>
        </w:rPr>
        <w:t xml:space="preserve">. </w:t>
      </w:r>
      <w:r w:rsidR="008D70BF">
        <w:rPr>
          <w:rFonts w:ascii="Times New Roman" w:hAnsi="Times New Roman" w:cs="Times New Roman"/>
          <w:sz w:val="18"/>
          <w:szCs w:val="24"/>
        </w:rPr>
        <w:t>P</w:t>
      </w:r>
      <w:r w:rsidR="00C33417" w:rsidRPr="00830615">
        <w:rPr>
          <w:rFonts w:ascii="Times New Roman" w:hAnsi="Times New Roman" w:cs="Times New Roman"/>
          <w:sz w:val="18"/>
          <w:szCs w:val="24"/>
        </w:rPr>
        <w:t>re-</w:t>
      </w:r>
      <w:r w:rsidR="008D70BF">
        <w:rPr>
          <w:rFonts w:ascii="Times New Roman" w:hAnsi="Times New Roman" w:cs="Times New Roman"/>
          <w:sz w:val="18"/>
          <w:szCs w:val="24"/>
        </w:rPr>
        <w:t xml:space="preserve">grazing </w:t>
      </w:r>
      <w:r w:rsidR="00C33417" w:rsidRPr="00830615">
        <w:rPr>
          <w:rFonts w:ascii="Times New Roman" w:hAnsi="Times New Roman" w:cs="Times New Roman"/>
          <w:sz w:val="18"/>
          <w:szCs w:val="24"/>
        </w:rPr>
        <w:t>herbage mass, sward pre</w:t>
      </w:r>
      <w:r w:rsidR="008D70BF">
        <w:rPr>
          <w:rFonts w:ascii="Times New Roman" w:hAnsi="Times New Roman" w:cs="Times New Roman"/>
          <w:sz w:val="18"/>
          <w:szCs w:val="24"/>
        </w:rPr>
        <w:t>-</w:t>
      </w:r>
      <w:r w:rsidR="00C33417" w:rsidRPr="00830615">
        <w:rPr>
          <w:rFonts w:ascii="Times New Roman" w:hAnsi="Times New Roman" w:cs="Times New Roman"/>
          <w:sz w:val="18"/>
          <w:szCs w:val="24"/>
        </w:rPr>
        <w:t xml:space="preserve"> and post-grazing height, and clover</w:t>
      </w:r>
      <w:r w:rsidR="00935B0F" w:rsidRPr="00830615">
        <w:rPr>
          <w:rFonts w:ascii="Times New Roman" w:hAnsi="Times New Roman" w:cs="Times New Roman"/>
          <w:sz w:val="18"/>
          <w:szCs w:val="24"/>
        </w:rPr>
        <w:t xml:space="preserve"> </w:t>
      </w:r>
      <w:r w:rsidR="003A291A">
        <w:rPr>
          <w:rFonts w:ascii="Times New Roman" w:hAnsi="Times New Roman" w:cs="Times New Roman"/>
          <w:sz w:val="18"/>
          <w:szCs w:val="24"/>
        </w:rPr>
        <w:t>composition</w:t>
      </w:r>
      <w:r w:rsidR="008D70BF">
        <w:rPr>
          <w:rFonts w:ascii="Times New Roman" w:hAnsi="Times New Roman" w:cs="Times New Roman"/>
          <w:sz w:val="18"/>
          <w:szCs w:val="24"/>
        </w:rPr>
        <w:t xml:space="preserve"> w</w:t>
      </w:r>
      <w:r w:rsidR="00A074FA">
        <w:rPr>
          <w:rFonts w:ascii="Times New Roman" w:hAnsi="Times New Roman" w:cs="Times New Roman"/>
          <w:sz w:val="18"/>
          <w:szCs w:val="24"/>
        </w:rPr>
        <w:t>ere</w:t>
      </w:r>
      <w:r w:rsidR="008D70BF">
        <w:rPr>
          <w:rFonts w:ascii="Times New Roman" w:hAnsi="Times New Roman" w:cs="Times New Roman"/>
          <w:sz w:val="18"/>
          <w:szCs w:val="24"/>
        </w:rPr>
        <w:t xml:space="preserve"> determined</w:t>
      </w:r>
      <w:r w:rsidR="003A291A">
        <w:rPr>
          <w:rFonts w:ascii="Times New Roman" w:hAnsi="Times New Roman" w:cs="Times New Roman"/>
          <w:sz w:val="18"/>
          <w:szCs w:val="24"/>
        </w:rPr>
        <w:t xml:space="preserve"> as described </w:t>
      </w:r>
      <w:r w:rsidR="00A074FA">
        <w:rPr>
          <w:rFonts w:ascii="Times New Roman" w:hAnsi="Times New Roman" w:cs="Times New Roman"/>
          <w:sz w:val="18"/>
          <w:szCs w:val="24"/>
        </w:rPr>
        <w:t>previously (</w:t>
      </w:r>
      <w:r w:rsidR="003A291A" w:rsidRPr="000A267A">
        <w:rPr>
          <w:rFonts w:ascii="Times New Roman" w:hAnsi="Times New Roman" w:cs="Times New Roman"/>
          <w:sz w:val="18"/>
          <w:szCs w:val="24"/>
        </w:rPr>
        <w:t xml:space="preserve">Fitzpatrick </w:t>
      </w:r>
      <w:r w:rsidR="003A291A" w:rsidRPr="00BF0786">
        <w:rPr>
          <w:rFonts w:ascii="Times New Roman" w:hAnsi="Times New Roman" w:cs="Times New Roman"/>
          <w:i/>
          <w:sz w:val="18"/>
          <w:szCs w:val="24"/>
        </w:rPr>
        <w:t>et al.</w:t>
      </w:r>
      <w:r w:rsidR="00A074FA">
        <w:rPr>
          <w:rFonts w:ascii="Times New Roman" w:hAnsi="Times New Roman" w:cs="Times New Roman"/>
          <w:i/>
          <w:sz w:val="18"/>
          <w:szCs w:val="24"/>
        </w:rPr>
        <w:t>,</w:t>
      </w:r>
      <w:r w:rsidR="003A291A" w:rsidRPr="00BF078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A291A">
        <w:rPr>
          <w:rFonts w:ascii="Times New Roman" w:hAnsi="Times New Roman" w:cs="Times New Roman"/>
          <w:sz w:val="18"/>
          <w:szCs w:val="24"/>
        </w:rPr>
        <w:t>2024)</w:t>
      </w:r>
      <w:r w:rsidR="00842673" w:rsidRPr="00830615">
        <w:rPr>
          <w:rFonts w:ascii="Times New Roman" w:hAnsi="Times New Roman" w:cs="Times New Roman"/>
          <w:sz w:val="18"/>
          <w:szCs w:val="24"/>
        </w:rPr>
        <w:t xml:space="preserve">. Animal </w:t>
      </w:r>
      <w:r w:rsidR="008D70BF">
        <w:rPr>
          <w:rFonts w:ascii="Times New Roman" w:hAnsi="Times New Roman" w:cs="Times New Roman"/>
          <w:sz w:val="18"/>
          <w:szCs w:val="24"/>
        </w:rPr>
        <w:t>l</w:t>
      </w:r>
      <w:r w:rsidR="00842673" w:rsidRPr="00830615">
        <w:rPr>
          <w:rFonts w:ascii="Times New Roman" w:hAnsi="Times New Roman" w:cs="Times New Roman"/>
          <w:sz w:val="18"/>
          <w:szCs w:val="24"/>
        </w:rPr>
        <w:t>ive</w:t>
      </w:r>
      <w:r w:rsidR="0080184F">
        <w:rPr>
          <w:rFonts w:ascii="Times New Roman" w:hAnsi="Times New Roman" w:cs="Times New Roman"/>
          <w:sz w:val="18"/>
          <w:szCs w:val="24"/>
        </w:rPr>
        <w:t xml:space="preserve"> </w:t>
      </w:r>
      <w:r w:rsidR="00842673" w:rsidRPr="00830615">
        <w:rPr>
          <w:rFonts w:ascii="Times New Roman" w:hAnsi="Times New Roman" w:cs="Times New Roman"/>
          <w:sz w:val="18"/>
          <w:szCs w:val="24"/>
        </w:rPr>
        <w:t xml:space="preserve">weight </w:t>
      </w:r>
      <w:r w:rsidR="002F5A6E">
        <w:rPr>
          <w:rFonts w:ascii="Times New Roman" w:hAnsi="Times New Roman" w:cs="Times New Roman"/>
          <w:sz w:val="18"/>
          <w:szCs w:val="24"/>
        </w:rPr>
        <w:t xml:space="preserve">was measured </w:t>
      </w:r>
      <w:r w:rsidR="004F7C48">
        <w:rPr>
          <w:rFonts w:ascii="Times New Roman" w:hAnsi="Times New Roman" w:cs="Times New Roman"/>
          <w:sz w:val="18"/>
          <w:szCs w:val="24"/>
        </w:rPr>
        <w:t xml:space="preserve">at birth, at the start and end of the grazing seasons and </w:t>
      </w:r>
      <w:r w:rsidR="002F5A6E">
        <w:rPr>
          <w:rFonts w:ascii="Times New Roman" w:hAnsi="Times New Roman" w:cs="Times New Roman"/>
          <w:sz w:val="18"/>
          <w:szCs w:val="24"/>
        </w:rPr>
        <w:t xml:space="preserve">every </w:t>
      </w:r>
      <w:r w:rsidR="00A074FA">
        <w:rPr>
          <w:rFonts w:ascii="Times New Roman" w:hAnsi="Times New Roman" w:cs="Times New Roman"/>
          <w:sz w:val="18"/>
          <w:szCs w:val="24"/>
        </w:rPr>
        <w:t>three</w:t>
      </w:r>
      <w:r w:rsidR="002F5A6E">
        <w:rPr>
          <w:rFonts w:ascii="Times New Roman" w:hAnsi="Times New Roman" w:cs="Times New Roman"/>
          <w:sz w:val="18"/>
          <w:szCs w:val="24"/>
        </w:rPr>
        <w:t xml:space="preserve"> weeks</w:t>
      </w:r>
      <w:r w:rsidR="004F7C48">
        <w:rPr>
          <w:rFonts w:ascii="Times New Roman" w:hAnsi="Times New Roman" w:cs="Times New Roman"/>
          <w:sz w:val="18"/>
          <w:szCs w:val="24"/>
        </w:rPr>
        <w:t xml:space="preserve"> in between</w:t>
      </w:r>
      <w:r w:rsidR="00A074FA">
        <w:rPr>
          <w:rFonts w:ascii="Times New Roman" w:hAnsi="Times New Roman" w:cs="Times New Roman"/>
          <w:sz w:val="18"/>
          <w:szCs w:val="24"/>
        </w:rPr>
        <w:t>. P</w:t>
      </w:r>
      <w:r w:rsidR="002F5A6E">
        <w:rPr>
          <w:rFonts w:ascii="Times New Roman" w:hAnsi="Times New Roman" w:cs="Times New Roman"/>
          <w:sz w:val="18"/>
          <w:szCs w:val="24"/>
        </w:rPr>
        <w:t>ost-slaughter</w:t>
      </w:r>
      <w:r w:rsidR="00A074FA">
        <w:rPr>
          <w:rFonts w:ascii="Times New Roman" w:hAnsi="Times New Roman" w:cs="Times New Roman"/>
          <w:sz w:val="18"/>
          <w:szCs w:val="24"/>
        </w:rPr>
        <w:t>,</w:t>
      </w:r>
      <w:r w:rsidR="002F5A6E">
        <w:rPr>
          <w:rFonts w:ascii="Times New Roman" w:hAnsi="Times New Roman" w:cs="Times New Roman"/>
          <w:sz w:val="18"/>
          <w:szCs w:val="24"/>
        </w:rPr>
        <w:t xml:space="preserve"> </w:t>
      </w:r>
      <w:r w:rsidR="00A074FA">
        <w:rPr>
          <w:rFonts w:ascii="Times New Roman" w:hAnsi="Times New Roman" w:cs="Times New Roman"/>
          <w:sz w:val="18"/>
          <w:szCs w:val="24"/>
        </w:rPr>
        <w:t>carcasses were weighed and conformation and fat score were determined</w:t>
      </w:r>
      <w:r w:rsidR="002F5A6E">
        <w:rPr>
          <w:rFonts w:ascii="Times New Roman" w:hAnsi="Times New Roman" w:cs="Times New Roman"/>
          <w:sz w:val="18"/>
          <w:szCs w:val="24"/>
        </w:rPr>
        <w:t>.</w:t>
      </w:r>
      <w:r w:rsidR="00842673" w:rsidRPr="00830615">
        <w:rPr>
          <w:rFonts w:ascii="Times New Roman" w:hAnsi="Times New Roman" w:cs="Times New Roman"/>
          <w:sz w:val="18"/>
          <w:szCs w:val="24"/>
        </w:rPr>
        <w:t xml:space="preserve"> </w:t>
      </w:r>
      <w:r w:rsidR="002F5A6E" w:rsidRPr="002F5A6E">
        <w:rPr>
          <w:rFonts w:ascii="Times New Roman" w:hAnsi="Times New Roman" w:cs="Times New Roman"/>
          <w:sz w:val="18"/>
          <w:szCs w:val="24"/>
        </w:rPr>
        <w:lastRenderedPageBreak/>
        <w:t xml:space="preserve">Data were </w:t>
      </w:r>
      <w:r w:rsidR="002F5A6E">
        <w:rPr>
          <w:rFonts w:ascii="Times New Roman" w:hAnsi="Times New Roman" w:cs="Times New Roman"/>
          <w:sz w:val="18"/>
          <w:szCs w:val="24"/>
        </w:rPr>
        <w:t>analysed using</w:t>
      </w:r>
      <w:r w:rsidR="002F5A6E" w:rsidRPr="002F5A6E">
        <w:rPr>
          <w:rFonts w:ascii="Times New Roman" w:hAnsi="Times New Roman" w:cs="Times New Roman"/>
          <w:sz w:val="18"/>
          <w:szCs w:val="24"/>
        </w:rPr>
        <w:t xml:space="preserve"> the GLM procedure in SAS; the model had fixed effects for </w:t>
      </w:r>
      <w:r w:rsidR="00490BE4">
        <w:rPr>
          <w:rFonts w:ascii="Times New Roman" w:hAnsi="Times New Roman" w:cs="Times New Roman"/>
          <w:sz w:val="18"/>
          <w:szCs w:val="24"/>
        </w:rPr>
        <w:t>pasture treatment</w:t>
      </w:r>
      <w:r w:rsidR="00A074FA">
        <w:rPr>
          <w:rFonts w:ascii="Times New Roman" w:hAnsi="Times New Roman" w:cs="Times New Roman"/>
          <w:sz w:val="18"/>
          <w:szCs w:val="24"/>
        </w:rPr>
        <w:t>,</w:t>
      </w:r>
      <w:r w:rsidR="00490BE4">
        <w:rPr>
          <w:rFonts w:ascii="Times New Roman" w:hAnsi="Times New Roman" w:cs="Times New Roman"/>
          <w:sz w:val="18"/>
          <w:szCs w:val="24"/>
        </w:rPr>
        <w:t xml:space="preserve"> </w:t>
      </w:r>
      <w:r w:rsidR="00F52B2E">
        <w:rPr>
          <w:rFonts w:ascii="Times New Roman" w:hAnsi="Times New Roman" w:cs="Times New Roman"/>
          <w:sz w:val="18"/>
          <w:szCs w:val="24"/>
        </w:rPr>
        <w:t xml:space="preserve">sex, </w:t>
      </w:r>
      <w:r w:rsidR="00A074FA">
        <w:rPr>
          <w:rFonts w:ascii="Times New Roman" w:hAnsi="Times New Roman" w:cs="Times New Roman"/>
          <w:sz w:val="18"/>
          <w:szCs w:val="24"/>
        </w:rPr>
        <w:t xml:space="preserve">sire breed, dam parity </w:t>
      </w:r>
      <w:r w:rsidR="00490BE4">
        <w:rPr>
          <w:rFonts w:ascii="Times New Roman" w:hAnsi="Times New Roman" w:cs="Times New Roman"/>
          <w:sz w:val="18"/>
          <w:szCs w:val="24"/>
        </w:rPr>
        <w:t>and</w:t>
      </w:r>
      <w:r w:rsidR="00A074FA">
        <w:rPr>
          <w:rFonts w:ascii="Times New Roman" w:hAnsi="Times New Roman" w:cs="Times New Roman"/>
          <w:sz w:val="18"/>
          <w:szCs w:val="24"/>
        </w:rPr>
        <w:t xml:space="preserve"> their </w:t>
      </w:r>
      <w:r w:rsidR="00490BE4">
        <w:rPr>
          <w:rFonts w:ascii="Times New Roman" w:hAnsi="Times New Roman" w:cs="Times New Roman"/>
          <w:sz w:val="18"/>
          <w:szCs w:val="24"/>
        </w:rPr>
        <w:t>interaction</w:t>
      </w:r>
      <w:r w:rsidR="00A074FA">
        <w:rPr>
          <w:rFonts w:ascii="Times New Roman" w:hAnsi="Times New Roman" w:cs="Times New Roman"/>
          <w:sz w:val="18"/>
          <w:szCs w:val="24"/>
        </w:rPr>
        <w:t>s</w:t>
      </w:r>
      <w:r w:rsidR="002F5A6E" w:rsidRPr="002F5A6E">
        <w:rPr>
          <w:rFonts w:ascii="Times New Roman" w:hAnsi="Times New Roman" w:cs="Times New Roman"/>
          <w:sz w:val="18"/>
          <w:szCs w:val="24"/>
        </w:rPr>
        <w:t xml:space="preserve">. </w:t>
      </w:r>
      <w:bookmarkStart w:id="0" w:name="_GoBack"/>
      <w:bookmarkEnd w:id="0"/>
    </w:p>
    <w:p w14:paraId="5686200A" w14:textId="77777777" w:rsidR="00B16D14" w:rsidRPr="000A267A" w:rsidRDefault="00350E03" w:rsidP="00B16D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  <w:r w:rsidRPr="00BF0786">
        <w:rPr>
          <w:rFonts w:ascii="Times New Roman" w:hAnsi="Times New Roman" w:cs="Times New Roman"/>
          <w:b/>
          <w:sz w:val="20"/>
          <w:szCs w:val="24"/>
        </w:rPr>
        <w:t>Results</w:t>
      </w:r>
      <w:r w:rsidR="00B16D14" w:rsidRPr="000A267A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</w:p>
    <w:p w14:paraId="728807DB" w14:textId="3D0DF843" w:rsidR="00B16D14" w:rsidRPr="00830615" w:rsidRDefault="004F7C48" w:rsidP="00B16D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Mean w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hite 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clover 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content in the grazing swards 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for GC cattle was 11% and 22% 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during 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the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first and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second grazing season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, respectively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.</w:t>
      </w:r>
      <w:r w:rsidR="00AA5876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Red clover content was </w:t>
      </w:r>
      <w:r w:rsidR="0083485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14% and</w:t>
      </w:r>
      <w:r w:rsidR="00AA5876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  <w:r w:rsidR="0083485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59% for silage 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harvests </w:t>
      </w:r>
      <w:r w:rsidR="0083485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1 and 2, respectively.</w:t>
      </w:r>
    </w:p>
    <w:p w14:paraId="67A24FCC" w14:textId="2BE5BCE8" w:rsidR="00B16D14" w:rsidRDefault="00B011AC" w:rsidP="00BB5D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There was no interaction </w:t>
      </w:r>
      <w:r w:rsidR="002809B3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between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pasture treatmen</w:t>
      </w:r>
      <w:r w:rsidR="002A6B3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t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and sex</w:t>
      </w:r>
      <w:r w:rsidR="002809B3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(P </w:t>
      </w:r>
      <w:r w:rsidR="004F7C4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&gt;</w:t>
      </w:r>
      <w:r w:rsidR="002809B3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0.</w:t>
      </w:r>
      <w:r w:rsidR="00090C39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05)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.</w:t>
      </w:r>
      <w:r w:rsidR="002A6B3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The </w:t>
      </w:r>
      <w:r w:rsidR="00975200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GC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cattle tended to</w:t>
      </w:r>
      <w:r w:rsidR="00B16D14" w:rsidRPr="00830615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be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heavier than GO cattle at housing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post-weaning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(+</w:t>
      </w:r>
      <w:r w:rsidR="00975200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12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kg; </w:t>
      </w:r>
      <w:r w:rsidR="00B16D14" w:rsidRPr="00EC3A5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P</w:t>
      </w:r>
      <w:r w:rsidR="00B16D14">
        <w:rPr>
          <w:rFonts w:ascii="Times New Roman" w:eastAsia="Times New Roman" w:hAnsi="Times New Roman" w:cs="Times New Roman"/>
          <w:i/>
          <w:sz w:val="18"/>
          <w:szCs w:val="16"/>
          <w:lang w:val="en-GB" w:eastAsia="en-GB"/>
        </w:rPr>
        <w:t xml:space="preserve">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= 0.06), and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were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heavier at turn</w:t>
      </w:r>
      <w:r w:rsidR="00975200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-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out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to pasture in spring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(+</w:t>
      </w:r>
      <w:r w:rsidR="00DC19E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27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kg; </w:t>
      </w:r>
      <w:r w:rsidR="00B16D14" w:rsidRPr="00EC3A5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P</w:t>
      </w:r>
      <w:r w:rsidR="00B16D14">
        <w:rPr>
          <w:rFonts w:ascii="Times New Roman" w:eastAsia="Times New Roman" w:hAnsi="Times New Roman" w:cs="Times New Roman"/>
          <w:i/>
          <w:sz w:val="18"/>
          <w:szCs w:val="16"/>
          <w:lang w:val="en-GB" w:eastAsia="en-GB"/>
        </w:rPr>
        <w:t xml:space="preserve"> </w:t>
      </w:r>
      <w:r w:rsidR="000A267A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&lt; 0.01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), and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at finishing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(+</w:t>
      </w:r>
      <w:r w:rsidR="00071829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27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kg; </w:t>
      </w:r>
      <w:r w:rsidR="00B16D14" w:rsidRPr="00EC3A5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P</w:t>
      </w:r>
      <w:r w:rsidR="00B16D14" w:rsidRPr="00EC3A54">
        <w:rPr>
          <w:rFonts w:ascii="Times New Roman" w:eastAsia="Times New Roman" w:hAnsi="Times New Roman" w:cs="Times New Roman"/>
          <w:i/>
          <w:sz w:val="18"/>
          <w:szCs w:val="16"/>
          <w:lang w:val="en-GB" w:eastAsia="en-GB"/>
        </w:rPr>
        <w:t xml:space="preserve"> </w:t>
      </w:r>
      <w:r w:rsidR="000A267A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&lt; 0.01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), leading to a</w:t>
      </w:r>
      <w:r w:rsidR="003E00D2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n</w:t>
      </w:r>
      <w:r w:rsidR="00684CAE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  <w:r w:rsidR="00071829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18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kg heavier carcass weight (</w:t>
      </w:r>
      <w:r w:rsidR="00B16D14" w:rsidRPr="00EC3A5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P</w:t>
      </w:r>
      <w:r w:rsidR="00B16D14">
        <w:rPr>
          <w:rFonts w:ascii="Times New Roman" w:eastAsia="Times New Roman" w:hAnsi="Times New Roman" w:cs="Times New Roman"/>
          <w:i/>
          <w:sz w:val="18"/>
          <w:szCs w:val="16"/>
          <w:lang w:val="en-GB" w:eastAsia="en-GB"/>
        </w:rPr>
        <w:t xml:space="preserve"> </w:t>
      </w:r>
      <w:r w:rsidR="000A267A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&lt; 0.001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)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(Table 1)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. Average daily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live weight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gain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to 200-days of age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(1.20 vs. 1.26 kg) and during the first winter (0.54 vs. 0.62 kg)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was lower (P &lt; 0.05) for GO than GC cattle,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but </w:t>
      </w:r>
      <w:r w:rsidR="0083739B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live weight gain </w:t>
      </w:r>
      <w:r w:rsidR="00B16D14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did not differ during the second grazing season (1.03 vs. 1.02 kg).</w:t>
      </w:r>
      <w:r w:rsidR="009520D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</w:t>
      </w:r>
      <w:r w:rsidR="00AA5876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There was a positive live weight gain response to grass-white clover during the first grazing season, and to grass-red clover silage during the first indoor winter, but no response to grass</w:t>
      </w:r>
      <w:r w:rsidR="004F7C4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-</w:t>
      </w:r>
      <w:r w:rsidR="00AA5876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white clover during the second grazing season.</w:t>
      </w:r>
    </w:p>
    <w:p w14:paraId="58DC2D09" w14:textId="77777777" w:rsidR="008336A6" w:rsidRPr="00830615" w:rsidRDefault="008336A6" w:rsidP="00221D6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tbl>
      <w:tblPr>
        <w:tblpPr w:leftFromText="180" w:rightFromText="180" w:vertAnchor="text" w:tblpY="1"/>
        <w:tblOverlap w:val="never"/>
        <w:tblW w:w="90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134"/>
        <w:gridCol w:w="1134"/>
        <w:gridCol w:w="709"/>
        <w:gridCol w:w="709"/>
        <w:gridCol w:w="646"/>
        <w:gridCol w:w="172"/>
      </w:tblGrid>
      <w:tr w:rsidR="009520D8" w:rsidRPr="002671B1" w14:paraId="5CFB9477" w14:textId="77777777" w:rsidTr="00223950">
        <w:trPr>
          <w:trHeight w:val="213"/>
        </w:trPr>
        <w:tc>
          <w:tcPr>
            <w:tcW w:w="822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11B889A4" w14:textId="77777777" w:rsidR="009520D8" w:rsidRPr="00830615" w:rsidRDefault="009520D8" w:rsidP="000A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 xml:space="preserve">Table 1. </w:t>
            </w:r>
            <w:r w:rsidRPr="0083061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en-GB" w:eastAsia="en-GB"/>
              </w:rPr>
              <w:t>Effect of grass-only or grass-clover production system on growth and carcass traits of heifers and steers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en-GB" w:eastAsia="en-GB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7D98BA" w14:textId="77777777" w:rsidR="009520D8" w:rsidRPr="00830615" w:rsidRDefault="009520D8" w:rsidP="000A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85041C" w14:textId="3756E435" w:rsidR="009520D8" w:rsidRPr="00830615" w:rsidRDefault="009520D8" w:rsidP="000A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</w:p>
        </w:tc>
      </w:tr>
      <w:tr w:rsidR="009520D8" w:rsidRPr="002671B1" w14:paraId="3F14E2B5" w14:textId="3C58D862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3A7B8175" w14:textId="29FC2008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Sex</w:t>
            </w:r>
          </w:p>
        </w:tc>
        <w:tc>
          <w:tcPr>
            <w:tcW w:w="24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F223262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Heifers</w:t>
            </w:r>
          </w:p>
        </w:tc>
        <w:tc>
          <w:tcPr>
            <w:tcW w:w="226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DF39B03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Steers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noWrap/>
          </w:tcPr>
          <w:p w14:paraId="158EB1E3" w14:textId="32E892BE" w:rsidR="009520D8" w:rsidRPr="00830615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en-GB" w:eastAsia="en-GB"/>
              </w:rPr>
            </w:pPr>
            <w:r w:rsidRPr="002F7DB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SEM</w:t>
            </w:r>
          </w:p>
        </w:tc>
        <w:tc>
          <w:tcPr>
            <w:tcW w:w="1355" w:type="dxa"/>
            <w:gridSpan w:val="2"/>
            <w:tcBorders>
              <w:left w:val="single" w:sz="2" w:space="0" w:color="auto"/>
            </w:tcBorders>
          </w:tcPr>
          <w:p w14:paraId="37720603" w14:textId="498D42B4" w:rsidR="009520D8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P-value</w:t>
            </w:r>
          </w:p>
        </w:tc>
      </w:tr>
      <w:tr w:rsidR="004D75BE" w:rsidRPr="002671B1" w14:paraId="2DD9DFA0" w14:textId="2C5D75D6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right w:val="single" w:sz="2" w:space="0" w:color="auto"/>
            </w:tcBorders>
            <w:shd w:val="clear" w:color="auto" w:fill="auto"/>
            <w:noWrap/>
            <w:hideMark/>
          </w:tcPr>
          <w:p w14:paraId="1F4A02A9" w14:textId="259344D0" w:rsidR="009520D8" w:rsidRPr="00830615" w:rsidRDefault="00B011AC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Pasture treatment</w:t>
            </w:r>
            <w:r w:rsidR="009520D8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(PT</w:t>
            </w:r>
            <w:r w:rsidR="009520D8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)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554DD1E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Grass-only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3B3ABED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Grass-clover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ED78FD2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Grass-only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EB53446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Grass-clover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noWrap/>
            <w:hideMark/>
          </w:tcPr>
          <w:p w14:paraId="28A311C3" w14:textId="18A77AD8" w:rsidR="009520D8" w:rsidRPr="00EC3B37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18"/>
                <w:szCs w:val="16"/>
                <w:lang w:val="en-GB" w:eastAsia="en-GB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12ED1F63" w14:textId="09EFD738" w:rsidR="009520D8" w:rsidRPr="002F7DB7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P</w:t>
            </w:r>
            <w:r w:rsidR="00B011A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T</w:t>
            </w:r>
          </w:p>
        </w:tc>
        <w:tc>
          <w:tcPr>
            <w:tcW w:w="646" w:type="dxa"/>
            <w:tcBorders>
              <w:left w:val="single" w:sz="2" w:space="0" w:color="auto"/>
            </w:tcBorders>
          </w:tcPr>
          <w:p w14:paraId="187E56EE" w14:textId="05D3F31C" w:rsidR="009520D8" w:rsidDel="009520D8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GB" w:eastAsia="en-GB"/>
              </w:rPr>
              <w:t>Sex</w:t>
            </w:r>
          </w:p>
        </w:tc>
      </w:tr>
      <w:tr w:rsidR="004D75BE" w:rsidRPr="002671B1" w14:paraId="2AFECC04" w14:textId="41D9A72D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A64BB9E" w14:textId="484397D5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bCs/>
                <w:i/>
                <w:sz w:val="18"/>
                <w:szCs w:val="16"/>
                <w:u w:val="single"/>
                <w:lang w:val="en-GB" w:eastAsia="en-GB"/>
              </w:rPr>
              <w:t>Live weight (kg)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57E629C" w14:textId="4B1DC4BD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C99B5B6" w14:textId="50115C74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FDD0C6A" w14:textId="4514A728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E321DBE" w14:textId="445D7B4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73ABD6B1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5827E2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GB" w:eastAsia="en-GB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EF4476" w14:textId="7777777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GB" w:eastAsia="en-GB"/>
              </w:rPr>
            </w:pPr>
          </w:p>
        </w:tc>
      </w:tr>
      <w:tr w:rsidR="004D75BE" w:rsidRPr="002671B1" w14:paraId="0AD2D699" w14:textId="572237E9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BE570CD" w14:textId="69B951D2" w:rsidR="009520D8" w:rsidRPr="00830615" w:rsidDel="009168EC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 xml:space="preserve">Birth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C25168D" w14:textId="0584C25B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5DF1443" w14:textId="5120C119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A191DB0" w14:textId="709CC414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46.6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094D07D" w14:textId="491B37F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45.7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80F264D" w14:textId="343ECC95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3D181C" w14:textId="683B3F67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0.758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C7C5B4" w14:textId="5BA1685B" w:rsidR="009520D8" w:rsidRPr="00223950" w:rsidRDefault="00090C39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</w:t>
            </w:r>
            <w:r w:rsidR="002809B3"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02</w:t>
            </w:r>
          </w:p>
        </w:tc>
      </w:tr>
      <w:tr w:rsidR="004D75BE" w:rsidRPr="002671B1" w14:paraId="0A91041B" w14:textId="48F85EFC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57F58B0" w14:textId="3D3D6602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Housing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17A3F1E" w14:textId="67E7DB23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9D419F3" w14:textId="4926AB6D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8F42DA8" w14:textId="5C63984E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A887094" w14:textId="10EF8981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6F53C2FE" w14:textId="15602F09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5.0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6C7352" w14:textId="618E70B2" w:rsidR="009520D8" w:rsidRPr="00223950" w:rsidDel="00C907A4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0.064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60C628" w14:textId="28F6C2CC" w:rsidR="009520D8" w:rsidRPr="00223950" w:rsidRDefault="002809B3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0.005</w:t>
            </w:r>
          </w:p>
        </w:tc>
      </w:tr>
      <w:tr w:rsidR="004D75BE" w:rsidRPr="002671B1" w14:paraId="40967FE7" w14:textId="4A9ED9DA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8574843" w14:textId="2905379B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Turn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-</w:t>
            </w: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out to pasture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77C24FB" w14:textId="65836865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393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0A387BB" w14:textId="6E434912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C9ABC8B" w14:textId="7B69C11C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73FEF65" w14:textId="780973A6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442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6ACFE54B" w14:textId="1BBD2BD6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9C708C" w14:textId="2962F5E6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185AA2" w14:textId="54A21BAF" w:rsidR="009520D8" w:rsidRPr="00223950" w:rsidRDefault="00090C39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</w:t>
            </w:r>
            <w:r w:rsidR="002809B3"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9</w:t>
            </w:r>
          </w:p>
        </w:tc>
      </w:tr>
      <w:tr w:rsidR="004D75BE" w:rsidRPr="002671B1" w14:paraId="2139A1B9" w14:textId="0059DBE9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8B5A0F9" w14:textId="58283268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 xml:space="preserve">Final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AED6B6B" w14:textId="63183024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571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13E9E1F" w14:textId="2465E603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592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A44D237" w14:textId="4EE6679C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598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D4188B5" w14:textId="3EB79A2D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62663FE" w14:textId="7C45C26D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6.9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D6D1C0" w14:textId="1EF82E17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0.004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563212" w14:textId="7E67A4D9" w:rsidR="009520D8" w:rsidRPr="00223950" w:rsidRDefault="002809B3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</w:tr>
      <w:tr w:rsidR="004D75BE" w:rsidRPr="002671B1" w14:paraId="61AFBA60" w14:textId="0FCB8767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AFDEA0F" w14:textId="32B3680B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76723F">
              <w:rPr>
                <w:rFonts w:ascii="Times New Roman" w:eastAsia="Times New Roman" w:hAnsi="Times New Roman" w:cs="Times New Roman"/>
                <w:i/>
                <w:sz w:val="18"/>
                <w:szCs w:val="16"/>
                <w:u w:val="single"/>
                <w:lang w:val="en-GB" w:eastAsia="en-GB"/>
              </w:rPr>
              <w:t>Carcass traits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A090F9A" w14:textId="27AB3AB9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8A84BBC" w14:textId="6EF8A50B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B6E1508" w14:textId="53E08F08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929B46B" w14:textId="68DBFF72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FFB1E8D" w14:textId="5AE39493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CFCB1B" w14:textId="67C7B546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16385E" w14:textId="77777777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</w:p>
        </w:tc>
      </w:tr>
      <w:tr w:rsidR="004D75BE" w:rsidRPr="002671B1" w14:paraId="4C6F5F31" w14:textId="057D31CB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D8DE08C" w14:textId="64B29527" w:rsidR="009520D8" w:rsidRPr="0076723F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6"/>
                <w:u w:val="single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Carcass weight (kg)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6EC3560" w14:textId="3210F147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299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EC8678A" w14:textId="4F051126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938CD70" w14:textId="106FCF46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32DECEB" w14:textId="2C6F7C8F" w:rsidR="009520D8" w:rsidRPr="00830615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3E6EC27" w14:textId="4C0A4268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3.9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FE8CE0" w14:textId="40A25C0F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EBF4E5" w14:textId="3E719157" w:rsidR="009520D8" w:rsidRPr="00223950" w:rsidRDefault="002809B3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</w:tr>
      <w:tr w:rsidR="004D75BE" w:rsidRPr="002671B1" w14:paraId="0E6AE240" w14:textId="2D1ED169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7A3B157" w14:textId="6E2BFF80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Conformation score (1-15)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DD74EF2" w14:textId="278CD1EC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7.76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7FC4274" w14:textId="605E02B4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38E19E2" w14:textId="119AA788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D83C05A" w14:textId="7519D4B6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7.61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027720F4" w14:textId="5655A909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0.137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37E577" w14:textId="2AEEA388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547B7E" w14:textId="660EC9AE" w:rsidR="009520D8" w:rsidRPr="00223950" w:rsidRDefault="002809B3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</w:tr>
      <w:tr w:rsidR="004D75BE" w:rsidRPr="002671B1" w14:paraId="0CE81715" w14:textId="4E125C27" w:rsidTr="00223950">
        <w:trPr>
          <w:gridAfter w:val="1"/>
          <w:wAfter w:w="172" w:type="dxa"/>
          <w:trHeight w:val="213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5765777" w14:textId="646EFA44" w:rsidR="009520D8" w:rsidRPr="00830615" w:rsidRDefault="009520D8" w:rsidP="009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Fat score (1-15)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23DBE44" w14:textId="7B022ED1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8.35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78E783D" w14:textId="1DCB0CED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8.48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9832313" w14:textId="11BBA376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4EC2B30" w14:textId="667AA4A8" w:rsidR="009520D8" w:rsidRPr="00830615" w:rsidRDefault="009520D8" w:rsidP="004F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830615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6.80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341935A" w14:textId="7B9163CC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BE9F0A" w14:textId="2858507A" w:rsidR="009520D8" w:rsidRPr="00223950" w:rsidRDefault="009520D8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0.153</w:t>
            </w:r>
          </w:p>
        </w:tc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6613AB" w14:textId="2D6CD7BF" w:rsidR="009520D8" w:rsidRPr="00223950" w:rsidRDefault="002809B3" w:rsidP="0095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</w:pPr>
            <w:r w:rsidRPr="00223950">
              <w:rPr>
                <w:rFonts w:ascii="Times New Roman" w:eastAsia="Times New Roman" w:hAnsi="Times New Roman" w:cs="Times New Roman"/>
                <w:sz w:val="18"/>
                <w:szCs w:val="16"/>
                <w:lang w:val="en-GB" w:eastAsia="en-GB"/>
              </w:rPr>
              <w:t>0.001</w:t>
            </w:r>
          </w:p>
        </w:tc>
      </w:tr>
    </w:tbl>
    <w:p w14:paraId="48B68DE8" w14:textId="77777777" w:rsidR="00B16D14" w:rsidRDefault="00B16D14" w:rsidP="000312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</w:p>
    <w:p w14:paraId="1E6ED626" w14:textId="77777777" w:rsidR="00273820" w:rsidRPr="00A3560D" w:rsidRDefault="00273820" w:rsidP="000312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6"/>
          <w:lang w:val="en-GB" w:eastAsia="en-GB"/>
        </w:rPr>
      </w:pPr>
      <w:r w:rsidRPr="00DD794A">
        <w:rPr>
          <w:rFonts w:ascii="Times New Roman" w:eastAsia="Times New Roman" w:hAnsi="Times New Roman" w:cs="Times New Roman"/>
          <w:b/>
          <w:sz w:val="20"/>
          <w:szCs w:val="16"/>
          <w:lang w:val="en-GB" w:eastAsia="en-GB"/>
        </w:rPr>
        <w:t>Conclusion</w:t>
      </w:r>
    </w:p>
    <w:p w14:paraId="1D1A339E" w14:textId="13EA48F1" w:rsidR="007842CC" w:rsidRDefault="00A3560D" w:rsidP="000312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Incorporating red and white clover into a perennial ryegrass sward in a suckler calf-to-beef system increased beef cattle live weight gain and carcass weight</w:t>
      </w:r>
      <w:r w:rsidR="004F7C4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, while 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reduc</w:t>
      </w:r>
      <w:r w:rsidR="004F7C4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ing</w:t>
      </w: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chemical N fertiliser</w:t>
      </w:r>
      <w:r w:rsidR="004F7C48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 xml:space="preserve"> requirement</w:t>
      </w:r>
      <w:r w:rsidR="002D1E32"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.</w:t>
      </w:r>
    </w:p>
    <w:p w14:paraId="113AF6A3" w14:textId="77777777" w:rsidR="00A3560D" w:rsidRDefault="00A3560D" w:rsidP="000312F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val="en-GB" w:eastAsia="en-GB"/>
        </w:rPr>
      </w:pPr>
    </w:p>
    <w:p w14:paraId="1E149492" w14:textId="77777777" w:rsidR="007842CC" w:rsidRPr="00CF4794" w:rsidRDefault="007842CC" w:rsidP="000312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6"/>
          <w:lang w:val="en-GB" w:eastAsia="en-GB"/>
        </w:rPr>
      </w:pPr>
      <w:r w:rsidRPr="00CF4794">
        <w:rPr>
          <w:rFonts w:ascii="Times New Roman" w:eastAsia="Times New Roman" w:hAnsi="Times New Roman" w:cs="Times New Roman"/>
          <w:b/>
          <w:sz w:val="20"/>
          <w:szCs w:val="16"/>
          <w:lang w:val="en-GB" w:eastAsia="en-GB"/>
        </w:rPr>
        <w:t>Acknowledgements</w:t>
      </w:r>
    </w:p>
    <w:p w14:paraId="16947836" w14:textId="77777777" w:rsidR="007842CC" w:rsidRPr="00975200" w:rsidRDefault="007842CC" w:rsidP="000312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</w:pPr>
      <w:r>
        <w:rPr>
          <w:rFonts w:ascii="Times New Roman" w:eastAsia="Times New Roman" w:hAnsi="Times New Roman" w:cs="Times New Roman"/>
          <w:sz w:val="18"/>
          <w:szCs w:val="16"/>
          <w:lang w:val="en-GB" w:eastAsia="en-GB"/>
        </w:rPr>
        <w:t>The authors gratefully acknowledge the funding from Teagasc.</w:t>
      </w:r>
    </w:p>
    <w:p w14:paraId="58D47AEB" w14:textId="77777777" w:rsidR="007842CC" w:rsidRPr="00975200" w:rsidRDefault="007842CC" w:rsidP="000312F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val="en-GB" w:eastAsia="en-GB"/>
        </w:rPr>
      </w:pPr>
    </w:p>
    <w:p w14:paraId="6A7C7843" w14:textId="77777777" w:rsidR="000377AC" w:rsidRPr="00A3560D" w:rsidRDefault="000377AC" w:rsidP="000312FE">
      <w:pPr>
        <w:spacing w:after="0" w:line="240" w:lineRule="auto"/>
        <w:rPr>
          <w:rFonts w:ascii="Times New Roman" w:hAnsi="Times New Roman" w:cs="Times New Roman"/>
          <w:color w:val="222222"/>
          <w:sz w:val="18"/>
          <w:szCs w:val="20"/>
          <w:shd w:val="clear" w:color="auto" w:fill="FFFFFF"/>
        </w:rPr>
      </w:pPr>
      <w:r w:rsidRPr="00CF4794">
        <w:rPr>
          <w:rFonts w:ascii="Times New Roman" w:eastAsia="Times New Roman" w:hAnsi="Times New Roman" w:cs="Times New Roman"/>
          <w:b/>
          <w:sz w:val="20"/>
          <w:szCs w:val="16"/>
          <w:lang w:val="en-GB" w:eastAsia="en-GB"/>
        </w:rPr>
        <w:t>Reference</w:t>
      </w:r>
    </w:p>
    <w:p w14:paraId="244FFDF1" w14:textId="5AF2BC41" w:rsidR="00A666C0" w:rsidRDefault="00A666C0" w:rsidP="000312FE">
      <w:pPr>
        <w:spacing w:after="0" w:line="240" w:lineRule="auto"/>
        <w:rPr>
          <w:rFonts w:ascii="Times New Roman" w:hAnsi="Times New Roman" w:cs="Times New Roman"/>
          <w:color w:val="222222"/>
          <w:sz w:val="16"/>
          <w:szCs w:val="20"/>
          <w:shd w:val="clear" w:color="auto" w:fill="FFFFFF"/>
        </w:rPr>
      </w:pPr>
      <w:r w:rsidRPr="00A666C0">
        <w:rPr>
          <w:rFonts w:ascii="Times New Roman" w:hAnsi="Times New Roman" w:cs="Times New Roman"/>
          <w:color w:val="222222"/>
          <w:sz w:val="16"/>
          <w:szCs w:val="20"/>
          <w:shd w:val="clear" w:color="auto" w:fill="FFFFFF"/>
        </w:rPr>
        <w:t>Doyle, P., O’Donovan, M., Crosson, P. and Tubritt, T. (2024). In: Proceedings of Climate Adaptat</w:t>
      </w:r>
      <w:r>
        <w:rPr>
          <w:rFonts w:ascii="Times New Roman" w:hAnsi="Times New Roman" w:cs="Times New Roman"/>
          <w:color w:val="222222"/>
          <w:sz w:val="16"/>
          <w:szCs w:val="20"/>
          <w:shd w:val="clear" w:color="auto" w:fill="FFFFFF"/>
        </w:rPr>
        <w:t xml:space="preserve">ion Conference, Cork, Ireland, </w:t>
      </w:r>
      <w:r w:rsidRPr="00A666C0">
        <w:rPr>
          <w:rFonts w:ascii="Times New Roman" w:hAnsi="Times New Roman" w:cs="Times New Roman"/>
          <w:color w:val="222222"/>
          <w:sz w:val="16"/>
          <w:szCs w:val="20"/>
          <w:shd w:val="clear" w:color="auto" w:fill="FFFFFF"/>
        </w:rPr>
        <w:t>12-16.</w:t>
      </w:r>
    </w:p>
    <w:p w14:paraId="65518B8C" w14:textId="0F82E15D" w:rsidR="00D27209" w:rsidRPr="00A3560D" w:rsidRDefault="005913D3" w:rsidP="005913D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</w:pPr>
      <w:r w:rsidRPr="00684CA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Doyle, P., Bennett, P., O’Donovan, M. Byrne, N., Kelly, A.K., Crosson, P. and McGee, M. </w:t>
      </w:r>
      <w:r w:rsidR="00684CAE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684CAE">
        <w:rPr>
          <w:rFonts w:ascii="Times New Roman" w:hAnsi="Times New Roman" w:cs="Times New Roman"/>
          <w:color w:val="000000" w:themeColor="text1"/>
          <w:sz w:val="16"/>
          <w:szCs w:val="16"/>
        </w:rPr>
        <w:t>2024</w:t>
      </w:r>
      <w:r w:rsidR="00684CAE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684CAE">
        <w:rPr>
          <w:rFonts w:ascii="Times New Roman" w:hAnsi="Times New Roman" w:cs="Times New Roman"/>
          <w:color w:val="000000" w:themeColor="text1"/>
          <w:sz w:val="16"/>
          <w:szCs w:val="16"/>
        </w:rPr>
        <w:t>. In: Proceedings of Teagasc National Beef Conference 2024, Leitrim, Ireland, 7–16</w:t>
      </w:r>
      <w:r w:rsidRPr="00684CAE">
        <w:rPr>
          <w:rFonts w:ascii="Times New Roman" w:hAnsi="Times New Roman" w:cs="Times New Roman"/>
          <w:color w:val="1F497D"/>
          <w:sz w:val="16"/>
          <w:szCs w:val="16"/>
        </w:rPr>
        <w:t>.</w:t>
      </w:r>
    </w:p>
    <w:p w14:paraId="046364A3" w14:textId="15B833B2" w:rsidR="005D3EF4" w:rsidRPr="00684CAE" w:rsidRDefault="005D3EF4" w:rsidP="005913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</w:pPr>
      <w:r w:rsidRPr="005913D3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 xml:space="preserve">Fitzpatrick, E., Fox, R., Cardiff, J. and Byrne, N. </w:t>
      </w:r>
      <w:r w:rsidR="00684CAE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(</w:t>
      </w:r>
      <w:r w:rsidRPr="005913D3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2024</w:t>
      </w:r>
      <w:r w:rsidR="00684CAE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)</w:t>
      </w:r>
      <w:r w:rsidRPr="005913D3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. Grassland Science in Europe 29</w:t>
      </w:r>
      <w:r w:rsidR="00BB5D43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,</w:t>
      </w:r>
      <w:r w:rsidRPr="00562CDA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 xml:space="preserve"> </w:t>
      </w:r>
      <w:r w:rsidRPr="00684CAE">
        <w:rPr>
          <w:rFonts w:ascii="Times New Roman" w:eastAsia="Times New Roman" w:hAnsi="Times New Roman" w:cs="Times New Roman"/>
          <w:sz w:val="16"/>
          <w:szCs w:val="24"/>
          <w:lang w:val="en-GB" w:eastAsia="en-GB"/>
        </w:rPr>
        <w:t>148-150.</w:t>
      </w:r>
    </w:p>
    <w:p w14:paraId="74186E78" w14:textId="77777777" w:rsidR="000312FE" w:rsidRPr="00FB2061" w:rsidRDefault="000312FE" w:rsidP="000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6"/>
          <w:lang w:val="en-GB" w:eastAsia="en-GB"/>
        </w:rPr>
      </w:pPr>
    </w:p>
    <w:p w14:paraId="6852E6B4" w14:textId="77777777" w:rsidR="000312FE" w:rsidRPr="00FB2061" w:rsidRDefault="000312FE" w:rsidP="000312FE">
      <w:pPr>
        <w:jc w:val="both"/>
        <w:rPr>
          <w:rFonts w:ascii="Times New Roman" w:hAnsi="Times New Roman" w:cs="Times New Roman"/>
          <w:sz w:val="16"/>
          <w:szCs w:val="24"/>
        </w:rPr>
      </w:pPr>
    </w:p>
    <w:p w14:paraId="4F6983FF" w14:textId="77777777" w:rsidR="000467AE" w:rsidRPr="00830615" w:rsidRDefault="000467AE" w:rsidP="000312FE">
      <w:pPr>
        <w:rPr>
          <w:rFonts w:ascii="Times New Roman" w:hAnsi="Times New Roman" w:cs="Times New Roman"/>
          <w:sz w:val="18"/>
          <w:szCs w:val="24"/>
        </w:rPr>
      </w:pPr>
    </w:p>
    <w:p w14:paraId="1DF9AA1A" w14:textId="77777777" w:rsidR="000467AE" w:rsidRPr="00830615" w:rsidRDefault="005913D3" w:rsidP="000467AE">
      <w:pPr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.</w:t>
      </w:r>
    </w:p>
    <w:p w14:paraId="0DFF6078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192497D7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2BE1C815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0FC59138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2960BEAD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7F7FC890" w14:textId="77777777" w:rsidR="000467AE" w:rsidRPr="00830615" w:rsidRDefault="000467AE" w:rsidP="000467AE">
      <w:pPr>
        <w:jc w:val="right"/>
        <w:rPr>
          <w:rFonts w:ascii="Times New Roman" w:hAnsi="Times New Roman" w:cs="Times New Roman"/>
          <w:sz w:val="18"/>
          <w:szCs w:val="24"/>
        </w:rPr>
      </w:pPr>
    </w:p>
    <w:p w14:paraId="643E34B8" w14:textId="77777777" w:rsidR="00F27CEF" w:rsidRPr="00830615" w:rsidRDefault="00F3195D">
      <w:pPr>
        <w:rPr>
          <w:rFonts w:ascii="Times New Roman" w:hAnsi="Times New Roman" w:cs="Times New Roman"/>
          <w:i/>
          <w:sz w:val="18"/>
          <w:szCs w:val="24"/>
        </w:rPr>
      </w:pPr>
      <w:r w:rsidRPr="00830615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41797326" w14:textId="77777777" w:rsidR="00F27CEF" w:rsidRPr="00830615" w:rsidRDefault="00F27CEF">
      <w:pPr>
        <w:rPr>
          <w:b/>
          <w:sz w:val="28"/>
          <w:szCs w:val="24"/>
          <w:vertAlign w:val="subscript"/>
        </w:rPr>
      </w:pPr>
    </w:p>
    <w:p w14:paraId="6B435FC1" w14:textId="77777777" w:rsidR="000A267A" w:rsidRPr="00830615" w:rsidRDefault="00697071">
      <w:pPr>
        <w:rPr>
          <w:b/>
          <w:sz w:val="28"/>
          <w:szCs w:val="24"/>
        </w:rPr>
      </w:pPr>
      <w:r w:rsidRPr="00830615">
        <w:rPr>
          <w:b/>
          <w:sz w:val="28"/>
          <w:szCs w:val="24"/>
        </w:rPr>
        <w:t xml:space="preserve"> </w:t>
      </w:r>
    </w:p>
    <w:sectPr w:rsidR="000A267A" w:rsidRPr="0083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909794" w16cex:dateUtc="2024-11-18T15:11:00Z"/>
  <w16cex:commentExtensible w16cex:durableId="22776EE0" w16cex:dateUtc="2024-11-18T15:18:00Z"/>
  <w16cex:commentExtensible w16cex:durableId="6FE5B29C" w16cex:dateUtc="2024-11-18T15:18:00Z"/>
  <w16cex:commentExtensible w16cex:durableId="6B533AB0" w16cex:dateUtc="2024-11-18T15:27:00Z"/>
  <w16cex:commentExtensible w16cex:durableId="45DBD6E7" w16cex:dateUtc="2024-11-18T15:21:00Z"/>
  <w16cex:commentExtensible w16cex:durableId="1F2960CF" w16cex:dateUtc="2024-11-18T15:22:00Z"/>
  <w16cex:commentExtensible w16cex:durableId="516108AF" w16cex:dateUtc="2024-11-18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006F16" w16cid:durableId="08909794"/>
  <w16cid:commentId w16cid:paraId="67BCCAF0" w16cid:durableId="22776EE0"/>
  <w16cid:commentId w16cid:paraId="6881ADFF" w16cid:durableId="6FE5B29C"/>
  <w16cid:commentId w16cid:paraId="0E57D524" w16cid:durableId="6B533AB0"/>
  <w16cid:commentId w16cid:paraId="009CB8EB" w16cid:durableId="45DBD6E7"/>
  <w16cid:commentId w16cid:paraId="0953824A" w16cid:durableId="1F2960CF"/>
  <w16cid:commentId w16cid:paraId="14029B1D" w16cid:durableId="516108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71"/>
    <w:rsid w:val="000265F5"/>
    <w:rsid w:val="000312FE"/>
    <w:rsid w:val="000377AC"/>
    <w:rsid w:val="00040463"/>
    <w:rsid w:val="00041A22"/>
    <w:rsid w:val="000467AE"/>
    <w:rsid w:val="0004751E"/>
    <w:rsid w:val="00070B9D"/>
    <w:rsid w:val="00071829"/>
    <w:rsid w:val="00072436"/>
    <w:rsid w:val="000734D4"/>
    <w:rsid w:val="0007517F"/>
    <w:rsid w:val="000864C6"/>
    <w:rsid w:val="000865C5"/>
    <w:rsid w:val="00090C39"/>
    <w:rsid w:val="000A267A"/>
    <w:rsid w:val="000C099D"/>
    <w:rsid w:val="000D6915"/>
    <w:rsid w:val="001017FF"/>
    <w:rsid w:val="001372E7"/>
    <w:rsid w:val="0019252D"/>
    <w:rsid w:val="00194778"/>
    <w:rsid w:val="001D03D1"/>
    <w:rsid w:val="001E3DA1"/>
    <w:rsid w:val="00221D61"/>
    <w:rsid w:val="00223950"/>
    <w:rsid w:val="002502C0"/>
    <w:rsid w:val="0026199E"/>
    <w:rsid w:val="00264084"/>
    <w:rsid w:val="002671B1"/>
    <w:rsid w:val="002735F7"/>
    <w:rsid w:val="00273820"/>
    <w:rsid w:val="002809B3"/>
    <w:rsid w:val="002A6B3B"/>
    <w:rsid w:val="002A6E20"/>
    <w:rsid w:val="002D1E32"/>
    <w:rsid w:val="002E1690"/>
    <w:rsid w:val="002E37D5"/>
    <w:rsid w:val="002F5A6E"/>
    <w:rsid w:val="002F7DB7"/>
    <w:rsid w:val="00350E03"/>
    <w:rsid w:val="003542DD"/>
    <w:rsid w:val="0036400F"/>
    <w:rsid w:val="00375B74"/>
    <w:rsid w:val="00387F9D"/>
    <w:rsid w:val="003A291A"/>
    <w:rsid w:val="003C47BB"/>
    <w:rsid w:val="003E00D2"/>
    <w:rsid w:val="003F39B3"/>
    <w:rsid w:val="003F79D1"/>
    <w:rsid w:val="0042625A"/>
    <w:rsid w:val="00430A23"/>
    <w:rsid w:val="00480D56"/>
    <w:rsid w:val="00490BE4"/>
    <w:rsid w:val="00491153"/>
    <w:rsid w:val="004B078E"/>
    <w:rsid w:val="004C4ED5"/>
    <w:rsid w:val="004C6ED0"/>
    <w:rsid w:val="004D2018"/>
    <w:rsid w:val="004D75BE"/>
    <w:rsid w:val="004F1102"/>
    <w:rsid w:val="004F7C48"/>
    <w:rsid w:val="0050264C"/>
    <w:rsid w:val="005170C4"/>
    <w:rsid w:val="00522BA8"/>
    <w:rsid w:val="00524DE4"/>
    <w:rsid w:val="005422A2"/>
    <w:rsid w:val="005465D4"/>
    <w:rsid w:val="00562CDA"/>
    <w:rsid w:val="00563C40"/>
    <w:rsid w:val="0057510C"/>
    <w:rsid w:val="005913D3"/>
    <w:rsid w:val="005A262A"/>
    <w:rsid w:val="005C595D"/>
    <w:rsid w:val="005D3EF4"/>
    <w:rsid w:val="005D7F29"/>
    <w:rsid w:val="006241AD"/>
    <w:rsid w:val="00632E38"/>
    <w:rsid w:val="00640AA6"/>
    <w:rsid w:val="0066260A"/>
    <w:rsid w:val="00684CAE"/>
    <w:rsid w:val="00697071"/>
    <w:rsid w:val="006A4C50"/>
    <w:rsid w:val="006D0142"/>
    <w:rsid w:val="007172A6"/>
    <w:rsid w:val="00741ED9"/>
    <w:rsid w:val="00742805"/>
    <w:rsid w:val="0076723F"/>
    <w:rsid w:val="00773993"/>
    <w:rsid w:val="00781DE3"/>
    <w:rsid w:val="007842CC"/>
    <w:rsid w:val="0079243F"/>
    <w:rsid w:val="007A75B0"/>
    <w:rsid w:val="007A7CB8"/>
    <w:rsid w:val="007B3EB4"/>
    <w:rsid w:val="007B6D0C"/>
    <w:rsid w:val="007D6F0C"/>
    <w:rsid w:val="007E0523"/>
    <w:rsid w:val="007E2E96"/>
    <w:rsid w:val="0080184F"/>
    <w:rsid w:val="00804985"/>
    <w:rsid w:val="00820482"/>
    <w:rsid w:val="00822CA9"/>
    <w:rsid w:val="00830615"/>
    <w:rsid w:val="0083260B"/>
    <w:rsid w:val="008336A6"/>
    <w:rsid w:val="00834855"/>
    <w:rsid w:val="0083739B"/>
    <w:rsid w:val="00842673"/>
    <w:rsid w:val="008828D7"/>
    <w:rsid w:val="008A075B"/>
    <w:rsid w:val="008A66BA"/>
    <w:rsid w:val="008B7A95"/>
    <w:rsid w:val="008C3F8C"/>
    <w:rsid w:val="008D0836"/>
    <w:rsid w:val="008D70BF"/>
    <w:rsid w:val="008E0212"/>
    <w:rsid w:val="008E54DC"/>
    <w:rsid w:val="00900ED1"/>
    <w:rsid w:val="009070B9"/>
    <w:rsid w:val="00932856"/>
    <w:rsid w:val="00935B0F"/>
    <w:rsid w:val="009520D8"/>
    <w:rsid w:val="00962D4B"/>
    <w:rsid w:val="00972EC3"/>
    <w:rsid w:val="00975200"/>
    <w:rsid w:val="009801D7"/>
    <w:rsid w:val="009A64EB"/>
    <w:rsid w:val="009C3A58"/>
    <w:rsid w:val="009D3AA9"/>
    <w:rsid w:val="009D48BC"/>
    <w:rsid w:val="009E6715"/>
    <w:rsid w:val="00A074FA"/>
    <w:rsid w:val="00A272C9"/>
    <w:rsid w:val="00A3560D"/>
    <w:rsid w:val="00A526EE"/>
    <w:rsid w:val="00A6064A"/>
    <w:rsid w:val="00A620C8"/>
    <w:rsid w:val="00A64EE8"/>
    <w:rsid w:val="00A666C0"/>
    <w:rsid w:val="00A95030"/>
    <w:rsid w:val="00A97ACE"/>
    <w:rsid w:val="00AA5876"/>
    <w:rsid w:val="00B011AC"/>
    <w:rsid w:val="00B06269"/>
    <w:rsid w:val="00B06617"/>
    <w:rsid w:val="00B16D14"/>
    <w:rsid w:val="00B53110"/>
    <w:rsid w:val="00B655D9"/>
    <w:rsid w:val="00B81A2B"/>
    <w:rsid w:val="00B9798A"/>
    <w:rsid w:val="00BB5D43"/>
    <w:rsid w:val="00BC0CB9"/>
    <w:rsid w:val="00BD62C2"/>
    <w:rsid w:val="00BF0786"/>
    <w:rsid w:val="00C15AEE"/>
    <w:rsid w:val="00C32813"/>
    <w:rsid w:val="00C33417"/>
    <w:rsid w:val="00C33595"/>
    <w:rsid w:val="00C7024E"/>
    <w:rsid w:val="00C907A4"/>
    <w:rsid w:val="00C97D9A"/>
    <w:rsid w:val="00CA4C1D"/>
    <w:rsid w:val="00CC2650"/>
    <w:rsid w:val="00CC2AB1"/>
    <w:rsid w:val="00CC7878"/>
    <w:rsid w:val="00CD0157"/>
    <w:rsid w:val="00CF0668"/>
    <w:rsid w:val="00CF4794"/>
    <w:rsid w:val="00D0301A"/>
    <w:rsid w:val="00D26901"/>
    <w:rsid w:val="00D27209"/>
    <w:rsid w:val="00D27F96"/>
    <w:rsid w:val="00D30A46"/>
    <w:rsid w:val="00D50786"/>
    <w:rsid w:val="00D65956"/>
    <w:rsid w:val="00D825AC"/>
    <w:rsid w:val="00D91EAA"/>
    <w:rsid w:val="00DA3D4F"/>
    <w:rsid w:val="00DC19E4"/>
    <w:rsid w:val="00DD1625"/>
    <w:rsid w:val="00DD794A"/>
    <w:rsid w:val="00DF02C2"/>
    <w:rsid w:val="00DF09E8"/>
    <w:rsid w:val="00E55930"/>
    <w:rsid w:val="00EC3B37"/>
    <w:rsid w:val="00EE5716"/>
    <w:rsid w:val="00F26FC9"/>
    <w:rsid w:val="00F27CEF"/>
    <w:rsid w:val="00F3195D"/>
    <w:rsid w:val="00F33B80"/>
    <w:rsid w:val="00F52B2E"/>
    <w:rsid w:val="00F7075A"/>
    <w:rsid w:val="00F871AB"/>
    <w:rsid w:val="00FB2061"/>
    <w:rsid w:val="00FC0173"/>
    <w:rsid w:val="00FF19B8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2C4E"/>
  <w15:chartTrackingRefBased/>
  <w15:docId w15:val="{69DB2A17-DE7E-4F12-9021-923DA9FE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E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EDAFB90E600428314527A19F99E7E" ma:contentTypeVersion="9" ma:contentTypeDescription="Create a new document." ma:contentTypeScope="" ma:versionID="23eb9adee3066943844344ce7ed8513c">
  <xsd:schema xmlns:xsd="http://www.w3.org/2001/XMLSchema" xmlns:xs="http://www.w3.org/2001/XMLSchema" xmlns:p="http://schemas.microsoft.com/office/2006/metadata/properties" xmlns:ns3="4692e298-2eb2-4e67-b880-ab48ee0c1927" targetNamespace="http://schemas.microsoft.com/office/2006/metadata/properties" ma:root="true" ma:fieldsID="dba2749d663995aa755bb9c14fa98800" ns3:_="">
    <xsd:import namespace="4692e298-2eb2-4e67-b880-ab48ee0c1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2e298-2eb2-4e67-b880-ab48ee0c1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821C-3E19-4B2F-A70B-BCBB5942723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4692e298-2eb2-4e67-b880-ab48ee0c1927"/>
  </ds:schemaRefs>
</ds:datastoreItem>
</file>

<file path=customXml/itemProps2.xml><?xml version="1.0" encoding="utf-8"?>
<ds:datastoreItem xmlns:ds="http://schemas.openxmlformats.org/officeDocument/2006/customXml" ds:itemID="{40ED5BFE-9D3A-4970-901B-52AEC4F52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7DA54-77EC-4F52-87A3-B732F3273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2e298-2eb2-4e67-b880-ab48ee0c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69A55-92A1-49C2-B61C-B6CE945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Bennett (Walsh Scholar)</dc:creator>
  <cp:keywords/>
  <dc:description/>
  <cp:lastModifiedBy>Peter Doyle</cp:lastModifiedBy>
  <cp:revision>3</cp:revision>
  <dcterms:created xsi:type="dcterms:W3CDTF">2024-11-18T17:45:00Z</dcterms:created>
  <dcterms:modified xsi:type="dcterms:W3CDTF">2024-11-18T17:48:00Z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0x010100A64EDAFB90E600428314527A19F99E7E</vt:lpwstr>
  </property>
</Properties>
</file>