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A1374" w14:textId="77777777" w:rsidR="004B44FC" w:rsidRPr="00D36E3D" w:rsidRDefault="004B44FC" w:rsidP="004B44FC">
      <w:pPr>
        <w:jc w:val="both"/>
        <w:rPr>
          <w:rFonts w:cs="Times New Roman"/>
          <w:b/>
          <w:bCs/>
        </w:rPr>
      </w:pPr>
      <w:r w:rsidRPr="00D36E3D">
        <w:rPr>
          <w:rFonts w:cs="Times New Roman"/>
          <w:b/>
          <w:bCs/>
        </w:rPr>
        <w:t>Application</w:t>
      </w:r>
    </w:p>
    <w:p w14:paraId="23A901A3" w14:textId="77777777" w:rsidR="004B44FC" w:rsidRPr="00D36E3D" w:rsidRDefault="004B44FC" w:rsidP="004B44FC">
      <w:pPr>
        <w:jc w:val="both"/>
        <w:rPr>
          <w:rFonts w:cs="Times New Roman"/>
        </w:rPr>
      </w:pPr>
      <w:r w:rsidRPr="00D36E3D">
        <w:rPr>
          <w:rFonts w:cs="Times New Roman"/>
        </w:rPr>
        <w:t>The significant interaction between feed and pH highlights the complexity of digestive processes and underscores the importance of considering multiple factors when evaluating feed quality.</w:t>
      </w:r>
    </w:p>
    <w:p w14:paraId="25B0A268" w14:textId="77777777" w:rsidR="004B44FC" w:rsidRPr="00D36E3D" w:rsidRDefault="004B44FC" w:rsidP="004B44FC">
      <w:pPr>
        <w:jc w:val="both"/>
        <w:rPr>
          <w:rFonts w:cs="Times New Roman"/>
          <w:b/>
          <w:bCs/>
        </w:rPr>
      </w:pPr>
      <w:r w:rsidRPr="00D36E3D">
        <w:rPr>
          <w:rFonts w:cs="Times New Roman"/>
          <w:b/>
          <w:bCs/>
        </w:rPr>
        <w:t>Introduction</w:t>
      </w:r>
    </w:p>
    <w:p w14:paraId="09089846" w14:textId="19EE691F" w:rsidR="004B44FC" w:rsidRPr="00D36E3D" w:rsidRDefault="004B44FC" w:rsidP="004B44FC">
      <w:pPr>
        <w:jc w:val="both"/>
        <w:rPr>
          <w:rFonts w:cs="Times New Roman"/>
        </w:rPr>
      </w:pPr>
      <w:r w:rsidRPr="00D36E3D">
        <w:rPr>
          <w:rFonts w:cs="Times New Roman"/>
        </w:rPr>
        <w:t xml:space="preserve">In vitro digestibility methods have become increasingly important in evaluating the nutritional quality of feed ingredients and diets for various species, including aquaculture (Moyano et al., 2015). These techniques aim to simulate the digestive processes that occur in the gastrointestinal tract, providing valuable insights into nutrient availability and digestibility without the need for extensive animal trials. However, the results obtained from the in vitro model maybe varies due to many factors including incubation </w:t>
      </w:r>
      <w:proofErr w:type="spellStart"/>
      <w:r w:rsidRPr="00D36E3D">
        <w:rPr>
          <w:rFonts w:cs="Times New Roman"/>
        </w:rPr>
        <w:t>pH.</w:t>
      </w:r>
      <w:proofErr w:type="spellEnd"/>
      <w:r w:rsidRPr="00D36E3D">
        <w:rPr>
          <w:rFonts w:cs="Times New Roman"/>
        </w:rPr>
        <w:t xml:space="preserve">  The goal of the study is to determine the effect of pH and feed substrate on nitrogen protein digestibility.</w:t>
      </w:r>
    </w:p>
    <w:p w14:paraId="29C67B6A" w14:textId="77777777" w:rsidR="004B44FC" w:rsidRPr="00D36E3D" w:rsidRDefault="004B44FC" w:rsidP="004B44FC">
      <w:pPr>
        <w:jc w:val="both"/>
        <w:rPr>
          <w:rFonts w:cs="Times New Roman"/>
          <w:b/>
          <w:bCs/>
        </w:rPr>
      </w:pPr>
      <w:r w:rsidRPr="00D36E3D">
        <w:rPr>
          <w:rFonts w:cs="Times New Roman"/>
          <w:b/>
          <w:bCs/>
        </w:rPr>
        <w:t>Material and methods</w:t>
      </w:r>
    </w:p>
    <w:p w14:paraId="3E795E03" w14:textId="77777777" w:rsidR="004B44FC" w:rsidRPr="00626077" w:rsidRDefault="004B44FC" w:rsidP="004B44FC">
      <w:pPr>
        <w:jc w:val="both"/>
        <w:rPr>
          <w:rFonts w:cs="Times New Roman"/>
        </w:rPr>
      </w:pPr>
      <w:r w:rsidRPr="00626077">
        <w:rPr>
          <w:rFonts w:cs="Times New Roman"/>
        </w:rPr>
        <w:t>A 6 × 2 full factorial design was used in this study to evaluate the effects of incubation pH (1.36 vs. 3.13, representing the gut environments of salmonids and tilapia, respectively) and feed substrates (soybean meal, whey powder, black soldier fly larvae powder, waxworms, faba beans, and bioethanol yeast). Each substrate was tested in triplicate for each pH level.</w:t>
      </w:r>
    </w:p>
    <w:p w14:paraId="51185E06" w14:textId="77777777" w:rsidR="004B44FC" w:rsidRPr="00D36E3D" w:rsidRDefault="004B44FC" w:rsidP="004B44FC">
      <w:pPr>
        <w:jc w:val="both"/>
        <w:rPr>
          <w:rFonts w:cs="Times New Roman"/>
        </w:rPr>
      </w:pPr>
      <w:r w:rsidRPr="00626077">
        <w:rPr>
          <w:rFonts w:cs="Times New Roman"/>
        </w:rPr>
        <w:t>The protein solubility of the feed was determined according to Araba and Dale (1990). In brief, 2 g of each dry feed substrate (in triplicate) and 0.08 g of pepsin were weighed into 15 mL tubes. Subsequently, 10 mL of HCl (0.0001 HCl for pH 3.13 samples and 0.1 HCl for pH 1.36 samples) was added to each tube. The tubes were vortexed then incubated in a water bath at 28°C for 18 hours and 24 minutes. After incubation, the samples were vortexed again, centrifuged at 4500 rpm for 5 minutes, and the supernatant was collected. Diluted samples were prepared by mixing 100 µL of supernatant with 900 µL of distilled water. From this, 25 µL of the diluted sample was pipetted into the wells of a microplate then, 200 µL of the working reagent (prepared using the Pierce™ BCA Protein Assay Kit) was added to each well. The microplate was incubated at 37°C for 30 minutes and subsequently analysed using a plate reader (</w:t>
      </w:r>
      <w:proofErr w:type="spellStart"/>
      <w:r w:rsidRPr="00626077">
        <w:rPr>
          <w:rFonts w:cs="Times New Roman"/>
        </w:rPr>
        <w:t>Thermo</w:t>
      </w:r>
      <w:proofErr w:type="spellEnd"/>
      <w:r w:rsidRPr="00626077">
        <w:rPr>
          <w:rFonts w:cs="Times New Roman"/>
        </w:rPr>
        <w:t xml:space="preserve"> Scientific </w:t>
      </w:r>
      <w:proofErr w:type="spellStart"/>
      <w:r w:rsidRPr="00626077">
        <w:rPr>
          <w:rFonts w:cs="Times New Roman"/>
        </w:rPr>
        <w:t>Multiskan</w:t>
      </w:r>
      <w:proofErr w:type="spellEnd"/>
      <w:r w:rsidRPr="00626077">
        <w:rPr>
          <w:rFonts w:cs="Times New Roman"/>
        </w:rPr>
        <w:t xml:space="preserve"> FC) at 620 nm against a standard curve. A two-way analysis of variance was performed, and means were compared using the Fisher’s LSD test. Data of the study was analysed using R 4.4.2</w:t>
      </w:r>
      <w:r w:rsidRPr="00D36E3D">
        <w:rPr>
          <w:rFonts w:cs="Times New Roman"/>
        </w:rPr>
        <w:t>.</w:t>
      </w:r>
    </w:p>
    <w:p w14:paraId="2EDBEA37" w14:textId="77777777" w:rsidR="004B44FC" w:rsidRPr="00D36E3D" w:rsidRDefault="004B44FC" w:rsidP="004B44FC">
      <w:pPr>
        <w:jc w:val="both"/>
      </w:pPr>
      <w:r w:rsidRPr="00D36E3D">
        <w:rPr>
          <w:b/>
          <w:bCs/>
        </w:rPr>
        <w:t>Table 1.</w:t>
      </w:r>
      <w:r w:rsidRPr="00D36E3D">
        <w:t xml:space="preserve"> Effect of feed and incubation pH on in vitro protein digestibility of fish.</w:t>
      </w:r>
    </w:p>
    <w:tbl>
      <w:tblPr>
        <w:tblStyle w:val="TableGrid"/>
        <w:tblW w:w="76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2153"/>
        <w:gridCol w:w="2330"/>
      </w:tblGrid>
      <w:tr w:rsidR="004B44FC" w:rsidRPr="00D36E3D" w14:paraId="16FD2D0E" w14:textId="77777777" w:rsidTr="00626077">
        <w:trPr>
          <w:trHeight w:val="207"/>
        </w:trPr>
        <w:tc>
          <w:tcPr>
            <w:tcW w:w="3210" w:type="dxa"/>
            <w:tcBorders>
              <w:top w:val="single" w:sz="4" w:space="0" w:color="auto"/>
              <w:bottom w:val="single" w:sz="4" w:space="0" w:color="auto"/>
            </w:tcBorders>
          </w:tcPr>
          <w:p w14:paraId="45B5183F" w14:textId="77777777" w:rsidR="004B44FC" w:rsidRPr="00D36E3D" w:rsidRDefault="004B44FC" w:rsidP="00626077">
            <w:pPr>
              <w:jc w:val="both"/>
            </w:pPr>
          </w:p>
        </w:tc>
        <w:tc>
          <w:tcPr>
            <w:tcW w:w="4483" w:type="dxa"/>
            <w:gridSpan w:val="2"/>
            <w:tcBorders>
              <w:top w:val="single" w:sz="4" w:space="0" w:color="auto"/>
              <w:bottom w:val="single" w:sz="4" w:space="0" w:color="auto"/>
            </w:tcBorders>
          </w:tcPr>
          <w:p w14:paraId="4F7001AD" w14:textId="77777777" w:rsidR="004B44FC" w:rsidRPr="00D36E3D" w:rsidRDefault="004B44FC" w:rsidP="00626077">
            <w:pPr>
              <w:jc w:val="both"/>
              <w:rPr>
                <w:lang w:val="de-DE"/>
              </w:rPr>
            </w:pPr>
            <w:r w:rsidRPr="00626077">
              <w:rPr>
                <w:lang w:val="de-DE"/>
              </w:rPr>
              <w:t>Protein solubility (</w:t>
            </w:r>
            <w:r w:rsidRPr="00626077">
              <w:t>μ</w:t>
            </w:r>
            <w:r w:rsidRPr="00626077">
              <w:rPr>
                <w:lang w:val="de-DE"/>
              </w:rPr>
              <w:t>g soluble protein/g DM)</w:t>
            </w:r>
          </w:p>
        </w:tc>
      </w:tr>
      <w:tr w:rsidR="004B44FC" w:rsidRPr="00D36E3D" w14:paraId="48E36A82" w14:textId="77777777" w:rsidTr="00626077">
        <w:trPr>
          <w:trHeight w:val="207"/>
        </w:trPr>
        <w:tc>
          <w:tcPr>
            <w:tcW w:w="3210" w:type="dxa"/>
            <w:tcBorders>
              <w:top w:val="single" w:sz="4" w:space="0" w:color="auto"/>
              <w:bottom w:val="single" w:sz="4" w:space="0" w:color="auto"/>
            </w:tcBorders>
          </w:tcPr>
          <w:p w14:paraId="09B63872" w14:textId="77777777" w:rsidR="004B44FC" w:rsidRPr="00D36E3D" w:rsidRDefault="004B44FC" w:rsidP="00626077">
            <w:pPr>
              <w:jc w:val="both"/>
            </w:pPr>
            <w:r w:rsidRPr="00D36E3D">
              <w:t>Feed</w:t>
            </w:r>
          </w:p>
        </w:tc>
        <w:tc>
          <w:tcPr>
            <w:tcW w:w="2153" w:type="dxa"/>
            <w:tcBorders>
              <w:top w:val="single" w:sz="4" w:space="0" w:color="auto"/>
              <w:bottom w:val="single" w:sz="4" w:space="0" w:color="auto"/>
            </w:tcBorders>
          </w:tcPr>
          <w:p w14:paraId="2EA03665" w14:textId="77777777" w:rsidR="004B44FC" w:rsidRPr="00D36E3D" w:rsidRDefault="004B44FC" w:rsidP="00626077">
            <w:pPr>
              <w:jc w:val="both"/>
            </w:pPr>
            <w:r w:rsidRPr="00D36E3D">
              <w:t xml:space="preserve">pH1=1.36 </w:t>
            </w:r>
          </w:p>
        </w:tc>
        <w:tc>
          <w:tcPr>
            <w:tcW w:w="2330" w:type="dxa"/>
            <w:tcBorders>
              <w:top w:val="single" w:sz="4" w:space="0" w:color="auto"/>
              <w:bottom w:val="single" w:sz="4" w:space="0" w:color="auto"/>
            </w:tcBorders>
          </w:tcPr>
          <w:p w14:paraId="53539762" w14:textId="77777777" w:rsidR="004B44FC" w:rsidRPr="00D36E3D" w:rsidRDefault="004B44FC" w:rsidP="00626077">
            <w:pPr>
              <w:jc w:val="both"/>
            </w:pPr>
            <w:r w:rsidRPr="00D36E3D">
              <w:t xml:space="preserve">pH 2=3.13 </w:t>
            </w:r>
          </w:p>
        </w:tc>
      </w:tr>
      <w:tr w:rsidR="004B44FC" w:rsidRPr="00D36E3D" w14:paraId="16E6EAEB" w14:textId="77777777" w:rsidTr="00626077">
        <w:trPr>
          <w:trHeight w:val="70"/>
        </w:trPr>
        <w:tc>
          <w:tcPr>
            <w:tcW w:w="3210" w:type="dxa"/>
            <w:tcBorders>
              <w:top w:val="single" w:sz="4" w:space="0" w:color="auto"/>
            </w:tcBorders>
          </w:tcPr>
          <w:p w14:paraId="5779EA3F" w14:textId="77777777" w:rsidR="004B44FC" w:rsidRPr="00626077" w:rsidRDefault="004B44FC" w:rsidP="00626077">
            <w:pPr>
              <w:jc w:val="both"/>
            </w:pPr>
            <w:r w:rsidRPr="00626077">
              <w:t>Bioethanol yeast</w:t>
            </w:r>
          </w:p>
        </w:tc>
        <w:tc>
          <w:tcPr>
            <w:tcW w:w="2153" w:type="dxa"/>
            <w:tcBorders>
              <w:top w:val="single" w:sz="4" w:space="0" w:color="auto"/>
            </w:tcBorders>
          </w:tcPr>
          <w:p w14:paraId="7B1C57BD" w14:textId="77777777" w:rsidR="004B44FC" w:rsidRPr="00626077" w:rsidRDefault="004B44FC" w:rsidP="00626077">
            <w:pPr>
              <w:jc w:val="both"/>
            </w:pPr>
            <w:r w:rsidRPr="00626077">
              <w:t>544c</w:t>
            </w:r>
          </w:p>
        </w:tc>
        <w:tc>
          <w:tcPr>
            <w:tcW w:w="2330" w:type="dxa"/>
            <w:tcBorders>
              <w:top w:val="nil"/>
            </w:tcBorders>
          </w:tcPr>
          <w:p w14:paraId="095EDA3C" w14:textId="77777777" w:rsidR="004B44FC" w:rsidRPr="00626077" w:rsidRDefault="004B44FC" w:rsidP="00626077">
            <w:pPr>
              <w:jc w:val="both"/>
            </w:pPr>
            <w:r w:rsidRPr="00626077">
              <w:t>420d</w:t>
            </w:r>
          </w:p>
        </w:tc>
      </w:tr>
      <w:tr w:rsidR="004B44FC" w:rsidRPr="00D36E3D" w14:paraId="781AD47B" w14:textId="77777777" w:rsidTr="00626077">
        <w:trPr>
          <w:trHeight w:val="287"/>
        </w:trPr>
        <w:tc>
          <w:tcPr>
            <w:tcW w:w="3210" w:type="dxa"/>
          </w:tcPr>
          <w:p w14:paraId="33CEF8E9" w14:textId="77777777" w:rsidR="004B44FC" w:rsidRPr="00626077" w:rsidRDefault="004B44FC" w:rsidP="00626077">
            <w:pPr>
              <w:jc w:val="both"/>
            </w:pPr>
            <w:r w:rsidRPr="00626077">
              <w:t>Black soldier fly larvae powder</w:t>
            </w:r>
          </w:p>
        </w:tc>
        <w:tc>
          <w:tcPr>
            <w:tcW w:w="2153" w:type="dxa"/>
          </w:tcPr>
          <w:p w14:paraId="262FDDAF" w14:textId="77777777" w:rsidR="004B44FC" w:rsidRPr="00626077" w:rsidRDefault="004B44FC" w:rsidP="00626077">
            <w:pPr>
              <w:jc w:val="both"/>
            </w:pPr>
            <w:r w:rsidRPr="00626077">
              <w:t>602bc</w:t>
            </w:r>
          </w:p>
        </w:tc>
        <w:tc>
          <w:tcPr>
            <w:tcW w:w="2330" w:type="dxa"/>
          </w:tcPr>
          <w:p w14:paraId="155850A7" w14:textId="77777777" w:rsidR="004B44FC" w:rsidRPr="00626077" w:rsidRDefault="004B44FC" w:rsidP="00626077">
            <w:pPr>
              <w:jc w:val="both"/>
            </w:pPr>
            <w:r w:rsidRPr="00626077">
              <w:t>540cd</w:t>
            </w:r>
          </w:p>
        </w:tc>
      </w:tr>
      <w:tr w:rsidR="004B44FC" w:rsidRPr="00D36E3D" w14:paraId="575C52D3" w14:textId="77777777" w:rsidTr="00626077">
        <w:trPr>
          <w:trHeight w:val="287"/>
        </w:trPr>
        <w:tc>
          <w:tcPr>
            <w:tcW w:w="3210" w:type="dxa"/>
          </w:tcPr>
          <w:p w14:paraId="38566D44" w14:textId="77777777" w:rsidR="004B44FC" w:rsidRPr="00626077" w:rsidRDefault="004B44FC" w:rsidP="00626077">
            <w:pPr>
              <w:jc w:val="both"/>
            </w:pPr>
            <w:r w:rsidRPr="00626077">
              <w:t>Faba beans</w:t>
            </w:r>
          </w:p>
        </w:tc>
        <w:tc>
          <w:tcPr>
            <w:tcW w:w="2153" w:type="dxa"/>
          </w:tcPr>
          <w:p w14:paraId="66AAA9D6" w14:textId="77777777" w:rsidR="004B44FC" w:rsidRPr="00626077" w:rsidRDefault="004B44FC" w:rsidP="00626077">
            <w:pPr>
              <w:jc w:val="both"/>
            </w:pPr>
            <w:r w:rsidRPr="00626077">
              <w:t>699ab</w:t>
            </w:r>
          </w:p>
        </w:tc>
        <w:tc>
          <w:tcPr>
            <w:tcW w:w="2330" w:type="dxa"/>
          </w:tcPr>
          <w:p w14:paraId="3C42524E" w14:textId="77777777" w:rsidR="004B44FC" w:rsidRPr="00626077" w:rsidRDefault="004B44FC" w:rsidP="00626077">
            <w:pPr>
              <w:jc w:val="both"/>
            </w:pPr>
            <w:r w:rsidRPr="00626077">
              <w:t>557c</w:t>
            </w:r>
          </w:p>
        </w:tc>
      </w:tr>
      <w:tr w:rsidR="004B44FC" w:rsidRPr="00D36E3D" w14:paraId="7563FDCB" w14:textId="77777777" w:rsidTr="00626077">
        <w:trPr>
          <w:trHeight w:val="287"/>
        </w:trPr>
        <w:tc>
          <w:tcPr>
            <w:tcW w:w="3210" w:type="dxa"/>
          </w:tcPr>
          <w:p w14:paraId="0BE2565A" w14:textId="77777777" w:rsidR="004B44FC" w:rsidRPr="00626077" w:rsidRDefault="004B44FC" w:rsidP="00626077">
            <w:pPr>
              <w:jc w:val="both"/>
            </w:pPr>
            <w:r w:rsidRPr="00626077">
              <w:t>Soyabean meal</w:t>
            </w:r>
          </w:p>
        </w:tc>
        <w:tc>
          <w:tcPr>
            <w:tcW w:w="2153" w:type="dxa"/>
          </w:tcPr>
          <w:p w14:paraId="05176B2E" w14:textId="77777777" w:rsidR="004B44FC" w:rsidRPr="00626077" w:rsidRDefault="004B44FC" w:rsidP="00626077">
            <w:pPr>
              <w:jc w:val="both"/>
            </w:pPr>
            <w:r w:rsidRPr="00626077">
              <w:t>531c</w:t>
            </w:r>
          </w:p>
        </w:tc>
        <w:tc>
          <w:tcPr>
            <w:tcW w:w="2330" w:type="dxa"/>
          </w:tcPr>
          <w:p w14:paraId="6E7764D4" w14:textId="77777777" w:rsidR="004B44FC" w:rsidRPr="00626077" w:rsidRDefault="004B44FC" w:rsidP="00626077">
            <w:pPr>
              <w:jc w:val="both"/>
            </w:pPr>
            <w:r w:rsidRPr="00626077">
              <w:t>472cd</w:t>
            </w:r>
          </w:p>
        </w:tc>
      </w:tr>
      <w:tr w:rsidR="004B44FC" w:rsidRPr="00D36E3D" w14:paraId="37D13E75" w14:textId="77777777" w:rsidTr="00626077">
        <w:trPr>
          <w:trHeight w:val="271"/>
        </w:trPr>
        <w:tc>
          <w:tcPr>
            <w:tcW w:w="3210" w:type="dxa"/>
          </w:tcPr>
          <w:p w14:paraId="180C3A6D" w14:textId="77777777" w:rsidR="004B44FC" w:rsidRPr="00626077" w:rsidRDefault="004B44FC" w:rsidP="00626077">
            <w:pPr>
              <w:jc w:val="both"/>
            </w:pPr>
            <w:r w:rsidRPr="00626077">
              <w:t>Waxworms</w:t>
            </w:r>
          </w:p>
        </w:tc>
        <w:tc>
          <w:tcPr>
            <w:tcW w:w="2153" w:type="dxa"/>
          </w:tcPr>
          <w:p w14:paraId="282A2DCF" w14:textId="77777777" w:rsidR="004B44FC" w:rsidRPr="00626077" w:rsidRDefault="004B44FC" w:rsidP="00626077">
            <w:pPr>
              <w:jc w:val="both"/>
            </w:pPr>
            <w:r w:rsidRPr="00626077">
              <w:t>691cabc</w:t>
            </w:r>
          </w:p>
        </w:tc>
        <w:tc>
          <w:tcPr>
            <w:tcW w:w="2330" w:type="dxa"/>
          </w:tcPr>
          <w:p w14:paraId="752C193D" w14:textId="77777777" w:rsidR="004B44FC" w:rsidRPr="00626077" w:rsidRDefault="004B44FC" w:rsidP="00626077">
            <w:pPr>
              <w:jc w:val="both"/>
            </w:pPr>
            <w:r w:rsidRPr="00626077">
              <w:t>724b</w:t>
            </w:r>
          </w:p>
        </w:tc>
      </w:tr>
      <w:tr w:rsidR="004B44FC" w:rsidRPr="00D36E3D" w14:paraId="3863D3A9" w14:textId="77777777" w:rsidTr="00626077">
        <w:trPr>
          <w:trHeight w:val="85"/>
        </w:trPr>
        <w:tc>
          <w:tcPr>
            <w:tcW w:w="3210" w:type="dxa"/>
          </w:tcPr>
          <w:p w14:paraId="7155EDBC" w14:textId="77777777" w:rsidR="004B44FC" w:rsidRPr="00626077" w:rsidRDefault="004B44FC" w:rsidP="00626077">
            <w:pPr>
              <w:jc w:val="both"/>
            </w:pPr>
            <w:r w:rsidRPr="00626077">
              <w:t>Whey powder</w:t>
            </w:r>
          </w:p>
        </w:tc>
        <w:tc>
          <w:tcPr>
            <w:tcW w:w="2153" w:type="dxa"/>
          </w:tcPr>
          <w:p w14:paraId="088E4055" w14:textId="77777777" w:rsidR="004B44FC" w:rsidRPr="00626077" w:rsidRDefault="004B44FC" w:rsidP="00626077">
            <w:pPr>
              <w:jc w:val="both"/>
            </w:pPr>
            <w:r w:rsidRPr="00626077">
              <w:t>743a</w:t>
            </w:r>
          </w:p>
        </w:tc>
        <w:tc>
          <w:tcPr>
            <w:tcW w:w="2330" w:type="dxa"/>
          </w:tcPr>
          <w:p w14:paraId="5446BA3F" w14:textId="77777777" w:rsidR="004B44FC" w:rsidRPr="00626077" w:rsidRDefault="004B44FC" w:rsidP="00626077">
            <w:pPr>
              <w:jc w:val="both"/>
            </w:pPr>
            <w:r w:rsidRPr="00626077">
              <w:t>878a</w:t>
            </w:r>
          </w:p>
        </w:tc>
      </w:tr>
      <w:tr w:rsidR="004B44FC" w:rsidRPr="00D36E3D" w14:paraId="19E48CE7" w14:textId="77777777" w:rsidTr="00626077">
        <w:trPr>
          <w:trHeight w:val="85"/>
        </w:trPr>
        <w:tc>
          <w:tcPr>
            <w:tcW w:w="3210" w:type="dxa"/>
          </w:tcPr>
          <w:p w14:paraId="68BBCCE3" w14:textId="77777777" w:rsidR="004B44FC" w:rsidRPr="00626077" w:rsidRDefault="004B44FC" w:rsidP="00626077">
            <w:pPr>
              <w:jc w:val="both"/>
            </w:pPr>
          </w:p>
        </w:tc>
        <w:tc>
          <w:tcPr>
            <w:tcW w:w="2153" w:type="dxa"/>
          </w:tcPr>
          <w:p w14:paraId="07B02025" w14:textId="77777777" w:rsidR="004B44FC" w:rsidRPr="00626077" w:rsidRDefault="004B44FC" w:rsidP="00626077">
            <w:pPr>
              <w:jc w:val="both"/>
            </w:pPr>
          </w:p>
        </w:tc>
        <w:tc>
          <w:tcPr>
            <w:tcW w:w="2330" w:type="dxa"/>
          </w:tcPr>
          <w:p w14:paraId="0ACDF2B4" w14:textId="77777777" w:rsidR="004B44FC" w:rsidRPr="00626077" w:rsidRDefault="004B44FC" w:rsidP="00626077">
            <w:pPr>
              <w:jc w:val="both"/>
            </w:pPr>
          </w:p>
        </w:tc>
      </w:tr>
      <w:tr w:rsidR="004B44FC" w:rsidRPr="00D36E3D" w14:paraId="65D6E7DD" w14:textId="77777777" w:rsidTr="00626077">
        <w:trPr>
          <w:trHeight w:val="85"/>
        </w:trPr>
        <w:tc>
          <w:tcPr>
            <w:tcW w:w="3210" w:type="dxa"/>
          </w:tcPr>
          <w:p w14:paraId="6FFE4585" w14:textId="77777777" w:rsidR="004B44FC" w:rsidRPr="00626077" w:rsidRDefault="004B44FC" w:rsidP="00626077">
            <w:pPr>
              <w:jc w:val="both"/>
            </w:pPr>
            <w:r w:rsidRPr="00626077">
              <w:t>SEM</w:t>
            </w:r>
          </w:p>
        </w:tc>
        <w:tc>
          <w:tcPr>
            <w:tcW w:w="2153" w:type="dxa"/>
          </w:tcPr>
          <w:p w14:paraId="08BDE3B9" w14:textId="77777777" w:rsidR="004B44FC" w:rsidRPr="00626077" w:rsidRDefault="004B44FC" w:rsidP="00626077">
            <w:pPr>
              <w:jc w:val="both"/>
            </w:pPr>
            <w:r w:rsidRPr="00626077">
              <w:t>45.2</w:t>
            </w:r>
          </w:p>
        </w:tc>
        <w:tc>
          <w:tcPr>
            <w:tcW w:w="2330" w:type="dxa"/>
          </w:tcPr>
          <w:p w14:paraId="77D5F2F7" w14:textId="77777777" w:rsidR="004B44FC" w:rsidRPr="00626077" w:rsidRDefault="004B44FC" w:rsidP="00626077">
            <w:pPr>
              <w:jc w:val="both"/>
            </w:pPr>
          </w:p>
        </w:tc>
      </w:tr>
      <w:tr w:rsidR="004B44FC" w:rsidRPr="00D36E3D" w14:paraId="499C3ECD" w14:textId="77777777" w:rsidTr="00626077">
        <w:trPr>
          <w:trHeight w:val="85"/>
        </w:trPr>
        <w:tc>
          <w:tcPr>
            <w:tcW w:w="3210" w:type="dxa"/>
          </w:tcPr>
          <w:p w14:paraId="0089E620" w14:textId="77777777" w:rsidR="004B44FC" w:rsidRPr="00626077" w:rsidRDefault="004B44FC" w:rsidP="00626077">
            <w:pPr>
              <w:jc w:val="both"/>
            </w:pPr>
            <w:r w:rsidRPr="00626077">
              <w:t>P</w:t>
            </w:r>
          </w:p>
        </w:tc>
        <w:tc>
          <w:tcPr>
            <w:tcW w:w="2153" w:type="dxa"/>
          </w:tcPr>
          <w:p w14:paraId="454E0F20" w14:textId="77777777" w:rsidR="004B44FC" w:rsidRPr="00626077" w:rsidRDefault="004B44FC" w:rsidP="00626077">
            <w:pPr>
              <w:jc w:val="both"/>
            </w:pPr>
          </w:p>
        </w:tc>
        <w:tc>
          <w:tcPr>
            <w:tcW w:w="2330" w:type="dxa"/>
          </w:tcPr>
          <w:p w14:paraId="5EA70CA0" w14:textId="77777777" w:rsidR="004B44FC" w:rsidRPr="00626077" w:rsidRDefault="004B44FC" w:rsidP="00626077">
            <w:pPr>
              <w:jc w:val="both"/>
            </w:pPr>
          </w:p>
        </w:tc>
      </w:tr>
      <w:tr w:rsidR="004B44FC" w:rsidRPr="00D36E3D" w14:paraId="52EA6B69" w14:textId="77777777" w:rsidTr="00626077">
        <w:trPr>
          <w:trHeight w:val="85"/>
        </w:trPr>
        <w:tc>
          <w:tcPr>
            <w:tcW w:w="3210" w:type="dxa"/>
          </w:tcPr>
          <w:p w14:paraId="0A220ECD" w14:textId="77777777" w:rsidR="004B44FC" w:rsidRPr="00626077" w:rsidRDefault="004B44FC" w:rsidP="00626077">
            <w:pPr>
              <w:jc w:val="both"/>
            </w:pPr>
            <w:r w:rsidRPr="00626077">
              <w:t>Feed</w:t>
            </w:r>
          </w:p>
        </w:tc>
        <w:tc>
          <w:tcPr>
            <w:tcW w:w="2153" w:type="dxa"/>
          </w:tcPr>
          <w:p w14:paraId="579E7728" w14:textId="77777777" w:rsidR="004B44FC" w:rsidRPr="00626077" w:rsidRDefault="004B44FC" w:rsidP="00626077">
            <w:pPr>
              <w:jc w:val="both"/>
            </w:pPr>
            <w:r w:rsidRPr="00626077">
              <w:t>&lt;0.001</w:t>
            </w:r>
          </w:p>
        </w:tc>
        <w:tc>
          <w:tcPr>
            <w:tcW w:w="2330" w:type="dxa"/>
          </w:tcPr>
          <w:p w14:paraId="754E2B92" w14:textId="77777777" w:rsidR="004B44FC" w:rsidRPr="00626077" w:rsidRDefault="004B44FC" w:rsidP="00626077">
            <w:pPr>
              <w:jc w:val="both"/>
            </w:pPr>
          </w:p>
        </w:tc>
      </w:tr>
      <w:tr w:rsidR="004B44FC" w:rsidRPr="00D36E3D" w14:paraId="72C262EF" w14:textId="77777777" w:rsidTr="00626077">
        <w:trPr>
          <w:trHeight w:val="85"/>
        </w:trPr>
        <w:tc>
          <w:tcPr>
            <w:tcW w:w="3210" w:type="dxa"/>
          </w:tcPr>
          <w:p w14:paraId="0627803A" w14:textId="77777777" w:rsidR="004B44FC" w:rsidRPr="00626077" w:rsidRDefault="004B44FC" w:rsidP="00626077">
            <w:pPr>
              <w:jc w:val="both"/>
            </w:pPr>
            <w:r w:rsidRPr="00626077">
              <w:t>pH</w:t>
            </w:r>
          </w:p>
        </w:tc>
        <w:tc>
          <w:tcPr>
            <w:tcW w:w="2153" w:type="dxa"/>
          </w:tcPr>
          <w:p w14:paraId="346EE5D2" w14:textId="77777777" w:rsidR="004B44FC" w:rsidRPr="00626077" w:rsidRDefault="004B44FC" w:rsidP="00626077">
            <w:pPr>
              <w:jc w:val="both"/>
            </w:pPr>
            <w:r w:rsidRPr="00626077">
              <w:t>0.112</w:t>
            </w:r>
          </w:p>
        </w:tc>
        <w:tc>
          <w:tcPr>
            <w:tcW w:w="2330" w:type="dxa"/>
          </w:tcPr>
          <w:p w14:paraId="1D737E56" w14:textId="77777777" w:rsidR="004B44FC" w:rsidRPr="00626077" w:rsidRDefault="004B44FC" w:rsidP="00626077">
            <w:pPr>
              <w:jc w:val="both"/>
            </w:pPr>
          </w:p>
        </w:tc>
      </w:tr>
      <w:tr w:rsidR="004B44FC" w:rsidRPr="00D36E3D" w14:paraId="4BBC466F" w14:textId="77777777" w:rsidTr="00626077">
        <w:trPr>
          <w:trHeight w:val="85"/>
        </w:trPr>
        <w:tc>
          <w:tcPr>
            <w:tcW w:w="3210" w:type="dxa"/>
          </w:tcPr>
          <w:p w14:paraId="265A65C9" w14:textId="77777777" w:rsidR="004B44FC" w:rsidRPr="00626077" w:rsidRDefault="004B44FC" w:rsidP="00626077">
            <w:pPr>
              <w:jc w:val="both"/>
            </w:pPr>
            <w:r w:rsidRPr="00626077">
              <w:t>Feed*pH</w:t>
            </w:r>
          </w:p>
        </w:tc>
        <w:tc>
          <w:tcPr>
            <w:tcW w:w="2153" w:type="dxa"/>
          </w:tcPr>
          <w:p w14:paraId="74FF8657" w14:textId="77777777" w:rsidR="004B44FC" w:rsidRPr="00626077" w:rsidRDefault="004B44FC" w:rsidP="00626077">
            <w:pPr>
              <w:jc w:val="both"/>
            </w:pPr>
            <w:r w:rsidRPr="00626077">
              <w:t>0.04</w:t>
            </w:r>
          </w:p>
        </w:tc>
        <w:tc>
          <w:tcPr>
            <w:tcW w:w="2330" w:type="dxa"/>
          </w:tcPr>
          <w:p w14:paraId="09D1ABE6" w14:textId="77777777" w:rsidR="004B44FC" w:rsidRPr="00626077" w:rsidRDefault="004B44FC" w:rsidP="00626077">
            <w:pPr>
              <w:jc w:val="both"/>
            </w:pPr>
          </w:p>
        </w:tc>
      </w:tr>
    </w:tbl>
    <w:p w14:paraId="10E6ECCA" w14:textId="77777777" w:rsidR="004B44FC" w:rsidRPr="00D36E3D" w:rsidRDefault="004B44FC" w:rsidP="004B44FC">
      <w:pPr>
        <w:jc w:val="both"/>
      </w:pPr>
      <w:r w:rsidRPr="00626077">
        <w:lastRenderedPageBreak/>
        <w:t xml:space="preserve">pH: incubation </w:t>
      </w:r>
      <w:proofErr w:type="spellStart"/>
      <w:r w:rsidRPr="00626077">
        <w:t>pH.</w:t>
      </w:r>
      <w:proofErr w:type="spellEnd"/>
      <w:r w:rsidRPr="00626077">
        <w:t xml:space="preserve"> SEM: standard error mean. Means w</w:t>
      </w:r>
      <w:r w:rsidRPr="00D36E3D">
        <w:t>ithin a column with different superscripts are significantly different (p</w:t>
      </w:r>
      <w:r w:rsidRPr="00D36E3D">
        <w:rPr>
          <w:rFonts w:cstheme="minorHAnsi"/>
        </w:rPr>
        <w:t>≤</w:t>
      </w:r>
      <w:r w:rsidRPr="00D36E3D">
        <w:t xml:space="preserve"> 0.05).</w:t>
      </w:r>
    </w:p>
    <w:p w14:paraId="0616BA68" w14:textId="77777777" w:rsidR="004B44FC" w:rsidRPr="00D36E3D" w:rsidRDefault="004B44FC" w:rsidP="004B44FC">
      <w:pPr>
        <w:jc w:val="both"/>
        <w:rPr>
          <w:rFonts w:cs="Times New Roman"/>
          <w:b/>
          <w:bCs/>
        </w:rPr>
      </w:pPr>
      <w:r w:rsidRPr="00D36E3D">
        <w:rPr>
          <w:rFonts w:cs="Times New Roman"/>
          <w:b/>
          <w:bCs/>
        </w:rPr>
        <w:t>Results</w:t>
      </w:r>
    </w:p>
    <w:p w14:paraId="30F9E406" w14:textId="77777777" w:rsidR="004B44FC" w:rsidRPr="00D36E3D" w:rsidRDefault="004B44FC" w:rsidP="004B44FC">
      <w:pPr>
        <w:jc w:val="both"/>
        <w:rPr>
          <w:rFonts w:cs="Times New Roman"/>
        </w:rPr>
      </w:pPr>
      <w:r w:rsidRPr="00626077">
        <w:rPr>
          <w:rFonts w:cs="Times New Roman"/>
        </w:rPr>
        <w:t>There were significant effects of feed (p&lt;0.001), and the interaction between feed and incubation pH (P= 0.04) on protein solubility. At pH 1.36, faba beans had significantly higher protein solubility compared to soybean meal. However, these feeds did not significantly differ in protein solubility at pH 3.13</w:t>
      </w:r>
      <w:r w:rsidRPr="00D36E3D">
        <w:rPr>
          <w:rFonts w:cs="Times New Roman"/>
        </w:rPr>
        <w:t>.</w:t>
      </w:r>
    </w:p>
    <w:p w14:paraId="7DAD9584" w14:textId="77777777" w:rsidR="004B44FC" w:rsidRPr="00D36E3D" w:rsidRDefault="004B44FC" w:rsidP="004B44FC">
      <w:pPr>
        <w:jc w:val="both"/>
        <w:rPr>
          <w:rFonts w:cs="Times New Roman"/>
          <w:b/>
          <w:bCs/>
        </w:rPr>
      </w:pPr>
      <w:r w:rsidRPr="00D36E3D">
        <w:rPr>
          <w:rFonts w:cs="Times New Roman"/>
          <w:b/>
          <w:bCs/>
        </w:rPr>
        <w:t>Conclusion</w:t>
      </w:r>
    </w:p>
    <w:p w14:paraId="074DD2E8" w14:textId="77777777" w:rsidR="004B44FC" w:rsidRPr="00626077" w:rsidRDefault="004B44FC" w:rsidP="004B44FC">
      <w:pPr>
        <w:jc w:val="both"/>
        <w:rPr>
          <w:rFonts w:cs="Times New Roman"/>
        </w:rPr>
      </w:pPr>
      <w:r w:rsidRPr="00626077">
        <w:rPr>
          <w:rFonts w:cs="Times New Roman"/>
        </w:rPr>
        <w:t xml:space="preserve">The effect of protein source on in vitro protein solubility was influenced by incubation </w:t>
      </w:r>
      <w:proofErr w:type="spellStart"/>
      <w:r w:rsidRPr="00626077">
        <w:rPr>
          <w:rFonts w:cs="Times New Roman"/>
        </w:rPr>
        <w:t>pH.</w:t>
      </w:r>
      <w:proofErr w:type="spellEnd"/>
      <w:r w:rsidRPr="00626077">
        <w:rPr>
          <w:rFonts w:cs="Times New Roman"/>
        </w:rPr>
        <w:t xml:space="preserve"> Although significant differences in protein solubility were observed across feeds, it is important to note that these variations may not directly correspond to differences in fish performance.</w:t>
      </w:r>
    </w:p>
    <w:p w14:paraId="4FA0BBC3" w14:textId="77777777" w:rsidR="004B44FC" w:rsidRPr="00D36E3D" w:rsidRDefault="004B44FC" w:rsidP="004B44FC">
      <w:pPr>
        <w:jc w:val="both"/>
        <w:rPr>
          <w:rFonts w:cs="Times New Roman"/>
        </w:rPr>
      </w:pPr>
    </w:p>
    <w:p w14:paraId="64500B7E" w14:textId="77777777" w:rsidR="004B44FC" w:rsidRPr="00D36E3D" w:rsidRDefault="004B44FC" w:rsidP="004B44FC">
      <w:pPr>
        <w:jc w:val="both"/>
        <w:rPr>
          <w:rFonts w:cs="Times New Roman"/>
          <w:b/>
          <w:bCs/>
        </w:rPr>
      </w:pPr>
      <w:r w:rsidRPr="00D36E3D">
        <w:rPr>
          <w:rFonts w:cs="Times New Roman"/>
          <w:b/>
          <w:bCs/>
        </w:rPr>
        <w:t>Acknowledgments</w:t>
      </w:r>
    </w:p>
    <w:p w14:paraId="6DD5D0F0" w14:textId="77777777" w:rsidR="004B44FC" w:rsidRPr="00D36E3D" w:rsidRDefault="004B44FC" w:rsidP="004B44FC">
      <w:pPr>
        <w:jc w:val="both"/>
        <w:rPr>
          <w:rFonts w:cs="Times New Roman"/>
        </w:rPr>
      </w:pPr>
      <w:r w:rsidRPr="00626077">
        <w:rPr>
          <w:rFonts w:cs="Times New Roman"/>
        </w:rPr>
        <w:t>Nottingham Trent University poultry research unit team is acknowledged for feed analysis.</w:t>
      </w:r>
    </w:p>
    <w:p w14:paraId="3EBD842B" w14:textId="77777777" w:rsidR="004B44FC" w:rsidRPr="00D36E3D" w:rsidRDefault="004B44FC" w:rsidP="004B44FC">
      <w:pPr>
        <w:jc w:val="both"/>
        <w:rPr>
          <w:rFonts w:cs="Times New Roman"/>
        </w:rPr>
      </w:pPr>
    </w:p>
    <w:p w14:paraId="07843E91" w14:textId="77777777" w:rsidR="004B44FC" w:rsidRPr="00D36E3D" w:rsidRDefault="004B44FC" w:rsidP="004B44FC">
      <w:pPr>
        <w:jc w:val="both"/>
        <w:rPr>
          <w:rFonts w:cs="Times New Roman"/>
          <w:b/>
          <w:bCs/>
        </w:rPr>
      </w:pPr>
      <w:r w:rsidRPr="00D36E3D">
        <w:rPr>
          <w:rFonts w:cs="Times New Roman"/>
          <w:b/>
          <w:bCs/>
        </w:rPr>
        <w:t>References</w:t>
      </w:r>
    </w:p>
    <w:p w14:paraId="7760E516" w14:textId="77777777" w:rsidR="004B44FC" w:rsidRPr="00D36E3D" w:rsidRDefault="004B44FC" w:rsidP="004B44FC">
      <w:pPr>
        <w:jc w:val="both"/>
        <w:rPr>
          <w:rFonts w:cs="Times New Roman"/>
        </w:rPr>
      </w:pPr>
      <w:r w:rsidRPr="00D36E3D">
        <w:rPr>
          <w:rFonts w:cs="Times New Roman"/>
        </w:rPr>
        <w:t>Araba, A., and Dale, N. 1990. Poultry Science, 69, 76-83.</w:t>
      </w:r>
    </w:p>
    <w:p w14:paraId="5B4187D5" w14:textId="77777777" w:rsidR="004B44FC" w:rsidRPr="00D36E3D" w:rsidRDefault="004B44FC" w:rsidP="004B44FC">
      <w:pPr>
        <w:jc w:val="both"/>
        <w:rPr>
          <w:rFonts w:cs="Times New Roman"/>
        </w:rPr>
      </w:pPr>
      <w:r w:rsidRPr="00D36E3D">
        <w:rPr>
          <w:rFonts w:cs="Times New Roman"/>
        </w:rPr>
        <w:t xml:space="preserve">Moyano, F.J., Sáenz de </w:t>
      </w:r>
      <w:proofErr w:type="spellStart"/>
      <w:r w:rsidRPr="00D36E3D">
        <w:rPr>
          <w:rFonts w:cs="Times New Roman"/>
        </w:rPr>
        <w:t>Rodrigáñez</w:t>
      </w:r>
      <w:proofErr w:type="spellEnd"/>
      <w:r w:rsidRPr="00D36E3D">
        <w:rPr>
          <w:rFonts w:cs="Times New Roman"/>
        </w:rPr>
        <w:t>, M.A., Díaz, M., and Tacon, A.G.J. 2015. Reviews in Aquaculture, 7(4), 223-242.</w:t>
      </w:r>
    </w:p>
    <w:p w14:paraId="2F76278F" w14:textId="77777777" w:rsidR="0008011C" w:rsidRDefault="0008011C"/>
    <w:sectPr w:rsidR="000801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4FC"/>
    <w:rsid w:val="00007E11"/>
    <w:rsid w:val="0008011C"/>
    <w:rsid w:val="001F1355"/>
    <w:rsid w:val="00205BCC"/>
    <w:rsid w:val="004B44FC"/>
    <w:rsid w:val="00541516"/>
    <w:rsid w:val="00A858F7"/>
    <w:rsid w:val="00D74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9DEB1"/>
  <w15:chartTrackingRefBased/>
  <w15:docId w15:val="{8C325A86-8CBD-481D-98AF-9056FC65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4FC"/>
  </w:style>
  <w:style w:type="paragraph" w:styleId="Heading1">
    <w:name w:val="heading 1"/>
    <w:basedOn w:val="Normal"/>
    <w:next w:val="Normal"/>
    <w:link w:val="Heading1Char"/>
    <w:uiPriority w:val="9"/>
    <w:qFormat/>
    <w:rsid w:val="004B4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4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4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4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4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4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4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4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4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4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4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4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4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4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4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4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4FC"/>
    <w:rPr>
      <w:rFonts w:eastAsiaTheme="majorEastAsia" w:cstheme="majorBidi"/>
      <w:color w:val="272727" w:themeColor="text1" w:themeTint="D8"/>
    </w:rPr>
  </w:style>
  <w:style w:type="paragraph" w:styleId="Title">
    <w:name w:val="Title"/>
    <w:basedOn w:val="Normal"/>
    <w:next w:val="Normal"/>
    <w:link w:val="TitleChar"/>
    <w:uiPriority w:val="10"/>
    <w:qFormat/>
    <w:rsid w:val="004B4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4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4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4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4FC"/>
    <w:pPr>
      <w:spacing w:before="160"/>
      <w:jc w:val="center"/>
    </w:pPr>
    <w:rPr>
      <w:i/>
      <w:iCs/>
      <w:color w:val="404040" w:themeColor="text1" w:themeTint="BF"/>
    </w:rPr>
  </w:style>
  <w:style w:type="character" w:customStyle="1" w:styleId="QuoteChar">
    <w:name w:val="Quote Char"/>
    <w:basedOn w:val="DefaultParagraphFont"/>
    <w:link w:val="Quote"/>
    <w:uiPriority w:val="29"/>
    <w:rsid w:val="004B44FC"/>
    <w:rPr>
      <w:i/>
      <w:iCs/>
      <w:color w:val="404040" w:themeColor="text1" w:themeTint="BF"/>
    </w:rPr>
  </w:style>
  <w:style w:type="paragraph" w:styleId="ListParagraph">
    <w:name w:val="List Paragraph"/>
    <w:basedOn w:val="Normal"/>
    <w:uiPriority w:val="34"/>
    <w:qFormat/>
    <w:rsid w:val="004B44FC"/>
    <w:pPr>
      <w:ind w:left="720"/>
      <w:contextualSpacing/>
    </w:pPr>
  </w:style>
  <w:style w:type="character" w:styleId="IntenseEmphasis">
    <w:name w:val="Intense Emphasis"/>
    <w:basedOn w:val="DefaultParagraphFont"/>
    <w:uiPriority w:val="21"/>
    <w:qFormat/>
    <w:rsid w:val="004B44FC"/>
    <w:rPr>
      <w:i/>
      <w:iCs/>
      <w:color w:val="0F4761" w:themeColor="accent1" w:themeShade="BF"/>
    </w:rPr>
  </w:style>
  <w:style w:type="paragraph" w:styleId="IntenseQuote">
    <w:name w:val="Intense Quote"/>
    <w:basedOn w:val="Normal"/>
    <w:next w:val="Normal"/>
    <w:link w:val="IntenseQuoteChar"/>
    <w:uiPriority w:val="30"/>
    <w:qFormat/>
    <w:rsid w:val="004B4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4FC"/>
    <w:rPr>
      <w:i/>
      <w:iCs/>
      <w:color w:val="0F4761" w:themeColor="accent1" w:themeShade="BF"/>
    </w:rPr>
  </w:style>
  <w:style w:type="character" w:styleId="IntenseReference">
    <w:name w:val="Intense Reference"/>
    <w:basedOn w:val="DefaultParagraphFont"/>
    <w:uiPriority w:val="32"/>
    <w:qFormat/>
    <w:rsid w:val="004B44FC"/>
    <w:rPr>
      <w:b/>
      <w:bCs/>
      <w:smallCaps/>
      <w:color w:val="0F4761" w:themeColor="accent1" w:themeShade="BF"/>
      <w:spacing w:val="5"/>
    </w:rPr>
  </w:style>
  <w:style w:type="table" w:styleId="TableGrid">
    <w:name w:val="Table Grid"/>
    <w:basedOn w:val="TableNormal"/>
    <w:uiPriority w:val="39"/>
    <w:rsid w:val="004B44FC"/>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senaweera arachichilage chamodi harshani senaweera</dc:creator>
  <cp:keywords/>
  <dc:description/>
  <cp:lastModifiedBy>senaweera arachichilage chamodi harshani senaweera</cp:lastModifiedBy>
  <cp:revision>1</cp:revision>
  <dcterms:created xsi:type="dcterms:W3CDTF">2025-01-17T21:20:00Z</dcterms:created>
  <dcterms:modified xsi:type="dcterms:W3CDTF">2025-01-17T21:25:00Z</dcterms:modified>
</cp:coreProperties>
</file>