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9978"/>
      </w:tblGrid>
      <w:tr w:rsidR="00E14333" w:rsidRPr="00B157B9" w14:paraId="18C76A3B" w14:textId="77777777" w:rsidTr="003415AB">
        <w:tc>
          <w:tcPr>
            <w:tcW w:w="5000" w:type="pct"/>
            <w:tcBorders>
              <w:bottom w:val="single" w:sz="4" w:space="0" w:color="auto"/>
            </w:tcBorders>
          </w:tcPr>
          <w:p w14:paraId="2859D184" w14:textId="77777777" w:rsidR="00E14333" w:rsidRPr="00F21046" w:rsidRDefault="00E14333" w:rsidP="003415AB">
            <w:pPr>
              <w:rPr>
                <w:b/>
                <w:bCs/>
              </w:rPr>
            </w:pPr>
            <w:r w:rsidRPr="00F21046">
              <w:rPr>
                <w:b/>
                <w:bCs/>
              </w:rPr>
              <w:t xml:space="preserve">Title: </w:t>
            </w:r>
            <w:r>
              <w:rPr>
                <w:bCs/>
                <w:i/>
                <w:sz w:val="20"/>
              </w:rPr>
              <w:t>(Use Normal style (Times New Roman 12)</w:t>
            </w:r>
            <w:r w:rsidRPr="00063C20">
              <w:rPr>
                <w:bCs/>
                <w:i/>
                <w:sz w:val="20"/>
              </w:rPr>
              <w:t xml:space="preserve">. </w:t>
            </w:r>
            <w:r w:rsidRPr="00063C20">
              <w:rPr>
                <w:i/>
                <w:sz w:val="20"/>
              </w:rPr>
              <w:t>Only capitalise the first letter of the first word.  No full stop at the end of the title</w:t>
            </w:r>
            <w:r w:rsidRPr="00063C20">
              <w:rPr>
                <w:bCs/>
                <w:i/>
                <w:sz w:val="20"/>
              </w:rPr>
              <w:t>)</w:t>
            </w:r>
          </w:p>
        </w:tc>
      </w:tr>
      <w:tr w:rsidR="00E14333" w:rsidRPr="00F76957" w14:paraId="692AAE9D" w14:textId="77777777" w:rsidTr="003415A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431288" w14:textId="19592207" w:rsidR="00E14333" w:rsidRPr="007E1111" w:rsidRDefault="0042684D" w:rsidP="00213D48">
            <w:pPr>
              <w:spacing w:after="120"/>
            </w:pPr>
            <w:r>
              <w:t>P</w:t>
            </w:r>
            <w:r w:rsidRPr="0042684D">
              <w:t xml:space="preserve">erformance of </w:t>
            </w:r>
            <w:r w:rsidR="0036488B">
              <w:t xml:space="preserve">dairy </w:t>
            </w:r>
            <w:r w:rsidRPr="0042684D">
              <w:t xml:space="preserve">cows offered grass silages produced within </w:t>
            </w:r>
            <w:r w:rsidR="00B21CA5">
              <w:t>either a</w:t>
            </w:r>
            <w:r w:rsidR="0018353E">
              <w:t xml:space="preserve"> </w:t>
            </w:r>
            <w:r w:rsidRPr="0042684D">
              <w:t>three</w:t>
            </w:r>
            <w:r w:rsidR="007F7072">
              <w:t>-</w:t>
            </w:r>
            <w:r w:rsidRPr="0042684D">
              <w:t xml:space="preserve"> or </w:t>
            </w:r>
            <w:r w:rsidR="006D636D">
              <w:t>five</w:t>
            </w:r>
            <w:r w:rsidR="007F7072">
              <w:t>-</w:t>
            </w:r>
            <w:r w:rsidRPr="0042684D">
              <w:t>harvest system</w:t>
            </w:r>
          </w:p>
        </w:tc>
      </w:tr>
      <w:tr w:rsidR="00E14333" w:rsidRPr="00B157B9" w14:paraId="49F9035C" w14:textId="77777777" w:rsidTr="003415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579BA9E" w14:textId="77777777" w:rsidR="00E14333" w:rsidRPr="00F21046" w:rsidRDefault="00E14333" w:rsidP="003415AB">
            <w:pPr>
              <w:rPr>
                <w:szCs w:val="20"/>
              </w:rPr>
            </w:pPr>
            <w:r w:rsidRPr="00F21046">
              <w:rPr>
                <w:b/>
                <w:bCs/>
                <w:szCs w:val="20"/>
              </w:rPr>
              <w:t>Summary</w:t>
            </w:r>
            <w:proofErr w:type="gramStart"/>
            <w:r w:rsidRPr="00F21046">
              <w:rPr>
                <w:b/>
                <w:bCs/>
                <w:szCs w:val="20"/>
              </w:rPr>
              <w:t xml:space="preserve">:  </w:t>
            </w:r>
            <w:r w:rsidRPr="00063C20">
              <w:rPr>
                <w:bCs/>
                <w:i/>
                <w:sz w:val="20"/>
              </w:rPr>
              <w:t>(</w:t>
            </w:r>
            <w:proofErr w:type="gramEnd"/>
            <w:r w:rsidRPr="00063C20">
              <w:rPr>
                <w:bCs/>
                <w:i/>
                <w:sz w:val="20"/>
              </w:rPr>
              <w:t>Your summa</w:t>
            </w:r>
            <w:r>
              <w:rPr>
                <w:bCs/>
                <w:i/>
                <w:sz w:val="20"/>
              </w:rPr>
              <w:t>ry (Times New Roman 10)</w:t>
            </w:r>
            <w:r w:rsidRPr="00063C20">
              <w:rPr>
                <w:bCs/>
                <w:i/>
                <w:sz w:val="20"/>
              </w:rPr>
              <w:t xml:space="preserve"> must use </w:t>
            </w:r>
            <w:r>
              <w:rPr>
                <w:bCs/>
                <w:i/>
                <w:sz w:val="20"/>
              </w:rPr>
              <w:t xml:space="preserve">Body text </w:t>
            </w:r>
            <w:r w:rsidRPr="00063C20">
              <w:rPr>
                <w:bCs/>
                <w:i/>
                <w:sz w:val="20"/>
              </w:rPr>
              <w:t xml:space="preserve"> style and must not be longer than this box)</w:t>
            </w:r>
          </w:p>
        </w:tc>
      </w:tr>
      <w:tr w:rsidR="00E14333" w:rsidRPr="00AE32E3" w14:paraId="1E25C726" w14:textId="77777777" w:rsidTr="003415AB">
        <w:trPr>
          <w:trHeight w:hRule="exact" w:val="12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56509C3" w14:textId="5101F77A" w:rsidR="00734457" w:rsidRDefault="000E36EC" w:rsidP="00615B99">
            <w:pPr>
              <w:jc w:val="both"/>
              <w:rPr>
                <w:bCs/>
                <w:sz w:val="20"/>
                <w:szCs w:val="20"/>
              </w:rPr>
            </w:pPr>
            <w:r w:rsidRPr="0017176C">
              <w:rPr>
                <w:b/>
                <w:sz w:val="20"/>
                <w:szCs w:val="20"/>
              </w:rPr>
              <w:t>Application</w:t>
            </w:r>
            <w:r w:rsidR="00734457">
              <w:rPr>
                <w:b/>
                <w:sz w:val="20"/>
                <w:szCs w:val="20"/>
              </w:rPr>
              <w:t xml:space="preserve"> </w:t>
            </w:r>
            <w:r w:rsidR="00610423">
              <w:rPr>
                <w:bCs/>
                <w:sz w:val="20"/>
                <w:szCs w:val="20"/>
              </w:rPr>
              <w:t>Cows offered silage produced within a five-</w:t>
            </w:r>
            <w:r w:rsidR="00EB3330">
              <w:rPr>
                <w:bCs/>
                <w:sz w:val="20"/>
                <w:szCs w:val="20"/>
              </w:rPr>
              <w:t xml:space="preserve">harvest </w:t>
            </w:r>
            <w:r w:rsidR="00610423">
              <w:rPr>
                <w:bCs/>
                <w:sz w:val="20"/>
                <w:szCs w:val="20"/>
              </w:rPr>
              <w:t xml:space="preserve">system </w:t>
            </w:r>
            <w:r w:rsidR="00EB3330">
              <w:rPr>
                <w:bCs/>
                <w:sz w:val="20"/>
                <w:szCs w:val="20"/>
              </w:rPr>
              <w:t>produced an additional</w:t>
            </w:r>
            <w:r w:rsidR="00734457" w:rsidRPr="00734457">
              <w:rPr>
                <w:bCs/>
                <w:sz w:val="20"/>
                <w:szCs w:val="20"/>
              </w:rPr>
              <w:t xml:space="preserve"> 1.8</w:t>
            </w:r>
            <w:r w:rsidR="007E320E">
              <w:rPr>
                <w:bCs/>
                <w:sz w:val="20"/>
                <w:szCs w:val="20"/>
              </w:rPr>
              <w:t xml:space="preserve"> </w:t>
            </w:r>
            <w:r w:rsidR="00734457" w:rsidRPr="00734457">
              <w:rPr>
                <w:bCs/>
                <w:sz w:val="20"/>
                <w:szCs w:val="20"/>
              </w:rPr>
              <w:t xml:space="preserve">kg </w:t>
            </w:r>
            <w:r w:rsidR="00703BFC">
              <w:rPr>
                <w:bCs/>
                <w:sz w:val="20"/>
                <w:szCs w:val="20"/>
              </w:rPr>
              <w:t>energy corrected milk (ECM) yield</w:t>
            </w:r>
            <w:r w:rsidR="00734457">
              <w:rPr>
                <w:bCs/>
                <w:sz w:val="20"/>
                <w:szCs w:val="20"/>
              </w:rPr>
              <w:t xml:space="preserve"> </w:t>
            </w:r>
            <w:r w:rsidR="00610423">
              <w:rPr>
                <w:bCs/>
                <w:sz w:val="20"/>
                <w:szCs w:val="20"/>
              </w:rPr>
              <w:t>compared to cows offered silage produced within a three-</w:t>
            </w:r>
            <w:r w:rsidR="00EB3330">
              <w:rPr>
                <w:bCs/>
                <w:sz w:val="20"/>
                <w:szCs w:val="20"/>
              </w:rPr>
              <w:t xml:space="preserve">harvest </w:t>
            </w:r>
            <w:r w:rsidR="00610423">
              <w:rPr>
                <w:bCs/>
                <w:sz w:val="20"/>
                <w:szCs w:val="20"/>
              </w:rPr>
              <w:t xml:space="preserve">system. </w:t>
            </w:r>
            <w:r w:rsidR="00734457">
              <w:rPr>
                <w:bCs/>
                <w:sz w:val="20"/>
                <w:szCs w:val="20"/>
              </w:rPr>
              <w:t xml:space="preserve"> </w:t>
            </w:r>
          </w:p>
          <w:p w14:paraId="757CB600" w14:textId="77777777" w:rsidR="005F2708" w:rsidRPr="005F2708" w:rsidRDefault="005F2708" w:rsidP="00615B99">
            <w:pPr>
              <w:jc w:val="both"/>
              <w:rPr>
                <w:bCs/>
                <w:sz w:val="12"/>
                <w:szCs w:val="12"/>
              </w:rPr>
            </w:pPr>
          </w:p>
          <w:p w14:paraId="750E658D" w14:textId="79B6C4A2" w:rsidR="005F2708" w:rsidRDefault="00E14333" w:rsidP="00615B99">
            <w:pPr>
              <w:jc w:val="both"/>
              <w:rPr>
                <w:sz w:val="20"/>
                <w:szCs w:val="20"/>
              </w:rPr>
            </w:pPr>
            <w:proofErr w:type="gramStart"/>
            <w:r w:rsidRPr="0017176C">
              <w:rPr>
                <w:b/>
                <w:sz w:val="20"/>
                <w:szCs w:val="20"/>
              </w:rPr>
              <w:t>Introduction</w:t>
            </w:r>
            <w:r w:rsidR="00E43570" w:rsidRPr="00145941">
              <w:rPr>
                <w:sz w:val="20"/>
                <w:szCs w:val="20"/>
              </w:rPr>
              <w:t xml:space="preserve"> </w:t>
            </w:r>
            <w:r w:rsidR="006D636D">
              <w:rPr>
                <w:sz w:val="20"/>
                <w:szCs w:val="20"/>
              </w:rPr>
              <w:t xml:space="preserve"> </w:t>
            </w:r>
            <w:r w:rsidR="00610423">
              <w:rPr>
                <w:sz w:val="20"/>
                <w:szCs w:val="20"/>
              </w:rPr>
              <w:t>In</w:t>
            </w:r>
            <w:proofErr w:type="gramEnd"/>
            <w:r w:rsidR="00610423">
              <w:rPr>
                <w:sz w:val="20"/>
                <w:szCs w:val="20"/>
              </w:rPr>
              <w:t xml:space="preserve"> order to improve </w:t>
            </w:r>
            <w:r w:rsidR="008A2127">
              <w:rPr>
                <w:sz w:val="20"/>
                <w:szCs w:val="20"/>
              </w:rPr>
              <w:t xml:space="preserve">grass </w:t>
            </w:r>
            <w:r w:rsidR="00610423">
              <w:rPr>
                <w:sz w:val="20"/>
                <w:szCs w:val="20"/>
              </w:rPr>
              <w:t>silage quality, m</w:t>
            </w:r>
            <w:r w:rsidR="006D636D">
              <w:rPr>
                <w:sz w:val="20"/>
                <w:szCs w:val="20"/>
              </w:rPr>
              <w:t xml:space="preserve">ore </w:t>
            </w:r>
            <w:r w:rsidR="00703BFC">
              <w:rPr>
                <w:sz w:val="20"/>
                <w:szCs w:val="20"/>
              </w:rPr>
              <w:t>producers</w:t>
            </w:r>
            <w:r w:rsidR="006D636D">
              <w:rPr>
                <w:sz w:val="20"/>
                <w:szCs w:val="20"/>
              </w:rPr>
              <w:t xml:space="preserve"> </w:t>
            </w:r>
            <w:r w:rsidR="00610423">
              <w:rPr>
                <w:sz w:val="20"/>
                <w:szCs w:val="20"/>
              </w:rPr>
              <w:t xml:space="preserve">are </w:t>
            </w:r>
            <w:r w:rsidR="006D636D">
              <w:rPr>
                <w:sz w:val="20"/>
                <w:szCs w:val="20"/>
              </w:rPr>
              <w:t xml:space="preserve">moving towards </w:t>
            </w:r>
            <w:r w:rsidR="0061444E">
              <w:rPr>
                <w:sz w:val="20"/>
                <w:szCs w:val="20"/>
              </w:rPr>
              <w:t>multi-harvest</w:t>
            </w:r>
            <w:r w:rsidR="006D636D">
              <w:rPr>
                <w:sz w:val="20"/>
                <w:szCs w:val="20"/>
              </w:rPr>
              <w:t xml:space="preserve"> silage</w:t>
            </w:r>
            <w:r w:rsidR="0061444E">
              <w:rPr>
                <w:sz w:val="20"/>
                <w:szCs w:val="20"/>
              </w:rPr>
              <w:t xml:space="preserve"> systems</w:t>
            </w:r>
            <w:r w:rsidR="008A2127">
              <w:rPr>
                <w:sz w:val="20"/>
                <w:szCs w:val="20"/>
              </w:rPr>
              <w:t xml:space="preserve"> (</w:t>
            </w:r>
            <w:r w:rsidR="00EB3330">
              <w:rPr>
                <w:sz w:val="20"/>
                <w:szCs w:val="20"/>
              </w:rPr>
              <w:t xml:space="preserve">considered as </w:t>
            </w:r>
            <w:r w:rsidR="008A2127">
              <w:rPr>
                <w:sz w:val="20"/>
                <w:szCs w:val="20"/>
              </w:rPr>
              <w:t>four or more harvests)</w:t>
            </w:r>
            <w:r w:rsidR="0061444E">
              <w:rPr>
                <w:sz w:val="20"/>
                <w:szCs w:val="20"/>
              </w:rPr>
              <w:t xml:space="preserve">. </w:t>
            </w:r>
            <w:r w:rsidR="00703BFC">
              <w:rPr>
                <w:sz w:val="20"/>
                <w:szCs w:val="20"/>
              </w:rPr>
              <w:t>However,</w:t>
            </w:r>
            <w:r w:rsidR="00264F94">
              <w:rPr>
                <w:sz w:val="20"/>
                <w:szCs w:val="20"/>
              </w:rPr>
              <w:t xml:space="preserve"> </w:t>
            </w:r>
            <w:r w:rsidR="00610423">
              <w:rPr>
                <w:sz w:val="20"/>
                <w:szCs w:val="20"/>
              </w:rPr>
              <w:t>there is little research evidence to quantify the effects of multi-</w:t>
            </w:r>
            <w:r w:rsidR="008A2127">
              <w:rPr>
                <w:sz w:val="20"/>
                <w:szCs w:val="20"/>
              </w:rPr>
              <w:t>harvest</w:t>
            </w:r>
            <w:r w:rsidR="00610423">
              <w:rPr>
                <w:sz w:val="20"/>
                <w:szCs w:val="20"/>
              </w:rPr>
              <w:t xml:space="preserve"> silage systems on herbage yield or cow performance. </w:t>
            </w:r>
            <w:r w:rsidR="006D636D">
              <w:rPr>
                <w:sz w:val="20"/>
                <w:szCs w:val="20"/>
              </w:rPr>
              <w:t>Previous work indicated that i</w:t>
            </w:r>
            <w:r w:rsidR="006D636D" w:rsidRPr="006D636D">
              <w:rPr>
                <w:sz w:val="20"/>
                <w:szCs w:val="20"/>
              </w:rPr>
              <w:t>ncreasing harvesting frequency from three to four harvests improved silage quality</w:t>
            </w:r>
            <w:r w:rsidR="005B3135">
              <w:rPr>
                <w:sz w:val="20"/>
                <w:szCs w:val="20"/>
              </w:rPr>
              <w:t>, s</w:t>
            </w:r>
            <w:r w:rsidR="006D636D" w:rsidRPr="006D636D">
              <w:rPr>
                <w:sz w:val="20"/>
                <w:szCs w:val="20"/>
              </w:rPr>
              <w:t xml:space="preserve">ilage </w:t>
            </w:r>
            <w:r w:rsidR="005B3135">
              <w:rPr>
                <w:sz w:val="20"/>
                <w:szCs w:val="20"/>
              </w:rPr>
              <w:t>dry matter intake (</w:t>
            </w:r>
            <w:r w:rsidR="006D636D" w:rsidRPr="006D636D">
              <w:rPr>
                <w:sz w:val="20"/>
                <w:szCs w:val="20"/>
              </w:rPr>
              <w:t>DMI</w:t>
            </w:r>
            <w:r w:rsidR="005B3135">
              <w:rPr>
                <w:sz w:val="20"/>
                <w:szCs w:val="20"/>
              </w:rPr>
              <w:t>)</w:t>
            </w:r>
            <w:r w:rsidR="006D636D" w:rsidRPr="006D636D">
              <w:rPr>
                <w:sz w:val="20"/>
                <w:szCs w:val="20"/>
              </w:rPr>
              <w:t xml:space="preserve">, milk yield and milk fat </w:t>
            </w:r>
            <w:r w:rsidR="008A2127">
              <w:rPr>
                <w:sz w:val="20"/>
                <w:szCs w:val="20"/>
              </w:rPr>
              <w:t>plus</w:t>
            </w:r>
            <w:r w:rsidR="006D636D" w:rsidRPr="006D636D">
              <w:rPr>
                <w:sz w:val="20"/>
                <w:szCs w:val="20"/>
              </w:rPr>
              <w:t xml:space="preserve"> protein yield</w:t>
            </w:r>
            <w:r w:rsidR="005B3135">
              <w:rPr>
                <w:sz w:val="20"/>
                <w:szCs w:val="20"/>
              </w:rPr>
              <w:t xml:space="preserve"> (Craig et al., 2023).</w:t>
            </w:r>
            <w:r w:rsidR="00CB05E4">
              <w:rPr>
                <w:sz w:val="20"/>
                <w:szCs w:val="20"/>
              </w:rPr>
              <w:t xml:space="preserve"> T</w:t>
            </w:r>
            <w:r w:rsidR="00610423">
              <w:rPr>
                <w:sz w:val="20"/>
                <w:szCs w:val="20"/>
              </w:rPr>
              <w:t>he</w:t>
            </w:r>
            <w:r w:rsidR="005B3135">
              <w:rPr>
                <w:sz w:val="20"/>
                <w:szCs w:val="20"/>
              </w:rPr>
              <w:t xml:space="preserve"> current </w:t>
            </w:r>
            <w:r w:rsidR="0042684D" w:rsidRPr="0042684D">
              <w:rPr>
                <w:sz w:val="20"/>
                <w:szCs w:val="20"/>
              </w:rPr>
              <w:t xml:space="preserve">study investigated the effect of </w:t>
            </w:r>
            <w:r w:rsidR="006646CC">
              <w:rPr>
                <w:sz w:val="20"/>
                <w:szCs w:val="20"/>
              </w:rPr>
              <w:t xml:space="preserve">offering </w:t>
            </w:r>
            <w:r w:rsidR="005D412F">
              <w:rPr>
                <w:sz w:val="20"/>
                <w:szCs w:val="20"/>
              </w:rPr>
              <w:t xml:space="preserve">grass </w:t>
            </w:r>
            <w:r w:rsidR="0042684D" w:rsidRPr="0042684D">
              <w:rPr>
                <w:sz w:val="20"/>
                <w:szCs w:val="20"/>
              </w:rPr>
              <w:t xml:space="preserve">silages produced </w:t>
            </w:r>
            <w:r w:rsidR="00264F94">
              <w:rPr>
                <w:sz w:val="20"/>
                <w:szCs w:val="20"/>
              </w:rPr>
              <w:t>within</w:t>
            </w:r>
            <w:r w:rsidR="006646CC">
              <w:rPr>
                <w:sz w:val="20"/>
                <w:szCs w:val="20"/>
              </w:rPr>
              <w:t xml:space="preserve"> </w:t>
            </w:r>
            <w:r w:rsidR="00EB3330">
              <w:rPr>
                <w:sz w:val="20"/>
                <w:szCs w:val="20"/>
              </w:rPr>
              <w:t>either a</w:t>
            </w:r>
            <w:r w:rsidR="006646CC">
              <w:rPr>
                <w:sz w:val="20"/>
                <w:szCs w:val="20"/>
              </w:rPr>
              <w:t xml:space="preserve"> </w:t>
            </w:r>
            <w:r w:rsidR="00264F94">
              <w:rPr>
                <w:sz w:val="20"/>
                <w:szCs w:val="20"/>
              </w:rPr>
              <w:t xml:space="preserve">three- or </w:t>
            </w:r>
            <w:r w:rsidR="005B3135">
              <w:rPr>
                <w:sz w:val="20"/>
                <w:szCs w:val="20"/>
              </w:rPr>
              <w:t>five</w:t>
            </w:r>
            <w:r w:rsidR="0042684D" w:rsidRPr="0042684D">
              <w:rPr>
                <w:sz w:val="20"/>
                <w:szCs w:val="20"/>
              </w:rPr>
              <w:t>-harvest system</w:t>
            </w:r>
            <w:r w:rsidR="0018353E">
              <w:rPr>
                <w:sz w:val="20"/>
                <w:szCs w:val="20"/>
              </w:rPr>
              <w:t xml:space="preserve"> </w:t>
            </w:r>
            <w:r w:rsidR="00264F94">
              <w:rPr>
                <w:sz w:val="20"/>
                <w:szCs w:val="20"/>
              </w:rPr>
              <w:t xml:space="preserve">on </w:t>
            </w:r>
            <w:r w:rsidR="005B3135">
              <w:rPr>
                <w:sz w:val="20"/>
                <w:szCs w:val="20"/>
              </w:rPr>
              <w:t>cow</w:t>
            </w:r>
            <w:r w:rsidR="00264F94">
              <w:rPr>
                <w:sz w:val="20"/>
                <w:szCs w:val="20"/>
              </w:rPr>
              <w:t xml:space="preserve"> </w:t>
            </w:r>
            <w:r w:rsidR="0042684D" w:rsidRPr="0042684D">
              <w:rPr>
                <w:sz w:val="20"/>
                <w:szCs w:val="20"/>
              </w:rPr>
              <w:t>performance</w:t>
            </w:r>
            <w:r w:rsidR="005B3135">
              <w:rPr>
                <w:sz w:val="20"/>
                <w:szCs w:val="20"/>
              </w:rPr>
              <w:t>.</w:t>
            </w:r>
          </w:p>
          <w:p w14:paraId="2C86ACA0" w14:textId="4C5F09F9" w:rsidR="0042684D" w:rsidRPr="002B094D" w:rsidRDefault="005B3135" w:rsidP="00615B99">
            <w:pPr>
              <w:jc w:val="both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FA324E" w14:textId="46CFA44F" w:rsidR="00643E35" w:rsidRDefault="00E14333" w:rsidP="00615B99">
            <w:pPr>
              <w:jc w:val="both"/>
              <w:rPr>
                <w:sz w:val="20"/>
                <w:szCs w:val="20"/>
              </w:rPr>
            </w:pPr>
            <w:r w:rsidRPr="0017176C">
              <w:rPr>
                <w:b/>
                <w:sz w:val="20"/>
                <w:szCs w:val="20"/>
              </w:rPr>
              <w:t>Material and methods</w:t>
            </w:r>
            <w:r w:rsidR="00CB5E83" w:rsidRPr="00110B17">
              <w:rPr>
                <w:sz w:val="20"/>
                <w:szCs w:val="20"/>
              </w:rPr>
              <w:t xml:space="preserve"> </w:t>
            </w:r>
            <w:r w:rsidR="005D412F" w:rsidRPr="005D412F">
              <w:rPr>
                <w:sz w:val="20"/>
                <w:szCs w:val="20"/>
              </w:rPr>
              <w:t xml:space="preserve">Two treatments, comprising </w:t>
            </w:r>
            <w:r w:rsidR="00341FA3">
              <w:rPr>
                <w:sz w:val="20"/>
                <w:szCs w:val="20"/>
              </w:rPr>
              <w:t xml:space="preserve">perennial ryegrass </w:t>
            </w:r>
            <w:r w:rsidR="005D412F" w:rsidRPr="005D412F">
              <w:rPr>
                <w:sz w:val="20"/>
                <w:szCs w:val="20"/>
              </w:rPr>
              <w:t>silage</w:t>
            </w:r>
            <w:r w:rsidR="0036488B">
              <w:rPr>
                <w:sz w:val="20"/>
                <w:szCs w:val="20"/>
              </w:rPr>
              <w:t>s</w:t>
            </w:r>
            <w:r w:rsidR="005D412F" w:rsidRPr="005D412F">
              <w:rPr>
                <w:sz w:val="20"/>
                <w:szCs w:val="20"/>
              </w:rPr>
              <w:t xml:space="preserve"> produced within </w:t>
            </w:r>
            <w:r w:rsidR="0036488B">
              <w:rPr>
                <w:sz w:val="20"/>
                <w:szCs w:val="20"/>
              </w:rPr>
              <w:t xml:space="preserve">either </w:t>
            </w:r>
            <w:r w:rsidR="005D412F" w:rsidRPr="005D412F">
              <w:rPr>
                <w:sz w:val="20"/>
                <w:szCs w:val="20"/>
              </w:rPr>
              <w:t xml:space="preserve">a </w:t>
            </w:r>
            <w:r w:rsidR="005B3135">
              <w:rPr>
                <w:sz w:val="20"/>
                <w:szCs w:val="20"/>
              </w:rPr>
              <w:t>five</w:t>
            </w:r>
            <w:r w:rsidR="005D412F" w:rsidRPr="005D412F">
              <w:rPr>
                <w:sz w:val="20"/>
                <w:szCs w:val="20"/>
              </w:rPr>
              <w:t xml:space="preserve">-harvest </w:t>
            </w:r>
            <w:r w:rsidR="008C16C6">
              <w:rPr>
                <w:sz w:val="20"/>
                <w:szCs w:val="20"/>
              </w:rPr>
              <w:t>(</w:t>
            </w:r>
            <w:r w:rsidR="005B3135">
              <w:rPr>
                <w:sz w:val="20"/>
                <w:szCs w:val="20"/>
              </w:rPr>
              <w:t>5</w:t>
            </w:r>
            <w:r w:rsidR="008C16C6">
              <w:rPr>
                <w:sz w:val="20"/>
                <w:szCs w:val="20"/>
              </w:rPr>
              <w:t>H) or</w:t>
            </w:r>
            <w:r w:rsidR="005D412F" w:rsidRPr="005D412F">
              <w:rPr>
                <w:sz w:val="20"/>
                <w:szCs w:val="20"/>
              </w:rPr>
              <w:t xml:space="preserve"> three-harvest</w:t>
            </w:r>
            <w:r w:rsidR="00615B99">
              <w:rPr>
                <w:sz w:val="20"/>
                <w:szCs w:val="20"/>
              </w:rPr>
              <w:t xml:space="preserve"> system (3H), were examined. </w:t>
            </w:r>
            <w:r w:rsidR="00A1486A" w:rsidRPr="00A1486A">
              <w:rPr>
                <w:sz w:val="20"/>
                <w:szCs w:val="20"/>
              </w:rPr>
              <w:t xml:space="preserve">Cutting dates for </w:t>
            </w:r>
            <w:r w:rsidR="005B3135">
              <w:rPr>
                <w:sz w:val="20"/>
                <w:szCs w:val="20"/>
              </w:rPr>
              <w:t>5</w:t>
            </w:r>
            <w:r w:rsidR="00A1486A">
              <w:rPr>
                <w:sz w:val="20"/>
                <w:szCs w:val="20"/>
              </w:rPr>
              <w:t>H</w:t>
            </w:r>
            <w:r w:rsidR="00A1486A" w:rsidRPr="00A1486A">
              <w:rPr>
                <w:sz w:val="20"/>
                <w:szCs w:val="20"/>
              </w:rPr>
              <w:t xml:space="preserve"> were </w:t>
            </w:r>
            <w:r w:rsidR="005B3135">
              <w:rPr>
                <w:sz w:val="20"/>
                <w:szCs w:val="20"/>
              </w:rPr>
              <w:t>30 April</w:t>
            </w:r>
            <w:r w:rsidR="00A1486A" w:rsidRPr="00A1486A">
              <w:rPr>
                <w:sz w:val="20"/>
                <w:szCs w:val="20"/>
              </w:rPr>
              <w:t xml:space="preserve">, </w:t>
            </w:r>
            <w:r w:rsidR="005B3135">
              <w:rPr>
                <w:sz w:val="20"/>
                <w:szCs w:val="20"/>
              </w:rPr>
              <w:t>1</w:t>
            </w:r>
            <w:r w:rsidR="00A1486A" w:rsidRPr="00A1486A">
              <w:rPr>
                <w:sz w:val="20"/>
                <w:szCs w:val="20"/>
              </w:rPr>
              <w:t xml:space="preserve"> June, </w:t>
            </w:r>
            <w:r w:rsidR="005B3135">
              <w:rPr>
                <w:sz w:val="20"/>
                <w:szCs w:val="20"/>
              </w:rPr>
              <w:t>29 June, 10</w:t>
            </w:r>
            <w:r w:rsidR="00A1486A">
              <w:rPr>
                <w:sz w:val="20"/>
                <w:szCs w:val="20"/>
              </w:rPr>
              <w:t xml:space="preserve"> </w:t>
            </w:r>
            <w:proofErr w:type="gramStart"/>
            <w:r w:rsidR="00A1486A">
              <w:rPr>
                <w:sz w:val="20"/>
                <w:szCs w:val="20"/>
              </w:rPr>
              <w:t>August</w:t>
            </w:r>
            <w:proofErr w:type="gramEnd"/>
            <w:r w:rsidR="00A1486A">
              <w:rPr>
                <w:sz w:val="20"/>
                <w:szCs w:val="20"/>
              </w:rPr>
              <w:t xml:space="preserve"> and </w:t>
            </w:r>
            <w:r w:rsidR="005B3135">
              <w:rPr>
                <w:sz w:val="20"/>
                <w:szCs w:val="20"/>
              </w:rPr>
              <w:t>7</w:t>
            </w:r>
            <w:r w:rsidR="00A1486A">
              <w:rPr>
                <w:sz w:val="20"/>
                <w:szCs w:val="20"/>
              </w:rPr>
              <w:t xml:space="preserve"> </w:t>
            </w:r>
            <w:r w:rsidR="005B3135">
              <w:rPr>
                <w:sz w:val="20"/>
                <w:szCs w:val="20"/>
              </w:rPr>
              <w:t>September</w:t>
            </w:r>
            <w:r w:rsidR="00A1486A">
              <w:rPr>
                <w:sz w:val="20"/>
                <w:szCs w:val="20"/>
              </w:rPr>
              <w:t xml:space="preserve"> 20</w:t>
            </w:r>
            <w:r w:rsidR="005B3135">
              <w:rPr>
                <w:sz w:val="20"/>
                <w:szCs w:val="20"/>
              </w:rPr>
              <w:t>21</w:t>
            </w:r>
            <w:r w:rsidR="00A1486A">
              <w:rPr>
                <w:sz w:val="20"/>
                <w:szCs w:val="20"/>
              </w:rPr>
              <w:t xml:space="preserve">, </w:t>
            </w:r>
            <w:r w:rsidR="00A1486A" w:rsidRPr="00A1486A">
              <w:rPr>
                <w:sz w:val="20"/>
                <w:szCs w:val="20"/>
              </w:rPr>
              <w:t xml:space="preserve">while cutting dates for </w:t>
            </w:r>
            <w:r w:rsidR="00A1486A">
              <w:rPr>
                <w:sz w:val="20"/>
                <w:szCs w:val="20"/>
              </w:rPr>
              <w:t xml:space="preserve">3H </w:t>
            </w:r>
            <w:r w:rsidR="00A1486A" w:rsidRPr="00A1486A">
              <w:rPr>
                <w:sz w:val="20"/>
                <w:szCs w:val="20"/>
              </w:rPr>
              <w:t xml:space="preserve">were </w:t>
            </w:r>
            <w:r w:rsidR="005B3135">
              <w:rPr>
                <w:sz w:val="20"/>
                <w:szCs w:val="20"/>
              </w:rPr>
              <w:t>17</w:t>
            </w:r>
            <w:r w:rsidR="00A1486A" w:rsidRPr="00A1486A">
              <w:rPr>
                <w:sz w:val="20"/>
                <w:szCs w:val="20"/>
              </w:rPr>
              <w:t xml:space="preserve"> May</w:t>
            </w:r>
            <w:r w:rsidR="004F4022">
              <w:rPr>
                <w:sz w:val="20"/>
                <w:szCs w:val="20"/>
              </w:rPr>
              <w:t>, 2</w:t>
            </w:r>
            <w:r w:rsidR="005B3135">
              <w:rPr>
                <w:sz w:val="20"/>
                <w:szCs w:val="20"/>
              </w:rPr>
              <w:t>8</w:t>
            </w:r>
            <w:r w:rsidR="004F4022">
              <w:rPr>
                <w:sz w:val="20"/>
                <w:szCs w:val="20"/>
              </w:rPr>
              <w:t xml:space="preserve"> June, and </w:t>
            </w:r>
            <w:r w:rsidR="005B3135">
              <w:rPr>
                <w:sz w:val="20"/>
                <w:szCs w:val="20"/>
              </w:rPr>
              <w:t>23 August 2021</w:t>
            </w:r>
            <w:r w:rsidR="00A1486A" w:rsidRPr="00A1486A">
              <w:rPr>
                <w:sz w:val="20"/>
                <w:szCs w:val="20"/>
              </w:rPr>
              <w:t xml:space="preserve">.  </w:t>
            </w:r>
            <w:r w:rsidR="007E320E">
              <w:rPr>
                <w:sz w:val="20"/>
                <w:szCs w:val="20"/>
              </w:rPr>
              <w:t xml:space="preserve">Silages were offered in a </w:t>
            </w:r>
            <w:r w:rsidR="00505C53">
              <w:rPr>
                <w:sz w:val="20"/>
                <w:szCs w:val="20"/>
              </w:rPr>
              <w:t xml:space="preserve">21 </w:t>
            </w:r>
            <w:proofErr w:type="spellStart"/>
            <w:r w:rsidR="00505C53">
              <w:rPr>
                <w:sz w:val="20"/>
                <w:szCs w:val="20"/>
              </w:rPr>
              <w:t>wk</w:t>
            </w:r>
            <w:proofErr w:type="spellEnd"/>
            <w:r w:rsidR="00505C53">
              <w:rPr>
                <w:sz w:val="20"/>
                <w:szCs w:val="20"/>
              </w:rPr>
              <w:t xml:space="preserve"> study involv</w:t>
            </w:r>
            <w:r w:rsidR="008A2127">
              <w:rPr>
                <w:sz w:val="20"/>
                <w:szCs w:val="20"/>
              </w:rPr>
              <w:t>ing</w:t>
            </w:r>
            <w:r w:rsidR="00505C53">
              <w:rPr>
                <w:sz w:val="20"/>
                <w:szCs w:val="20"/>
              </w:rPr>
              <w:t xml:space="preserve"> 34 mid-lactation (av. 147 days in milk) Holst</w:t>
            </w:r>
            <w:r w:rsidR="007E320E">
              <w:rPr>
                <w:sz w:val="20"/>
                <w:szCs w:val="20"/>
              </w:rPr>
              <w:t>i</w:t>
            </w:r>
            <w:r w:rsidR="00505C53">
              <w:rPr>
                <w:sz w:val="20"/>
                <w:szCs w:val="20"/>
              </w:rPr>
              <w:t>en cows (30</w:t>
            </w:r>
            <w:r w:rsidR="005D412F" w:rsidRPr="005D412F">
              <w:rPr>
                <w:sz w:val="20"/>
                <w:szCs w:val="20"/>
              </w:rPr>
              <w:t xml:space="preserve"> multiparous and 4 </w:t>
            </w:r>
            <w:r w:rsidR="0036488B">
              <w:rPr>
                <w:sz w:val="20"/>
                <w:szCs w:val="20"/>
              </w:rPr>
              <w:t>primiparous</w:t>
            </w:r>
            <w:r w:rsidR="005D412F">
              <w:rPr>
                <w:sz w:val="20"/>
                <w:szCs w:val="20"/>
              </w:rPr>
              <w:t>)</w:t>
            </w:r>
            <w:r w:rsidR="00505C53">
              <w:rPr>
                <w:sz w:val="20"/>
                <w:szCs w:val="20"/>
              </w:rPr>
              <w:t xml:space="preserve">. </w:t>
            </w:r>
            <w:r w:rsidR="009A5F33">
              <w:rPr>
                <w:sz w:val="20"/>
                <w:szCs w:val="20"/>
              </w:rPr>
              <w:t xml:space="preserve">Within </w:t>
            </w:r>
            <w:r w:rsidR="00505C53">
              <w:rPr>
                <w:sz w:val="20"/>
                <w:szCs w:val="20"/>
              </w:rPr>
              <w:t xml:space="preserve">each treatment </w:t>
            </w:r>
            <w:r w:rsidR="005D412F" w:rsidRPr="005D412F">
              <w:rPr>
                <w:sz w:val="20"/>
                <w:szCs w:val="20"/>
              </w:rPr>
              <w:t>cow</w:t>
            </w:r>
            <w:r w:rsidR="00703BFC">
              <w:rPr>
                <w:sz w:val="20"/>
                <w:szCs w:val="20"/>
              </w:rPr>
              <w:t>s</w:t>
            </w:r>
            <w:r w:rsidR="005D412F" w:rsidRPr="005D412F">
              <w:rPr>
                <w:sz w:val="20"/>
                <w:szCs w:val="20"/>
              </w:rPr>
              <w:t xml:space="preserve"> </w:t>
            </w:r>
            <w:r w:rsidR="00505C53">
              <w:rPr>
                <w:sz w:val="20"/>
                <w:szCs w:val="20"/>
              </w:rPr>
              <w:t>were</w:t>
            </w:r>
            <w:r w:rsidR="005D412F" w:rsidRPr="005D412F">
              <w:rPr>
                <w:sz w:val="20"/>
                <w:szCs w:val="20"/>
              </w:rPr>
              <w:t xml:space="preserve"> offered </w:t>
            </w:r>
            <w:r w:rsidR="004F4022">
              <w:rPr>
                <w:sz w:val="20"/>
                <w:szCs w:val="20"/>
              </w:rPr>
              <w:t>silage</w:t>
            </w:r>
            <w:r w:rsidR="005D412F" w:rsidRPr="005D412F">
              <w:rPr>
                <w:sz w:val="20"/>
                <w:szCs w:val="20"/>
              </w:rPr>
              <w:t xml:space="preserve"> </w:t>
            </w:r>
            <w:r w:rsidR="0036488B">
              <w:rPr>
                <w:sz w:val="20"/>
                <w:szCs w:val="20"/>
              </w:rPr>
              <w:t xml:space="preserve">from each harvest </w:t>
            </w:r>
            <w:r w:rsidR="00505C53">
              <w:rPr>
                <w:sz w:val="20"/>
                <w:szCs w:val="20"/>
              </w:rPr>
              <w:t xml:space="preserve">in </w:t>
            </w:r>
            <w:r w:rsidR="005D412F" w:rsidRPr="005D412F">
              <w:rPr>
                <w:sz w:val="20"/>
                <w:szCs w:val="20"/>
              </w:rPr>
              <w:t>consecutiv</w:t>
            </w:r>
            <w:r w:rsidR="004F4022">
              <w:rPr>
                <w:sz w:val="20"/>
                <w:szCs w:val="20"/>
              </w:rPr>
              <w:t>e</w:t>
            </w:r>
            <w:r w:rsidR="00505C53">
              <w:rPr>
                <w:sz w:val="20"/>
                <w:szCs w:val="20"/>
              </w:rPr>
              <w:t xml:space="preserve"> order</w:t>
            </w:r>
            <w:r w:rsidR="004F4022">
              <w:rPr>
                <w:sz w:val="20"/>
                <w:szCs w:val="20"/>
              </w:rPr>
              <w:t xml:space="preserve"> (</w:t>
            </w:r>
            <w:r w:rsidR="005D412F" w:rsidRPr="005D412F">
              <w:rPr>
                <w:sz w:val="20"/>
                <w:szCs w:val="20"/>
              </w:rPr>
              <w:t>harvest 1,</w:t>
            </w:r>
            <w:r w:rsidR="0061444E">
              <w:rPr>
                <w:sz w:val="20"/>
                <w:szCs w:val="20"/>
              </w:rPr>
              <w:t xml:space="preserve"> followed by</w:t>
            </w:r>
            <w:r w:rsidR="005D412F" w:rsidRPr="005D412F">
              <w:rPr>
                <w:sz w:val="20"/>
                <w:szCs w:val="20"/>
              </w:rPr>
              <w:t xml:space="preserve"> harvest 2</w:t>
            </w:r>
            <w:r w:rsidR="005D412F">
              <w:rPr>
                <w:sz w:val="20"/>
                <w:szCs w:val="20"/>
              </w:rPr>
              <w:t>,</w:t>
            </w:r>
            <w:r w:rsidR="00643E35">
              <w:rPr>
                <w:sz w:val="20"/>
                <w:szCs w:val="20"/>
              </w:rPr>
              <w:t xml:space="preserve"> etc) </w:t>
            </w:r>
            <w:r w:rsidR="005D412F" w:rsidRPr="005D412F">
              <w:rPr>
                <w:sz w:val="20"/>
                <w:szCs w:val="20"/>
              </w:rPr>
              <w:t xml:space="preserve">for </w:t>
            </w:r>
            <w:r w:rsidR="005D412F">
              <w:rPr>
                <w:sz w:val="20"/>
                <w:szCs w:val="20"/>
              </w:rPr>
              <w:t>a pre-determined number of days (</w:t>
            </w:r>
            <w:r w:rsidR="005D412F" w:rsidRPr="005D412F">
              <w:rPr>
                <w:sz w:val="20"/>
                <w:szCs w:val="20"/>
              </w:rPr>
              <w:t xml:space="preserve">in proportion to the </w:t>
            </w:r>
            <w:r w:rsidR="005A2F55">
              <w:rPr>
                <w:sz w:val="20"/>
                <w:szCs w:val="20"/>
              </w:rPr>
              <w:t xml:space="preserve">herbage </w:t>
            </w:r>
            <w:r w:rsidR="00505C53">
              <w:rPr>
                <w:sz w:val="20"/>
                <w:szCs w:val="20"/>
              </w:rPr>
              <w:t>dry matter (DM)</w:t>
            </w:r>
            <w:r w:rsidR="005D412F" w:rsidRPr="005D412F">
              <w:rPr>
                <w:sz w:val="20"/>
                <w:szCs w:val="20"/>
              </w:rPr>
              <w:t xml:space="preserve"> yield for each harvest</w:t>
            </w:r>
            <w:r w:rsidR="005D412F">
              <w:rPr>
                <w:sz w:val="20"/>
                <w:szCs w:val="20"/>
              </w:rPr>
              <w:t>)</w:t>
            </w:r>
            <w:r w:rsidR="005D412F" w:rsidRPr="005D412F">
              <w:rPr>
                <w:sz w:val="20"/>
                <w:szCs w:val="20"/>
              </w:rPr>
              <w:t xml:space="preserve">. </w:t>
            </w:r>
            <w:r w:rsidR="005D412F">
              <w:rPr>
                <w:sz w:val="20"/>
                <w:szCs w:val="20"/>
              </w:rPr>
              <w:t>Silage</w:t>
            </w:r>
            <w:r w:rsidR="00ED1BC3">
              <w:rPr>
                <w:sz w:val="20"/>
                <w:szCs w:val="20"/>
              </w:rPr>
              <w:t xml:space="preserve">s were </w:t>
            </w:r>
            <w:r w:rsidR="005D412F">
              <w:rPr>
                <w:sz w:val="20"/>
                <w:szCs w:val="20"/>
              </w:rPr>
              <w:t xml:space="preserve">offered </w:t>
            </w:r>
            <w:r w:rsidR="00505C53" w:rsidRPr="00505C53">
              <w:rPr>
                <w:i/>
                <w:iCs/>
                <w:sz w:val="20"/>
                <w:szCs w:val="20"/>
              </w:rPr>
              <w:t>ad lib</w:t>
            </w:r>
            <w:r w:rsidR="00505C53">
              <w:rPr>
                <w:sz w:val="20"/>
                <w:szCs w:val="20"/>
              </w:rPr>
              <w:t xml:space="preserve">, with </w:t>
            </w:r>
            <w:r w:rsidR="005A2F55">
              <w:rPr>
                <w:sz w:val="20"/>
                <w:szCs w:val="20"/>
              </w:rPr>
              <w:t xml:space="preserve">a single </w:t>
            </w:r>
            <w:r w:rsidR="00505C53">
              <w:rPr>
                <w:sz w:val="20"/>
                <w:szCs w:val="20"/>
              </w:rPr>
              <w:t>concentrate</w:t>
            </w:r>
            <w:r w:rsidR="005A2F55">
              <w:rPr>
                <w:sz w:val="20"/>
                <w:szCs w:val="20"/>
              </w:rPr>
              <w:t xml:space="preserve"> type</w:t>
            </w:r>
            <w:r w:rsidR="00505C53">
              <w:rPr>
                <w:sz w:val="20"/>
                <w:szCs w:val="20"/>
              </w:rPr>
              <w:t xml:space="preserve"> offered at a flat rate </w:t>
            </w:r>
            <w:r w:rsidR="005A2F55">
              <w:rPr>
                <w:sz w:val="20"/>
                <w:szCs w:val="20"/>
              </w:rPr>
              <w:t xml:space="preserve">(mean of </w:t>
            </w:r>
            <w:r w:rsidR="00C20F52">
              <w:rPr>
                <w:sz w:val="20"/>
                <w:szCs w:val="20"/>
              </w:rPr>
              <w:t>9.5</w:t>
            </w:r>
            <w:r w:rsidR="005A2F55">
              <w:rPr>
                <w:sz w:val="20"/>
                <w:szCs w:val="20"/>
              </w:rPr>
              <w:t xml:space="preserve"> kg/cow/d) </w:t>
            </w:r>
            <w:r w:rsidR="00505C53">
              <w:rPr>
                <w:sz w:val="20"/>
                <w:szCs w:val="20"/>
              </w:rPr>
              <w:t>through an out</w:t>
            </w:r>
            <w:r w:rsidR="005A2F55">
              <w:rPr>
                <w:sz w:val="20"/>
                <w:szCs w:val="20"/>
              </w:rPr>
              <w:t>-</w:t>
            </w:r>
            <w:r w:rsidR="00505C53">
              <w:rPr>
                <w:sz w:val="20"/>
                <w:szCs w:val="20"/>
              </w:rPr>
              <w:t>of</w:t>
            </w:r>
            <w:r w:rsidR="005A2F55">
              <w:rPr>
                <w:sz w:val="20"/>
                <w:szCs w:val="20"/>
              </w:rPr>
              <w:t>-</w:t>
            </w:r>
            <w:r w:rsidR="00505C53">
              <w:rPr>
                <w:sz w:val="20"/>
                <w:szCs w:val="20"/>
              </w:rPr>
              <w:t xml:space="preserve">parlour feeding system.  </w:t>
            </w:r>
            <w:r w:rsidR="00DE3F15" w:rsidRPr="00DE3F15">
              <w:rPr>
                <w:sz w:val="20"/>
                <w:szCs w:val="20"/>
              </w:rPr>
              <w:t>Rumen fluid samples were obtained from each cow during the final week when silage from each harvest was offered</w:t>
            </w:r>
            <w:r w:rsidR="00DE3F15">
              <w:rPr>
                <w:sz w:val="20"/>
                <w:szCs w:val="20"/>
              </w:rPr>
              <w:t xml:space="preserve"> and </w:t>
            </w:r>
            <w:r w:rsidR="002B094D">
              <w:rPr>
                <w:sz w:val="20"/>
                <w:szCs w:val="20"/>
              </w:rPr>
              <w:t>analysed</w:t>
            </w:r>
            <w:r w:rsidR="00DE3F15">
              <w:rPr>
                <w:sz w:val="20"/>
                <w:szCs w:val="20"/>
              </w:rPr>
              <w:t xml:space="preserve"> for volatile fatty acids (VFA)</w:t>
            </w:r>
            <w:r w:rsidR="002B094D">
              <w:rPr>
                <w:sz w:val="20"/>
                <w:szCs w:val="20"/>
              </w:rPr>
              <w:t xml:space="preserve">, ammonia and </w:t>
            </w:r>
            <w:proofErr w:type="spellStart"/>
            <w:r w:rsidR="002B094D">
              <w:rPr>
                <w:sz w:val="20"/>
                <w:szCs w:val="20"/>
              </w:rPr>
              <w:t>pH</w:t>
            </w:r>
            <w:r w:rsidR="00DE3F15">
              <w:rPr>
                <w:sz w:val="20"/>
                <w:szCs w:val="20"/>
              </w:rPr>
              <w:t>.</w:t>
            </w:r>
            <w:proofErr w:type="spellEnd"/>
            <w:r w:rsidR="002B094D">
              <w:rPr>
                <w:sz w:val="20"/>
                <w:szCs w:val="20"/>
              </w:rPr>
              <w:t xml:space="preserve"> </w:t>
            </w:r>
            <w:r w:rsidR="006E2E93" w:rsidRPr="006E2E93">
              <w:rPr>
                <w:sz w:val="20"/>
                <w:szCs w:val="20"/>
              </w:rPr>
              <w:t>T</w:t>
            </w:r>
            <w:r w:rsidR="00643E35">
              <w:rPr>
                <w:sz w:val="20"/>
                <w:szCs w:val="20"/>
              </w:rPr>
              <w:t>reatment</w:t>
            </w:r>
            <w:r w:rsidR="006E2E93">
              <w:rPr>
                <w:sz w:val="20"/>
                <w:szCs w:val="20"/>
              </w:rPr>
              <w:t xml:space="preserve"> effects</w:t>
            </w:r>
            <w:r w:rsidR="00643E35" w:rsidRPr="00643E35">
              <w:rPr>
                <w:sz w:val="20"/>
                <w:szCs w:val="20"/>
              </w:rPr>
              <w:t xml:space="preserve"> on </w:t>
            </w:r>
            <w:r w:rsidR="00D33CBB">
              <w:rPr>
                <w:sz w:val="20"/>
                <w:szCs w:val="20"/>
              </w:rPr>
              <w:t>DM</w:t>
            </w:r>
            <w:r w:rsidR="00505C53">
              <w:rPr>
                <w:sz w:val="20"/>
                <w:szCs w:val="20"/>
              </w:rPr>
              <w:t>I,</w:t>
            </w:r>
            <w:r w:rsidR="00643E35">
              <w:rPr>
                <w:sz w:val="20"/>
                <w:szCs w:val="20"/>
              </w:rPr>
              <w:t xml:space="preserve"> milk yield and </w:t>
            </w:r>
            <w:r w:rsidR="00643E35" w:rsidRPr="00643E35">
              <w:rPr>
                <w:sz w:val="20"/>
                <w:szCs w:val="20"/>
              </w:rPr>
              <w:t>comp</w:t>
            </w:r>
            <w:r w:rsidR="00643E35">
              <w:rPr>
                <w:sz w:val="20"/>
                <w:szCs w:val="20"/>
              </w:rPr>
              <w:t xml:space="preserve">osition, </w:t>
            </w:r>
            <w:r w:rsidR="007B1A3F">
              <w:rPr>
                <w:sz w:val="20"/>
                <w:szCs w:val="20"/>
              </w:rPr>
              <w:t>body weight (</w:t>
            </w:r>
            <w:r w:rsidR="00643E35">
              <w:rPr>
                <w:sz w:val="20"/>
                <w:szCs w:val="20"/>
              </w:rPr>
              <w:t>BW</w:t>
            </w:r>
            <w:r w:rsidR="007B1A3F">
              <w:rPr>
                <w:sz w:val="20"/>
                <w:szCs w:val="20"/>
              </w:rPr>
              <w:t>)</w:t>
            </w:r>
            <w:r w:rsidR="00505C53">
              <w:rPr>
                <w:sz w:val="20"/>
                <w:szCs w:val="20"/>
              </w:rPr>
              <w:t xml:space="preserve"> and </w:t>
            </w:r>
            <w:r w:rsidR="007B1A3F">
              <w:rPr>
                <w:sz w:val="20"/>
                <w:szCs w:val="20"/>
              </w:rPr>
              <w:t>body condition</w:t>
            </w:r>
            <w:r w:rsidR="00643E35">
              <w:rPr>
                <w:sz w:val="20"/>
                <w:szCs w:val="20"/>
              </w:rPr>
              <w:t xml:space="preserve"> </w:t>
            </w:r>
            <w:r w:rsidR="007B1A3F">
              <w:rPr>
                <w:sz w:val="20"/>
                <w:szCs w:val="20"/>
              </w:rPr>
              <w:t>(BCS)</w:t>
            </w:r>
            <w:r w:rsidR="000C4DA0">
              <w:rPr>
                <w:sz w:val="20"/>
                <w:szCs w:val="20"/>
              </w:rPr>
              <w:t xml:space="preserve"> </w:t>
            </w:r>
            <w:r w:rsidR="00505C53">
              <w:rPr>
                <w:sz w:val="20"/>
                <w:szCs w:val="20"/>
              </w:rPr>
              <w:t>w</w:t>
            </w:r>
            <w:r w:rsidR="00643E35" w:rsidRPr="00643E35">
              <w:rPr>
                <w:sz w:val="20"/>
                <w:szCs w:val="20"/>
              </w:rPr>
              <w:t>e</w:t>
            </w:r>
            <w:r w:rsidR="007B1A3F">
              <w:rPr>
                <w:sz w:val="20"/>
                <w:szCs w:val="20"/>
              </w:rPr>
              <w:t xml:space="preserve">re </w:t>
            </w:r>
            <w:r w:rsidR="009A5F33">
              <w:rPr>
                <w:sz w:val="20"/>
                <w:szCs w:val="20"/>
              </w:rPr>
              <w:t>examined</w:t>
            </w:r>
            <w:r w:rsidR="002318CB">
              <w:rPr>
                <w:sz w:val="20"/>
                <w:szCs w:val="20"/>
              </w:rPr>
              <w:t xml:space="preserve">. </w:t>
            </w:r>
            <w:r w:rsidR="00D33CBB">
              <w:rPr>
                <w:sz w:val="20"/>
                <w:szCs w:val="20"/>
              </w:rPr>
              <w:t xml:space="preserve">Mean weekly data </w:t>
            </w:r>
            <w:r w:rsidR="009A5F33">
              <w:rPr>
                <w:sz w:val="20"/>
                <w:szCs w:val="20"/>
              </w:rPr>
              <w:t xml:space="preserve">were </w:t>
            </w:r>
            <w:r w:rsidR="002318CB">
              <w:rPr>
                <w:sz w:val="20"/>
                <w:szCs w:val="20"/>
              </w:rPr>
              <w:t>analysed using REM</w:t>
            </w:r>
            <w:r w:rsidR="0061444E">
              <w:rPr>
                <w:sz w:val="20"/>
                <w:szCs w:val="20"/>
              </w:rPr>
              <w:t>L</w:t>
            </w:r>
            <w:r w:rsidR="009A5F33">
              <w:rPr>
                <w:sz w:val="20"/>
                <w:szCs w:val="20"/>
              </w:rPr>
              <w:t>,</w:t>
            </w:r>
            <w:r w:rsidR="002318CB">
              <w:rPr>
                <w:sz w:val="20"/>
                <w:szCs w:val="20"/>
              </w:rPr>
              <w:t xml:space="preserve"> with </w:t>
            </w:r>
            <w:r w:rsidR="00944A7F">
              <w:rPr>
                <w:sz w:val="20"/>
                <w:szCs w:val="20"/>
              </w:rPr>
              <w:t xml:space="preserve">cow as the experimental unit and </w:t>
            </w:r>
            <w:r w:rsidR="002318CB">
              <w:rPr>
                <w:sz w:val="20"/>
                <w:szCs w:val="20"/>
              </w:rPr>
              <w:t>w</w:t>
            </w:r>
            <w:r w:rsidR="00643E35" w:rsidRPr="00643E35">
              <w:rPr>
                <w:sz w:val="20"/>
                <w:szCs w:val="20"/>
              </w:rPr>
              <w:t>eek as the repeated measure</w:t>
            </w:r>
            <w:r w:rsidR="00DE3F15">
              <w:rPr>
                <w:sz w:val="20"/>
                <w:szCs w:val="20"/>
              </w:rPr>
              <w:t xml:space="preserve">. Rumen </w:t>
            </w:r>
            <w:r w:rsidR="007734A4">
              <w:rPr>
                <w:sz w:val="20"/>
                <w:szCs w:val="20"/>
              </w:rPr>
              <w:t xml:space="preserve">data </w:t>
            </w:r>
            <w:r w:rsidR="002B094D">
              <w:rPr>
                <w:sz w:val="20"/>
                <w:szCs w:val="20"/>
              </w:rPr>
              <w:t>was</w:t>
            </w:r>
            <w:r w:rsidR="00DE3F15">
              <w:rPr>
                <w:sz w:val="20"/>
                <w:szCs w:val="20"/>
              </w:rPr>
              <w:t xml:space="preserve"> weighted according to the amount of time the cows were offered each silage and results analysed using ANOVA</w:t>
            </w:r>
            <w:r w:rsidR="00505C53">
              <w:rPr>
                <w:sz w:val="20"/>
                <w:szCs w:val="20"/>
              </w:rPr>
              <w:t xml:space="preserve"> (</w:t>
            </w:r>
            <w:r w:rsidR="00703BFC" w:rsidRPr="00703BFC">
              <w:rPr>
                <w:sz w:val="20"/>
                <w:szCs w:val="20"/>
              </w:rPr>
              <w:t>GenStat 21st ed</w:t>
            </w:r>
            <w:r w:rsidR="002B094D">
              <w:rPr>
                <w:sz w:val="20"/>
                <w:szCs w:val="20"/>
              </w:rPr>
              <w:t>.</w:t>
            </w:r>
            <w:r w:rsidR="00703BFC" w:rsidRPr="00703BFC">
              <w:rPr>
                <w:sz w:val="20"/>
                <w:szCs w:val="20"/>
              </w:rPr>
              <w:t>, VSN</w:t>
            </w:r>
            <w:r w:rsidR="002B094D">
              <w:rPr>
                <w:sz w:val="20"/>
                <w:szCs w:val="20"/>
              </w:rPr>
              <w:t xml:space="preserve">I </w:t>
            </w:r>
            <w:r w:rsidR="00703BFC" w:rsidRPr="00703BFC">
              <w:rPr>
                <w:sz w:val="20"/>
                <w:szCs w:val="20"/>
              </w:rPr>
              <w:t>Ltd</w:t>
            </w:r>
            <w:r w:rsidR="00703BFC">
              <w:rPr>
                <w:sz w:val="20"/>
                <w:szCs w:val="20"/>
              </w:rPr>
              <w:t>.</w:t>
            </w:r>
            <w:r w:rsidR="00505C53">
              <w:rPr>
                <w:sz w:val="20"/>
                <w:szCs w:val="20"/>
              </w:rPr>
              <w:t>)</w:t>
            </w:r>
            <w:r w:rsidR="00643E35" w:rsidRPr="00643E35">
              <w:rPr>
                <w:sz w:val="20"/>
                <w:szCs w:val="20"/>
              </w:rPr>
              <w:t>.</w:t>
            </w:r>
          </w:p>
          <w:p w14:paraId="6C4745C2" w14:textId="77777777" w:rsidR="005F2708" w:rsidRPr="005F2708" w:rsidRDefault="005F2708" w:rsidP="00615B99">
            <w:pPr>
              <w:jc w:val="both"/>
              <w:rPr>
                <w:sz w:val="12"/>
                <w:szCs w:val="12"/>
              </w:rPr>
            </w:pPr>
          </w:p>
          <w:p w14:paraId="7E9A1C4B" w14:textId="45420275" w:rsidR="00703BFC" w:rsidRPr="00AA1A28" w:rsidRDefault="00E14333" w:rsidP="00615B99">
            <w:pPr>
              <w:jc w:val="both"/>
              <w:rPr>
                <w:sz w:val="20"/>
                <w:szCs w:val="20"/>
              </w:rPr>
            </w:pPr>
            <w:r w:rsidRPr="00FF3814">
              <w:rPr>
                <w:b/>
                <w:sz w:val="20"/>
                <w:szCs w:val="20"/>
              </w:rPr>
              <w:t>Results</w:t>
            </w:r>
            <w:r w:rsidR="00B83E13" w:rsidRPr="00145941">
              <w:rPr>
                <w:sz w:val="20"/>
                <w:szCs w:val="20"/>
              </w:rPr>
              <w:t xml:space="preserve"> </w:t>
            </w:r>
            <w:r w:rsidR="00A4676A">
              <w:rPr>
                <w:sz w:val="20"/>
                <w:szCs w:val="20"/>
              </w:rPr>
              <w:t xml:space="preserve">Total </w:t>
            </w:r>
            <w:r w:rsidR="005A2F55">
              <w:rPr>
                <w:sz w:val="20"/>
                <w:szCs w:val="20"/>
              </w:rPr>
              <w:t xml:space="preserve">herbage </w:t>
            </w:r>
            <w:r w:rsidR="00A4676A">
              <w:rPr>
                <w:sz w:val="20"/>
                <w:szCs w:val="20"/>
              </w:rPr>
              <w:t xml:space="preserve">DM yield was 11.2 and 12.6 t/ha for the 5H and 3H systems, respectively. </w:t>
            </w:r>
            <w:r w:rsidR="00C20F52">
              <w:rPr>
                <w:sz w:val="20"/>
                <w:szCs w:val="20"/>
              </w:rPr>
              <w:t>Mean</w:t>
            </w:r>
            <w:r w:rsidR="00A4676A" w:rsidRPr="00A4676A">
              <w:rPr>
                <w:sz w:val="20"/>
                <w:szCs w:val="20"/>
              </w:rPr>
              <w:t xml:space="preserve"> </w:t>
            </w:r>
            <w:r w:rsidR="00A4676A">
              <w:rPr>
                <w:sz w:val="20"/>
                <w:szCs w:val="20"/>
              </w:rPr>
              <w:t>crude protein</w:t>
            </w:r>
            <w:r w:rsidR="00A4676A" w:rsidRPr="00A4676A">
              <w:rPr>
                <w:sz w:val="20"/>
                <w:szCs w:val="20"/>
              </w:rPr>
              <w:t xml:space="preserve">, </w:t>
            </w:r>
            <w:r w:rsidR="005534C2">
              <w:rPr>
                <w:sz w:val="20"/>
                <w:szCs w:val="20"/>
              </w:rPr>
              <w:t>metabolizable energy</w:t>
            </w:r>
            <w:r w:rsidR="00A4676A" w:rsidRPr="00A4676A">
              <w:rPr>
                <w:sz w:val="20"/>
                <w:szCs w:val="20"/>
              </w:rPr>
              <w:t xml:space="preserve"> and </w:t>
            </w:r>
            <w:r w:rsidR="005534C2">
              <w:rPr>
                <w:sz w:val="20"/>
                <w:szCs w:val="20"/>
              </w:rPr>
              <w:t xml:space="preserve">neutral detergent </w:t>
            </w:r>
            <w:proofErr w:type="spellStart"/>
            <w:r w:rsidR="005534C2">
              <w:rPr>
                <w:sz w:val="20"/>
                <w:szCs w:val="20"/>
              </w:rPr>
              <w:t>fiber</w:t>
            </w:r>
            <w:proofErr w:type="spellEnd"/>
            <w:r w:rsidR="005534C2">
              <w:rPr>
                <w:sz w:val="20"/>
                <w:szCs w:val="20"/>
              </w:rPr>
              <w:t xml:space="preserve"> </w:t>
            </w:r>
            <w:r w:rsidR="00A4676A" w:rsidRPr="00A4676A">
              <w:rPr>
                <w:sz w:val="20"/>
                <w:szCs w:val="20"/>
              </w:rPr>
              <w:t>concentrations</w:t>
            </w:r>
            <w:r w:rsidR="00C20F52">
              <w:rPr>
                <w:sz w:val="20"/>
                <w:szCs w:val="20"/>
              </w:rPr>
              <w:t xml:space="preserve"> of the silages produced </w:t>
            </w:r>
            <w:r w:rsidR="00A4676A" w:rsidRPr="00A4676A">
              <w:rPr>
                <w:sz w:val="20"/>
                <w:szCs w:val="20"/>
              </w:rPr>
              <w:t>were</w:t>
            </w:r>
            <w:r w:rsidR="005534C2">
              <w:rPr>
                <w:sz w:val="20"/>
                <w:szCs w:val="20"/>
              </w:rPr>
              <w:t xml:space="preserve"> </w:t>
            </w:r>
            <w:r w:rsidR="00A4676A" w:rsidRPr="00A4676A">
              <w:rPr>
                <w:sz w:val="20"/>
                <w:szCs w:val="20"/>
              </w:rPr>
              <w:t>152 g/kg DM, 11.5 MJ/kg DM and 341 g/kg DM</w:t>
            </w:r>
            <w:r w:rsidR="00703BFC">
              <w:rPr>
                <w:sz w:val="20"/>
                <w:szCs w:val="20"/>
              </w:rPr>
              <w:t xml:space="preserve"> respectively </w:t>
            </w:r>
            <w:r w:rsidR="00A4676A" w:rsidRPr="00A4676A">
              <w:rPr>
                <w:sz w:val="20"/>
                <w:szCs w:val="20"/>
              </w:rPr>
              <w:t>within the 5H treatment</w:t>
            </w:r>
            <w:r w:rsidR="005534C2">
              <w:rPr>
                <w:sz w:val="20"/>
                <w:szCs w:val="20"/>
              </w:rPr>
              <w:t xml:space="preserve">, and </w:t>
            </w:r>
            <w:r w:rsidR="005534C2" w:rsidRPr="005534C2">
              <w:rPr>
                <w:sz w:val="20"/>
                <w:szCs w:val="20"/>
              </w:rPr>
              <w:t xml:space="preserve">131 g/kg DM, 10.9 MJ/kg DM and 413 g/kg DM </w:t>
            </w:r>
            <w:r w:rsidR="00703BFC">
              <w:rPr>
                <w:sz w:val="20"/>
                <w:szCs w:val="20"/>
              </w:rPr>
              <w:t xml:space="preserve">respectively </w:t>
            </w:r>
            <w:r w:rsidR="005534C2" w:rsidRPr="005534C2">
              <w:rPr>
                <w:sz w:val="20"/>
                <w:szCs w:val="20"/>
              </w:rPr>
              <w:t>within the 3H treatment</w:t>
            </w:r>
            <w:r w:rsidR="00944A7F">
              <w:rPr>
                <w:sz w:val="20"/>
                <w:szCs w:val="20"/>
              </w:rPr>
              <w:t xml:space="preserve">. </w:t>
            </w:r>
            <w:r w:rsidR="00643E35" w:rsidRPr="00643E35">
              <w:rPr>
                <w:sz w:val="20"/>
                <w:szCs w:val="20"/>
              </w:rPr>
              <w:t xml:space="preserve">Silage DMI </w:t>
            </w:r>
            <w:r w:rsidR="005A2F55">
              <w:rPr>
                <w:sz w:val="20"/>
                <w:szCs w:val="20"/>
              </w:rPr>
              <w:t>and total DM</w:t>
            </w:r>
            <w:r w:rsidR="00C20F52">
              <w:rPr>
                <w:sz w:val="20"/>
                <w:szCs w:val="20"/>
              </w:rPr>
              <w:t xml:space="preserve">I </w:t>
            </w:r>
            <w:r w:rsidR="00D33CBB">
              <w:rPr>
                <w:sz w:val="20"/>
                <w:szCs w:val="20"/>
              </w:rPr>
              <w:t>was</w:t>
            </w:r>
            <w:r w:rsidR="00D33CBB" w:rsidRPr="00643E35">
              <w:rPr>
                <w:sz w:val="20"/>
                <w:szCs w:val="20"/>
              </w:rPr>
              <w:t xml:space="preserve"> </w:t>
            </w:r>
            <w:r w:rsidR="00643E35" w:rsidRPr="00643E35">
              <w:rPr>
                <w:sz w:val="20"/>
                <w:szCs w:val="20"/>
              </w:rPr>
              <w:t xml:space="preserve">greater </w:t>
            </w:r>
            <w:r w:rsidR="00AA1A28">
              <w:rPr>
                <w:sz w:val="20"/>
                <w:szCs w:val="20"/>
              </w:rPr>
              <w:t>in</w:t>
            </w:r>
            <w:r w:rsidR="00D33CBB" w:rsidRPr="00643E35">
              <w:rPr>
                <w:sz w:val="20"/>
                <w:szCs w:val="20"/>
              </w:rPr>
              <w:t xml:space="preserve"> </w:t>
            </w:r>
            <w:r w:rsidR="005534C2">
              <w:rPr>
                <w:sz w:val="20"/>
                <w:szCs w:val="20"/>
              </w:rPr>
              <w:t>5</w:t>
            </w:r>
            <w:r w:rsidR="00643E35" w:rsidRPr="00643E35">
              <w:rPr>
                <w:sz w:val="20"/>
                <w:szCs w:val="20"/>
              </w:rPr>
              <w:t xml:space="preserve">H </w:t>
            </w:r>
            <w:r w:rsidR="00D33CBB">
              <w:rPr>
                <w:sz w:val="20"/>
                <w:szCs w:val="20"/>
              </w:rPr>
              <w:t>than</w:t>
            </w:r>
            <w:r w:rsidR="007B1A3F">
              <w:rPr>
                <w:sz w:val="20"/>
                <w:szCs w:val="20"/>
              </w:rPr>
              <w:t xml:space="preserve"> 3H (P</w:t>
            </w:r>
            <w:r w:rsidR="009602A1">
              <w:rPr>
                <w:sz w:val="20"/>
                <w:szCs w:val="20"/>
              </w:rPr>
              <w:t xml:space="preserve"> </w:t>
            </w:r>
            <w:r w:rsidR="00703BFC">
              <w:rPr>
                <w:sz w:val="20"/>
                <w:szCs w:val="20"/>
              </w:rPr>
              <w:t>&lt;</w:t>
            </w:r>
            <w:r w:rsidR="009602A1">
              <w:rPr>
                <w:sz w:val="20"/>
                <w:szCs w:val="20"/>
              </w:rPr>
              <w:t xml:space="preserve"> </w:t>
            </w:r>
            <w:r w:rsidR="007B1A3F">
              <w:rPr>
                <w:sz w:val="20"/>
                <w:szCs w:val="20"/>
              </w:rPr>
              <w:t>0.001</w:t>
            </w:r>
            <w:r w:rsidR="00C20F52">
              <w:rPr>
                <w:sz w:val="20"/>
                <w:szCs w:val="20"/>
              </w:rPr>
              <w:t xml:space="preserve">; </w:t>
            </w:r>
            <w:r w:rsidR="0061444E">
              <w:rPr>
                <w:sz w:val="20"/>
                <w:szCs w:val="20"/>
              </w:rPr>
              <w:t>Table 1)</w:t>
            </w:r>
            <w:r w:rsidR="007B1A3F">
              <w:rPr>
                <w:sz w:val="20"/>
                <w:szCs w:val="20"/>
              </w:rPr>
              <w:t>. Milk yield</w:t>
            </w:r>
            <w:r w:rsidR="00734457">
              <w:rPr>
                <w:sz w:val="20"/>
                <w:szCs w:val="20"/>
              </w:rPr>
              <w:t xml:space="preserve">, </w:t>
            </w:r>
            <w:r w:rsidR="007B1A3F">
              <w:rPr>
                <w:sz w:val="20"/>
                <w:szCs w:val="20"/>
              </w:rPr>
              <w:t xml:space="preserve">milk </w:t>
            </w:r>
            <w:r w:rsidR="005534C2">
              <w:rPr>
                <w:sz w:val="20"/>
                <w:szCs w:val="20"/>
              </w:rPr>
              <w:t>fat plus protein yield</w:t>
            </w:r>
            <w:r w:rsidR="00643E35" w:rsidRPr="00643E35">
              <w:rPr>
                <w:sz w:val="20"/>
                <w:szCs w:val="20"/>
              </w:rPr>
              <w:t xml:space="preserve"> </w:t>
            </w:r>
            <w:r w:rsidR="00734457">
              <w:rPr>
                <w:sz w:val="20"/>
                <w:szCs w:val="20"/>
              </w:rPr>
              <w:t xml:space="preserve">and </w:t>
            </w:r>
            <w:r w:rsidR="00703BFC">
              <w:rPr>
                <w:sz w:val="20"/>
                <w:szCs w:val="20"/>
              </w:rPr>
              <w:t xml:space="preserve">ECM </w:t>
            </w:r>
            <w:r w:rsidR="00615B99">
              <w:rPr>
                <w:sz w:val="20"/>
                <w:szCs w:val="20"/>
              </w:rPr>
              <w:t>were</w:t>
            </w:r>
            <w:r w:rsidR="005534C2">
              <w:rPr>
                <w:sz w:val="20"/>
                <w:szCs w:val="20"/>
              </w:rPr>
              <w:t xml:space="preserve"> also</w:t>
            </w:r>
            <w:r w:rsidR="00643E35" w:rsidRPr="00643E35">
              <w:rPr>
                <w:sz w:val="20"/>
                <w:szCs w:val="20"/>
              </w:rPr>
              <w:t xml:space="preserve"> greater </w:t>
            </w:r>
            <w:r w:rsidR="00D33CBB">
              <w:rPr>
                <w:sz w:val="20"/>
                <w:szCs w:val="20"/>
              </w:rPr>
              <w:t xml:space="preserve">with </w:t>
            </w:r>
            <w:r w:rsidR="005534C2">
              <w:rPr>
                <w:sz w:val="20"/>
                <w:szCs w:val="20"/>
              </w:rPr>
              <w:t>5</w:t>
            </w:r>
            <w:r w:rsidR="00643E35" w:rsidRPr="00643E35">
              <w:rPr>
                <w:sz w:val="20"/>
                <w:szCs w:val="20"/>
              </w:rPr>
              <w:t>H (P</w:t>
            </w:r>
            <w:r w:rsidR="009602A1">
              <w:rPr>
                <w:sz w:val="20"/>
                <w:szCs w:val="20"/>
              </w:rPr>
              <w:t xml:space="preserve"> </w:t>
            </w:r>
            <w:r w:rsidR="00643E35" w:rsidRPr="00643E35">
              <w:rPr>
                <w:sz w:val="20"/>
                <w:szCs w:val="20"/>
              </w:rPr>
              <w:t>=</w:t>
            </w:r>
            <w:r w:rsidR="009602A1">
              <w:rPr>
                <w:sz w:val="20"/>
                <w:szCs w:val="20"/>
              </w:rPr>
              <w:t xml:space="preserve"> </w:t>
            </w:r>
            <w:r w:rsidR="00643E35" w:rsidRPr="00643E35">
              <w:rPr>
                <w:sz w:val="20"/>
                <w:szCs w:val="20"/>
              </w:rPr>
              <w:t>0</w:t>
            </w:r>
            <w:r w:rsidR="005534C2">
              <w:rPr>
                <w:sz w:val="20"/>
                <w:szCs w:val="20"/>
              </w:rPr>
              <w:t>.037</w:t>
            </w:r>
            <w:r w:rsidR="00734457">
              <w:rPr>
                <w:sz w:val="20"/>
                <w:szCs w:val="20"/>
              </w:rPr>
              <w:t xml:space="preserve">, </w:t>
            </w:r>
            <w:r w:rsidR="007B1A3F">
              <w:rPr>
                <w:sz w:val="20"/>
                <w:szCs w:val="20"/>
              </w:rPr>
              <w:t>P</w:t>
            </w:r>
            <w:r w:rsidR="009602A1">
              <w:rPr>
                <w:sz w:val="20"/>
                <w:szCs w:val="20"/>
              </w:rPr>
              <w:t xml:space="preserve"> </w:t>
            </w:r>
            <w:r w:rsidR="007B1A3F">
              <w:rPr>
                <w:sz w:val="20"/>
                <w:szCs w:val="20"/>
              </w:rPr>
              <w:t>=</w:t>
            </w:r>
            <w:r w:rsidR="009602A1">
              <w:rPr>
                <w:sz w:val="20"/>
                <w:szCs w:val="20"/>
              </w:rPr>
              <w:t xml:space="preserve"> </w:t>
            </w:r>
            <w:r w:rsidR="007B1A3F">
              <w:rPr>
                <w:sz w:val="20"/>
                <w:szCs w:val="20"/>
              </w:rPr>
              <w:t>0.0</w:t>
            </w:r>
            <w:r w:rsidR="005534C2">
              <w:rPr>
                <w:sz w:val="20"/>
                <w:szCs w:val="20"/>
              </w:rPr>
              <w:t>10</w:t>
            </w:r>
            <w:r w:rsidR="00734457">
              <w:rPr>
                <w:sz w:val="20"/>
                <w:szCs w:val="20"/>
              </w:rPr>
              <w:t xml:space="preserve"> and P</w:t>
            </w:r>
            <w:r w:rsidR="009602A1">
              <w:rPr>
                <w:sz w:val="20"/>
                <w:szCs w:val="20"/>
              </w:rPr>
              <w:t xml:space="preserve"> </w:t>
            </w:r>
            <w:r w:rsidR="00734457">
              <w:rPr>
                <w:sz w:val="20"/>
                <w:szCs w:val="20"/>
              </w:rPr>
              <w:t>&lt;</w:t>
            </w:r>
            <w:r w:rsidR="009602A1">
              <w:rPr>
                <w:sz w:val="20"/>
                <w:szCs w:val="20"/>
              </w:rPr>
              <w:t xml:space="preserve"> </w:t>
            </w:r>
            <w:r w:rsidR="00734457">
              <w:rPr>
                <w:sz w:val="20"/>
                <w:szCs w:val="20"/>
              </w:rPr>
              <w:t>0.001</w:t>
            </w:r>
            <w:r w:rsidR="007B1A3F">
              <w:rPr>
                <w:sz w:val="20"/>
                <w:szCs w:val="20"/>
              </w:rPr>
              <w:t xml:space="preserve"> respectively), while milk fat </w:t>
            </w:r>
            <w:r w:rsidR="00AA1A28">
              <w:rPr>
                <w:sz w:val="20"/>
                <w:szCs w:val="20"/>
              </w:rPr>
              <w:t xml:space="preserve">and protein </w:t>
            </w:r>
            <w:r w:rsidR="005534C2">
              <w:rPr>
                <w:sz w:val="20"/>
                <w:szCs w:val="20"/>
              </w:rPr>
              <w:t>content</w:t>
            </w:r>
            <w:r w:rsidR="005534C2" w:rsidRPr="00643E35">
              <w:rPr>
                <w:sz w:val="20"/>
                <w:szCs w:val="20"/>
              </w:rPr>
              <w:t xml:space="preserve"> </w:t>
            </w:r>
            <w:r w:rsidR="005534C2">
              <w:rPr>
                <w:sz w:val="20"/>
                <w:szCs w:val="20"/>
              </w:rPr>
              <w:t xml:space="preserve">were unaffected. </w:t>
            </w:r>
            <w:r w:rsidR="00643E35" w:rsidRPr="00643E35">
              <w:rPr>
                <w:sz w:val="20"/>
                <w:szCs w:val="20"/>
              </w:rPr>
              <w:t>Tre</w:t>
            </w:r>
            <w:r w:rsidR="007B1A3F">
              <w:rPr>
                <w:sz w:val="20"/>
                <w:szCs w:val="20"/>
              </w:rPr>
              <w:t xml:space="preserve">atment had no effect on BW </w:t>
            </w:r>
            <w:r w:rsidR="00643E35" w:rsidRPr="00643E35">
              <w:rPr>
                <w:sz w:val="20"/>
                <w:szCs w:val="20"/>
              </w:rPr>
              <w:t xml:space="preserve">or BCS. </w:t>
            </w:r>
            <w:r w:rsidR="005A2F55">
              <w:rPr>
                <w:sz w:val="20"/>
                <w:szCs w:val="20"/>
              </w:rPr>
              <w:t>All parameters changed over time (P</w:t>
            </w:r>
            <w:r w:rsidR="008A2127">
              <w:rPr>
                <w:sz w:val="20"/>
                <w:szCs w:val="20"/>
              </w:rPr>
              <w:t xml:space="preserve"> </w:t>
            </w:r>
            <w:r w:rsidR="005A2F55">
              <w:rPr>
                <w:sz w:val="20"/>
                <w:szCs w:val="20"/>
              </w:rPr>
              <w:t>&lt;</w:t>
            </w:r>
            <w:r w:rsidR="008A2127">
              <w:rPr>
                <w:sz w:val="20"/>
                <w:szCs w:val="20"/>
              </w:rPr>
              <w:t xml:space="preserve"> </w:t>
            </w:r>
            <w:r w:rsidR="005A2F55">
              <w:rPr>
                <w:sz w:val="20"/>
                <w:szCs w:val="20"/>
              </w:rPr>
              <w:t xml:space="preserve">0.001), while there were significant </w:t>
            </w:r>
            <w:r w:rsidR="008A2127">
              <w:rPr>
                <w:sz w:val="20"/>
                <w:szCs w:val="20"/>
              </w:rPr>
              <w:t>T</w:t>
            </w:r>
            <w:r w:rsidR="005A2F55">
              <w:rPr>
                <w:sz w:val="20"/>
                <w:szCs w:val="20"/>
              </w:rPr>
              <w:t xml:space="preserve">reatment </w:t>
            </w:r>
            <w:r w:rsidR="00C20F52" w:rsidRPr="00C20F52">
              <w:rPr>
                <w:sz w:val="20"/>
                <w:szCs w:val="20"/>
              </w:rPr>
              <w:t>×</w:t>
            </w:r>
            <w:r w:rsidR="005A2F55">
              <w:rPr>
                <w:sz w:val="20"/>
                <w:szCs w:val="20"/>
              </w:rPr>
              <w:t xml:space="preserve"> Week interactions for all parameters (P</w:t>
            </w:r>
            <w:r w:rsidR="008A2127">
              <w:rPr>
                <w:sz w:val="20"/>
                <w:szCs w:val="20"/>
              </w:rPr>
              <w:t xml:space="preserve"> </w:t>
            </w:r>
            <w:r w:rsidR="00C20F52">
              <w:rPr>
                <w:sz w:val="20"/>
                <w:szCs w:val="20"/>
              </w:rPr>
              <w:t>&lt;</w:t>
            </w:r>
            <w:r w:rsidR="008A2127">
              <w:rPr>
                <w:sz w:val="20"/>
                <w:szCs w:val="20"/>
              </w:rPr>
              <w:t xml:space="preserve"> </w:t>
            </w:r>
            <w:r w:rsidR="000109D5">
              <w:rPr>
                <w:sz w:val="20"/>
                <w:szCs w:val="20"/>
              </w:rPr>
              <w:t>0.05) except milk fat content.</w:t>
            </w:r>
            <w:r w:rsidR="00DE3F15">
              <w:t xml:space="preserve"> </w:t>
            </w:r>
            <w:r w:rsidR="002B094D" w:rsidRPr="002B094D">
              <w:rPr>
                <w:sz w:val="20"/>
                <w:szCs w:val="20"/>
              </w:rPr>
              <w:t xml:space="preserve">Rumen </w:t>
            </w:r>
            <w:r w:rsidR="002B094D">
              <w:rPr>
                <w:sz w:val="20"/>
                <w:szCs w:val="20"/>
              </w:rPr>
              <w:t>pH</w:t>
            </w:r>
            <w:r w:rsidR="002B094D" w:rsidRPr="002B094D">
              <w:rPr>
                <w:sz w:val="20"/>
                <w:szCs w:val="20"/>
              </w:rPr>
              <w:t xml:space="preserve"> was unaffected by treatment, while rumen ammonia concentration was greater (7.9 vs. 6.2 mg/dL; P = 0.009) within the 3H treatment</w:t>
            </w:r>
            <w:r w:rsidR="002B094D">
              <w:rPr>
                <w:sz w:val="20"/>
                <w:szCs w:val="20"/>
              </w:rPr>
              <w:t>.</w:t>
            </w:r>
            <w:r w:rsidR="002B094D" w:rsidRPr="002B094D">
              <w:rPr>
                <w:sz w:val="20"/>
                <w:szCs w:val="20"/>
              </w:rPr>
              <w:t xml:space="preserve"> Concentrations of VFA differed between the two treatments with 3H exhibiting higher acetate (66 vs. 61 </w:t>
            </w:r>
            <w:proofErr w:type="spellStart"/>
            <w:r w:rsidR="002B094D" w:rsidRPr="002B094D">
              <w:rPr>
                <w:sz w:val="20"/>
                <w:szCs w:val="20"/>
              </w:rPr>
              <w:t>mMol</w:t>
            </w:r>
            <w:proofErr w:type="spellEnd"/>
            <w:r w:rsidR="002B094D" w:rsidRPr="002B094D">
              <w:rPr>
                <w:sz w:val="20"/>
                <w:szCs w:val="20"/>
              </w:rPr>
              <w:t xml:space="preserve">/L; P = 0.040) and total butyrate concentrations (17.1 vs 13.7 </w:t>
            </w:r>
            <w:proofErr w:type="spellStart"/>
            <w:r w:rsidR="002B094D" w:rsidRPr="002B094D">
              <w:rPr>
                <w:sz w:val="20"/>
                <w:szCs w:val="20"/>
              </w:rPr>
              <w:t>mMol</w:t>
            </w:r>
            <w:proofErr w:type="spellEnd"/>
            <w:r w:rsidR="002B094D" w:rsidRPr="002B094D">
              <w:rPr>
                <w:sz w:val="20"/>
                <w:szCs w:val="20"/>
              </w:rPr>
              <w:t>/L; P &lt; 0.001) compared to 5H.</w:t>
            </w:r>
          </w:p>
          <w:p w14:paraId="607A64CB" w14:textId="77777777" w:rsidR="006E2E93" w:rsidRDefault="002318CB" w:rsidP="006F50EA">
            <w:pPr>
              <w:rPr>
                <w:sz w:val="20"/>
                <w:szCs w:val="20"/>
              </w:rPr>
            </w:pPr>
            <w:r w:rsidRPr="00CF343D">
              <w:rPr>
                <w:b/>
                <w:sz w:val="20"/>
                <w:szCs w:val="20"/>
              </w:rPr>
              <w:t xml:space="preserve">Table 1 </w:t>
            </w:r>
            <w:r>
              <w:rPr>
                <w:sz w:val="20"/>
                <w:szCs w:val="20"/>
              </w:rPr>
              <w:t>Effect of silage harvesting frequency on cow performance</w:t>
            </w:r>
            <w:r w:rsidR="003C3C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9427" w:type="dxa"/>
              <w:tblLook w:val="04A0" w:firstRow="1" w:lastRow="0" w:firstColumn="1" w:lastColumn="0" w:noHBand="0" w:noVBand="1"/>
            </w:tblPr>
            <w:tblGrid>
              <w:gridCol w:w="3011"/>
              <w:gridCol w:w="992"/>
              <w:gridCol w:w="696"/>
              <w:gridCol w:w="222"/>
              <w:gridCol w:w="795"/>
              <w:gridCol w:w="1281"/>
              <w:gridCol w:w="1230"/>
              <w:gridCol w:w="1200"/>
            </w:tblGrid>
            <w:tr w:rsidR="0018353E" w:rsidRPr="00262D1C" w14:paraId="3EDDD9A1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79B2FC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D45553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DA1A94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6F3AA044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233E40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17E64E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EB1BFF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P-Values:</w:t>
                  </w:r>
                </w:p>
              </w:tc>
              <w:tc>
                <w:tcPr>
                  <w:tcW w:w="120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9DE16D" w14:textId="77777777" w:rsidR="0018353E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8353E" w:rsidRPr="00262D1C" w14:paraId="5C0E1251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2D6D2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80E42" w14:textId="7F66E237" w:rsidR="0018353E" w:rsidRPr="00CF343D" w:rsidRDefault="005534C2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18353E">
                    <w:rPr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69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7B6E4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3H</w:t>
                  </w:r>
                </w:p>
              </w:tc>
              <w:tc>
                <w:tcPr>
                  <w:tcW w:w="22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3F03C86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E962E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SED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430B7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Treatment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D9354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9D5DC" w14:textId="77777777" w:rsidR="0018353E" w:rsidRPr="00CF343D" w:rsidRDefault="0018353E" w:rsidP="002318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Interaction</w:t>
                  </w:r>
                </w:p>
              </w:tc>
            </w:tr>
            <w:tr w:rsidR="00842ED5" w:rsidRPr="00262D1C" w14:paraId="140D0C31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18C83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Silage DMI (kg/d)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4453" w14:textId="53B134A4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1E99D" w14:textId="256B1102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11.7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2BEE1F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AFD0C" w14:textId="2C2C008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0.40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A6A69" w14:textId="79AB4C94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108B2" w14:textId="5F598242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78A9A" w14:textId="4766C8ED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  <w:tr w:rsidR="00842ED5" w:rsidRPr="00262D1C" w14:paraId="460B0B00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969E6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Total DMI (kg/d)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07BF0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23.4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F88CB" w14:textId="1B381EF6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21.1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FAF16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noWrap/>
                  <w:hideMark/>
                </w:tcPr>
                <w:p w14:paraId="357CA294" w14:textId="5F55C150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0.44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0975DB77" w14:textId="4F48AE5E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14:paraId="09711397" w14:textId="3154C60B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noWrap/>
                  <w:hideMark/>
                </w:tcPr>
                <w:p w14:paraId="5209338A" w14:textId="21E5FDF8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  <w:tr w:rsidR="00842ED5" w:rsidRPr="00262D1C" w14:paraId="565A270F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1DEFC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Milk yield (kg/d)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4372C" w14:textId="1FCCE612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33.5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573B8" w14:textId="5152E98E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5206E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noWrap/>
                  <w:hideMark/>
                </w:tcPr>
                <w:p w14:paraId="3DA9D37C" w14:textId="5B0D891B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1.02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37230660" w14:textId="25DB6AAB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0.037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14:paraId="55B871E8" w14:textId="765FCF70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noWrap/>
                  <w:hideMark/>
                </w:tcPr>
                <w:p w14:paraId="1FF6B3BD" w14:textId="7EDFAA0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  <w:tr w:rsidR="00842ED5" w:rsidRPr="00262D1C" w14:paraId="7CB6E341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95CA3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Fat (g/kg)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3D287" w14:textId="0825EEB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47.7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03B71" w14:textId="59E102E3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48.0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532F2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noWrap/>
                  <w:hideMark/>
                </w:tcPr>
                <w:p w14:paraId="1B60400A" w14:textId="0CFB7388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1.14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5685761B" w14:textId="00F2651D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0.851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14:paraId="5910C5AB" w14:textId="075BBD1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noWrap/>
                  <w:hideMark/>
                </w:tcPr>
                <w:p w14:paraId="737C257B" w14:textId="51173AC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0.619</w:t>
                  </w:r>
                </w:p>
              </w:tc>
            </w:tr>
            <w:tr w:rsidR="00842ED5" w:rsidRPr="00262D1C" w14:paraId="550C0CD5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93352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Protein (g/kg)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28A43" w14:textId="19031D30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EEC07" w14:textId="4DC2B2C4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1B184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noWrap/>
                  <w:hideMark/>
                </w:tcPr>
                <w:p w14:paraId="2BA40127" w14:textId="5B786B24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0.75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4DCCF3BC" w14:textId="3505583C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0.359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14:paraId="4AAF4079" w14:textId="69EF1FFB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noWrap/>
                  <w:hideMark/>
                </w:tcPr>
                <w:p w14:paraId="40493F3E" w14:textId="55B17BAE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  <w:tr w:rsidR="00734457" w:rsidRPr="00262D1C" w14:paraId="1EC973CB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52304" w14:textId="77777777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 w:rsidRPr="00CF343D">
                    <w:rPr>
                      <w:sz w:val="20"/>
                      <w:szCs w:val="20"/>
                    </w:rPr>
                    <w:t>Fat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F343D">
                    <w:rPr>
                      <w:sz w:val="20"/>
                      <w:szCs w:val="20"/>
                    </w:rPr>
                    <w:t>+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F343D">
                    <w:rPr>
                      <w:sz w:val="20"/>
                      <w:szCs w:val="20"/>
                    </w:rPr>
                    <w:t>protein yield (kg/d)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D2FEA" w14:textId="39B5E229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2.78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3E738" w14:textId="7B34DF53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2.65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A2690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noWrap/>
                  <w:hideMark/>
                </w:tcPr>
                <w:p w14:paraId="32462646" w14:textId="080A87E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0.072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48371B9A" w14:textId="4454A9B5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0.010</w:t>
                  </w:r>
                </w:p>
              </w:tc>
              <w:tc>
                <w:tcPr>
                  <w:tcW w:w="1230" w:type="dxa"/>
                  <w:noWrap/>
                  <w:hideMark/>
                </w:tcPr>
                <w:p w14:paraId="052ACA6D" w14:textId="26443A3D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noWrap/>
                  <w:hideMark/>
                </w:tcPr>
                <w:p w14:paraId="55A46527" w14:textId="6119DB9C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 w:rsidRPr="00842ED5">
                    <w:rPr>
                      <w:sz w:val="20"/>
                      <w:szCs w:val="20"/>
                    </w:rPr>
                    <w:t>0.001</w:t>
                  </w:r>
                </w:p>
              </w:tc>
            </w:tr>
            <w:tr w:rsidR="00842ED5" w:rsidRPr="00262D1C" w14:paraId="7D48DF8B" w14:textId="77777777" w:rsidTr="00734457">
              <w:trPr>
                <w:trHeight w:val="261"/>
              </w:trPr>
              <w:tc>
                <w:tcPr>
                  <w:tcW w:w="301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4DE7C7" w14:textId="09C358C3" w:rsidR="00842ED5" w:rsidRPr="00CF343D" w:rsidRDefault="00842ED5" w:rsidP="00842E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Energy corrected milk yield (kg/d)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C18A51" w14:textId="220526A9" w:rsid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37.4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E43B24" w14:textId="39170AF1" w:rsid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CBD9543" w14:textId="77777777" w:rsidR="00842ED5" w:rsidRPr="00CF343D" w:rsidRDefault="00842ED5" w:rsidP="00842ED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bottom w:val="single" w:sz="18" w:space="0" w:color="auto"/>
                  </w:tcBorders>
                  <w:noWrap/>
                </w:tcPr>
                <w:p w14:paraId="10142C98" w14:textId="72AC1415" w:rsidR="00842ED5" w:rsidRP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0.94</w:t>
                  </w:r>
                </w:p>
              </w:tc>
              <w:tc>
                <w:tcPr>
                  <w:tcW w:w="1281" w:type="dxa"/>
                  <w:tcBorders>
                    <w:bottom w:val="single" w:sz="18" w:space="0" w:color="auto"/>
                  </w:tcBorders>
                  <w:noWrap/>
                </w:tcPr>
                <w:p w14:paraId="70FF836E" w14:textId="7581F462" w:rsidR="00842ED5" w:rsidRP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0.007</w:t>
                  </w:r>
                </w:p>
              </w:tc>
              <w:tc>
                <w:tcPr>
                  <w:tcW w:w="1230" w:type="dxa"/>
                  <w:tcBorders>
                    <w:bottom w:val="single" w:sz="18" w:space="0" w:color="auto"/>
                  </w:tcBorders>
                  <w:noWrap/>
                </w:tcPr>
                <w:p w14:paraId="1562065A" w14:textId="636E87E8" w:rsidR="00842ED5" w:rsidRP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1200" w:type="dxa"/>
                  <w:tcBorders>
                    <w:bottom w:val="single" w:sz="18" w:space="0" w:color="auto"/>
                  </w:tcBorders>
                  <w:noWrap/>
                </w:tcPr>
                <w:p w14:paraId="6C9A7A0B" w14:textId="19E0E783" w:rsidR="00842ED5" w:rsidRPr="00842ED5" w:rsidRDefault="00734457" w:rsidP="00842E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14:paraId="316BF86E" w14:textId="77777777" w:rsidR="00615B99" w:rsidRPr="00703BFC" w:rsidRDefault="00615B99" w:rsidP="00615B99">
            <w:pPr>
              <w:jc w:val="both"/>
              <w:rPr>
                <w:sz w:val="12"/>
                <w:szCs w:val="12"/>
              </w:rPr>
            </w:pPr>
          </w:p>
          <w:p w14:paraId="5AE1E80F" w14:textId="02E71D5A" w:rsidR="003313EC" w:rsidRDefault="00E10B54" w:rsidP="00E10B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Conclusion </w:t>
            </w:r>
            <w:r>
              <w:rPr>
                <w:sz w:val="20"/>
                <w:szCs w:val="20"/>
              </w:rPr>
              <w:t xml:space="preserve">Increasing harvesting frequency from three to </w:t>
            </w:r>
            <w:r w:rsidR="00842ED5">
              <w:rPr>
                <w:sz w:val="20"/>
                <w:szCs w:val="20"/>
              </w:rPr>
              <w:t>five</w:t>
            </w:r>
            <w:r>
              <w:rPr>
                <w:sz w:val="20"/>
                <w:szCs w:val="20"/>
              </w:rPr>
              <w:t xml:space="preserve"> harvests </w:t>
            </w:r>
            <w:r w:rsidR="00C42F89">
              <w:rPr>
                <w:sz w:val="20"/>
                <w:szCs w:val="20"/>
              </w:rPr>
              <w:t>improved</w:t>
            </w:r>
            <w:r>
              <w:rPr>
                <w:sz w:val="20"/>
                <w:szCs w:val="20"/>
              </w:rPr>
              <w:t xml:space="preserve"> silage </w:t>
            </w:r>
            <w:r w:rsidR="000109D5">
              <w:rPr>
                <w:sz w:val="20"/>
                <w:szCs w:val="20"/>
              </w:rPr>
              <w:t xml:space="preserve">nutritive value, </w:t>
            </w:r>
            <w:r w:rsidR="004213F5">
              <w:rPr>
                <w:sz w:val="20"/>
                <w:szCs w:val="20"/>
              </w:rPr>
              <w:t xml:space="preserve">but reduced </w:t>
            </w:r>
            <w:r w:rsidR="007734A4">
              <w:rPr>
                <w:sz w:val="20"/>
                <w:szCs w:val="20"/>
              </w:rPr>
              <w:t xml:space="preserve">herbage </w:t>
            </w:r>
            <w:r w:rsidR="004213F5">
              <w:rPr>
                <w:sz w:val="20"/>
                <w:szCs w:val="20"/>
              </w:rPr>
              <w:t>DM yield (t/ha). S</w:t>
            </w:r>
            <w:r w:rsidR="000109D5">
              <w:rPr>
                <w:sz w:val="20"/>
                <w:szCs w:val="20"/>
              </w:rPr>
              <w:t xml:space="preserve">ilage </w:t>
            </w:r>
            <w:r>
              <w:rPr>
                <w:sz w:val="20"/>
                <w:szCs w:val="20"/>
              </w:rPr>
              <w:t>DMI</w:t>
            </w:r>
            <w:r w:rsidR="006F50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milk yield</w:t>
            </w:r>
            <w:r w:rsidR="007344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milk fat </w:t>
            </w:r>
            <w:r w:rsidR="008A2127">
              <w:rPr>
                <w:sz w:val="20"/>
                <w:szCs w:val="20"/>
              </w:rPr>
              <w:t>plus</w:t>
            </w:r>
            <w:r>
              <w:rPr>
                <w:sz w:val="20"/>
                <w:szCs w:val="20"/>
              </w:rPr>
              <w:t xml:space="preserve"> protein yield </w:t>
            </w:r>
            <w:r w:rsidR="00734457">
              <w:rPr>
                <w:sz w:val="20"/>
                <w:szCs w:val="20"/>
              </w:rPr>
              <w:t xml:space="preserve">and ECM </w:t>
            </w:r>
            <w:r>
              <w:rPr>
                <w:sz w:val="20"/>
                <w:szCs w:val="20"/>
              </w:rPr>
              <w:t xml:space="preserve">were increased </w:t>
            </w:r>
            <w:r w:rsidR="00C42F89">
              <w:rPr>
                <w:sz w:val="20"/>
                <w:szCs w:val="20"/>
              </w:rPr>
              <w:t>within</w:t>
            </w:r>
            <w:r>
              <w:rPr>
                <w:sz w:val="20"/>
                <w:szCs w:val="20"/>
              </w:rPr>
              <w:t xml:space="preserve"> the </w:t>
            </w:r>
            <w:r w:rsidR="00842ED5">
              <w:rPr>
                <w:sz w:val="20"/>
                <w:szCs w:val="20"/>
              </w:rPr>
              <w:t>five</w:t>
            </w:r>
            <w:r>
              <w:rPr>
                <w:sz w:val="20"/>
                <w:szCs w:val="20"/>
              </w:rPr>
              <w:t xml:space="preserve">-harvest silage system.  </w:t>
            </w:r>
            <w:r w:rsidR="002B094D">
              <w:rPr>
                <w:sz w:val="20"/>
                <w:szCs w:val="20"/>
              </w:rPr>
              <w:t xml:space="preserve">The increase in rumen ammonia in 3H may indicate </w:t>
            </w:r>
            <w:r w:rsidR="002B094D" w:rsidRPr="002B094D">
              <w:rPr>
                <w:sz w:val="20"/>
                <w:szCs w:val="20"/>
              </w:rPr>
              <w:t xml:space="preserve">an imbalance between availability of </w:t>
            </w:r>
            <w:r w:rsidR="002B094D">
              <w:rPr>
                <w:sz w:val="20"/>
                <w:szCs w:val="20"/>
              </w:rPr>
              <w:t>nitrogen</w:t>
            </w:r>
            <w:r w:rsidR="002B094D" w:rsidRPr="002B094D">
              <w:rPr>
                <w:sz w:val="20"/>
                <w:szCs w:val="20"/>
              </w:rPr>
              <w:t xml:space="preserve"> and energy for microbial protein synthesis</w:t>
            </w:r>
            <w:r w:rsidR="002B094D">
              <w:rPr>
                <w:sz w:val="20"/>
                <w:szCs w:val="20"/>
              </w:rPr>
              <w:t>.</w:t>
            </w:r>
            <w:r w:rsidR="002B094D" w:rsidRPr="002B094D">
              <w:rPr>
                <w:sz w:val="20"/>
                <w:szCs w:val="20"/>
              </w:rPr>
              <w:t xml:space="preserve">  </w:t>
            </w:r>
          </w:p>
          <w:p w14:paraId="51B761ED" w14:textId="77777777" w:rsidR="005F2708" w:rsidRPr="005F2708" w:rsidRDefault="005F2708" w:rsidP="00E10B54">
            <w:pPr>
              <w:rPr>
                <w:sz w:val="12"/>
                <w:szCs w:val="12"/>
              </w:rPr>
            </w:pPr>
          </w:p>
          <w:p w14:paraId="6958A0E6" w14:textId="7A4873B7" w:rsidR="003313EC" w:rsidRDefault="00E14333" w:rsidP="003415AB">
            <w:pPr>
              <w:rPr>
                <w:sz w:val="20"/>
                <w:szCs w:val="20"/>
              </w:rPr>
            </w:pPr>
            <w:r w:rsidRPr="00C213D4">
              <w:rPr>
                <w:b/>
                <w:sz w:val="20"/>
                <w:szCs w:val="20"/>
              </w:rPr>
              <w:t>Acknowledgements</w:t>
            </w:r>
            <w:r w:rsidR="002318CB" w:rsidRPr="0062478E">
              <w:rPr>
                <w:sz w:val="20"/>
                <w:szCs w:val="20"/>
              </w:rPr>
              <w:t xml:space="preserve"> This project was funded by Department of Agriculture, Environment and Rural Affairs (DAERA) </w:t>
            </w:r>
            <w:r w:rsidR="002318CB">
              <w:rPr>
                <w:sz w:val="20"/>
                <w:szCs w:val="20"/>
              </w:rPr>
              <w:t>and</w:t>
            </w:r>
            <w:r w:rsidR="002318CB" w:rsidRPr="0062478E">
              <w:rPr>
                <w:sz w:val="20"/>
                <w:szCs w:val="20"/>
              </w:rPr>
              <w:t xml:space="preserve"> </w:t>
            </w:r>
            <w:proofErr w:type="spellStart"/>
            <w:r w:rsidR="002318CB" w:rsidRPr="0062478E">
              <w:rPr>
                <w:sz w:val="20"/>
                <w:szCs w:val="20"/>
              </w:rPr>
              <w:t>AgriSearch</w:t>
            </w:r>
            <w:proofErr w:type="spellEnd"/>
            <w:r w:rsidR="002318CB" w:rsidRPr="0062478E">
              <w:rPr>
                <w:sz w:val="20"/>
                <w:szCs w:val="20"/>
              </w:rPr>
              <w:t xml:space="preserve"> (Farmers Levy). </w:t>
            </w:r>
          </w:p>
          <w:p w14:paraId="1328E65F" w14:textId="77777777" w:rsidR="005F2708" w:rsidRPr="005F2708" w:rsidRDefault="005F2708" w:rsidP="003415AB">
            <w:pPr>
              <w:rPr>
                <w:sz w:val="12"/>
                <w:szCs w:val="12"/>
              </w:rPr>
            </w:pPr>
          </w:p>
          <w:p w14:paraId="0821760B" w14:textId="77777777" w:rsidR="0005642A" w:rsidRDefault="00E14333" w:rsidP="00341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  <w:r w:rsidR="00D86DA7">
              <w:rPr>
                <w:b/>
                <w:sz w:val="20"/>
                <w:szCs w:val="20"/>
              </w:rPr>
              <w:t xml:space="preserve"> </w:t>
            </w:r>
            <w:bookmarkStart w:id="0" w:name="_ENREF_1"/>
          </w:p>
          <w:bookmarkEnd w:id="0"/>
          <w:p w14:paraId="4E9296E0" w14:textId="5486E216" w:rsidR="00DE3F15" w:rsidRDefault="00DE3F15" w:rsidP="00DE3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Craig, A., Gordon, A. and Ferris, C.</w:t>
            </w:r>
            <w:r w:rsidR="007F707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2023</w:t>
            </w:r>
            <w:r w:rsidR="007F707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  <w:r w:rsidRPr="007F7072">
              <w:rPr>
                <w:sz w:val="20"/>
                <w:szCs w:val="20"/>
              </w:rPr>
              <w:t>Animals</w:t>
            </w:r>
            <w:r w:rsidR="007F70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13(2)</w:t>
            </w:r>
            <w:r w:rsidR="007F70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228-241.</w:t>
            </w:r>
          </w:p>
          <w:p w14:paraId="5F3B2A7F" w14:textId="520043B5" w:rsidR="00101653" w:rsidRDefault="00101653" w:rsidP="00BE3CFE">
            <w:pPr>
              <w:rPr>
                <w:sz w:val="20"/>
                <w:szCs w:val="20"/>
              </w:rPr>
            </w:pPr>
          </w:p>
          <w:p w14:paraId="3136CB66" w14:textId="77777777" w:rsidR="00734457" w:rsidRPr="007E1111" w:rsidRDefault="00734457" w:rsidP="00610423">
            <w:pPr>
              <w:rPr>
                <w:b/>
                <w:sz w:val="20"/>
                <w:szCs w:val="20"/>
              </w:rPr>
            </w:pPr>
          </w:p>
        </w:tc>
      </w:tr>
    </w:tbl>
    <w:p w14:paraId="2A55AE09" w14:textId="77777777" w:rsidR="005F2708" w:rsidRDefault="005F2708" w:rsidP="0018687D"/>
    <w:sectPr w:rsidR="005F2708" w:rsidSect="00E14333">
      <w:headerReference w:type="default" r:id="rId7"/>
      <w:pgSz w:w="11906" w:h="16838" w:code="9"/>
      <w:pgMar w:top="284" w:right="964" w:bottom="567" w:left="96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0343" w14:textId="77777777" w:rsidR="00D01FBA" w:rsidRDefault="00D01FBA" w:rsidP="00E14333">
      <w:r>
        <w:separator/>
      </w:r>
    </w:p>
  </w:endnote>
  <w:endnote w:type="continuationSeparator" w:id="0">
    <w:p w14:paraId="4AAE2CFF" w14:textId="77777777" w:rsidR="00D01FBA" w:rsidRDefault="00D01FBA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A589" w14:textId="77777777" w:rsidR="00D01FBA" w:rsidRDefault="00D01FBA" w:rsidP="00E14333">
      <w:r>
        <w:separator/>
      </w:r>
    </w:p>
  </w:footnote>
  <w:footnote w:type="continuationSeparator" w:id="0">
    <w:p w14:paraId="6972CCC0" w14:textId="77777777" w:rsidR="00D01FBA" w:rsidRDefault="00D01FBA" w:rsidP="00E1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F14F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DB49E8">
      <w:rPr>
        <w:color w:val="FF0000"/>
        <w:u w:val="single"/>
      </w:rPr>
      <w:t>I</w:t>
    </w:r>
    <w:r w:rsidRPr="000F31AE">
      <w:rPr>
        <w:color w:val="FF0000"/>
        <w:sz w:val="20"/>
        <w:szCs w:val="20"/>
        <w:u w:val="single"/>
      </w:rPr>
      <w:t>mportant notes</w:t>
    </w:r>
    <w:r w:rsidRPr="000F31AE">
      <w:rPr>
        <w:color w:val="FF0000"/>
        <w:sz w:val="20"/>
        <w:szCs w:val="20"/>
      </w:rPr>
      <w:t>:</w:t>
    </w:r>
  </w:p>
  <w:p w14:paraId="776555F7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enter author and affiliation information on this document. You will be able to enter this information online when you submit the abstract.</w:t>
    </w:r>
  </w:p>
  <w:p w14:paraId="059FCA1D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write outside the boxes. Any text or images outside the boxes </w:t>
    </w:r>
    <w:r w:rsidRPr="000F31AE">
      <w:rPr>
        <w:b/>
        <w:color w:val="FF0000"/>
        <w:sz w:val="20"/>
        <w:szCs w:val="20"/>
        <w:u w:val="single"/>
      </w:rPr>
      <w:t>will be deleted</w:t>
    </w:r>
    <w:r w:rsidRPr="000F31AE">
      <w:rPr>
        <w:color w:val="FF0000"/>
        <w:sz w:val="20"/>
        <w:szCs w:val="20"/>
      </w:rPr>
      <w:t>.</w:t>
    </w:r>
  </w:p>
  <w:p w14:paraId="5E1964DE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alter the structure of this document. Simply enter your title and abstract in the gray boxes. The document will be automatically processed – if you alter its structure your submission will not be processed correctly.</w:t>
    </w:r>
  </w:p>
  <w:p w14:paraId="0F3F8A8B" w14:textId="77777777" w:rsidR="00E14333" w:rsidRDefault="00E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F68"/>
    <w:multiLevelType w:val="hybridMultilevel"/>
    <w:tmpl w:val="FBDE12AE"/>
    <w:lvl w:ilvl="0" w:tplc="16762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E817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167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DA9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FA9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E4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CC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210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0A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E1068"/>
    <w:multiLevelType w:val="hybridMultilevel"/>
    <w:tmpl w:val="5088ED86"/>
    <w:lvl w:ilvl="0" w:tplc="B952F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2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C3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C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00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3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E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06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696397">
    <w:abstractNumId w:val="1"/>
  </w:num>
  <w:num w:numId="2" w16cid:durableId="9889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3"/>
    <w:rsid w:val="000109D5"/>
    <w:rsid w:val="00025C53"/>
    <w:rsid w:val="0005642A"/>
    <w:rsid w:val="00057287"/>
    <w:rsid w:val="00060112"/>
    <w:rsid w:val="000C3920"/>
    <w:rsid w:val="000C4DA0"/>
    <w:rsid w:val="000E36EC"/>
    <w:rsid w:val="000F58D4"/>
    <w:rsid w:val="00101653"/>
    <w:rsid w:val="00110B17"/>
    <w:rsid w:val="00145941"/>
    <w:rsid w:val="0017176C"/>
    <w:rsid w:val="0018353E"/>
    <w:rsid w:val="0018687D"/>
    <w:rsid w:val="001C1049"/>
    <w:rsid w:val="001C6AAE"/>
    <w:rsid w:val="001D0AE5"/>
    <w:rsid w:val="001E4B33"/>
    <w:rsid w:val="00213D48"/>
    <w:rsid w:val="00213FBA"/>
    <w:rsid w:val="002166B5"/>
    <w:rsid w:val="002318CB"/>
    <w:rsid w:val="00260801"/>
    <w:rsid w:val="00264F94"/>
    <w:rsid w:val="002704C6"/>
    <w:rsid w:val="00270ABA"/>
    <w:rsid w:val="00282159"/>
    <w:rsid w:val="002B094D"/>
    <w:rsid w:val="002B3660"/>
    <w:rsid w:val="002C1940"/>
    <w:rsid w:val="002F68A3"/>
    <w:rsid w:val="002F6ECE"/>
    <w:rsid w:val="003313EC"/>
    <w:rsid w:val="00341FA3"/>
    <w:rsid w:val="00341FE4"/>
    <w:rsid w:val="003425C1"/>
    <w:rsid w:val="0036488B"/>
    <w:rsid w:val="00390A36"/>
    <w:rsid w:val="003C3CB5"/>
    <w:rsid w:val="003F59CC"/>
    <w:rsid w:val="004213F5"/>
    <w:rsid w:val="00423047"/>
    <w:rsid w:val="0042684D"/>
    <w:rsid w:val="00466865"/>
    <w:rsid w:val="004F4022"/>
    <w:rsid w:val="004F6393"/>
    <w:rsid w:val="00505C53"/>
    <w:rsid w:val="00520CCA"/>
    <w:rsid w:val="005211E6"/>
    <w:rsid w:val="005262B6"/>
    <w:rsid w:val="00534310"/>
    <w:rsid w:val="00540DE3"/>
    <w:rsid w:val="005534C2"/>
    <w:rsid w:val="0058087B"/>
    <w:rsid w:val="005879FE"/>
    <w:rsid w:val="00597F60"/>
    <w:rsid w:val="005A13D2"/>
    <w:rsid w:val="005A2F55"/>
    <w:rsid w:val="005A3C33"/>
    <w:rsid w:val="005B3135"/>
    <w:rsid w:val="005D15CB"/>
    <w:rsid w:val="005D35CF"/>
    <w:rsid w:val="005D412F"/>
    <w:rsid w:val="005E33F6"/>
    <w:rsid w:val="005E70AF"/>
    <w:rsid w:val="005F2708"/>
    <w:rsid w:val="00603719"/>
    <w:rsid w:val="00610423"/>
    <w:rsid w:val="0061444E"/>
    <w:rsid w:val="0061518B"/>
    <w:rsid w:val="00615B99"/>
    <w:rsid w:val="00620324"/>
    <w:rsid w:val="00635AEF"/>
    <w:rsid w:val="00643E35"/>
    <w:rsid w:val="006646CC"/>
    <w:rsid w:val="0069563E"/>
    <w:rsid w:val="006D5F88"/>
    <w:rsid w:val="006D636D"/>
    <w:rsid w:val="006E2E93"/>
    <w:rsid w:val="006F4F49"/>
    <w:rsid w:val="006F50EA"/>
    <w:rsid w:val="00703BFC"/>
    <w:rsid w:val="00734457"/>
    <w:rsid w:val="0075734E"/>
    <w:rsid w:val="00770130"/>
    <w:rsid w:val="007734A4"/>
    <w:rsid w:val="007846BA"/>
    <w:rsid w:val="007A376D"/>
    <w:rsid w:val="007B1A3F"/>
    <w:rsid w:val="007C2503"/>
    <w:rsid w:val="007D7723"/>
    <w:rsid w:val="007E1111"/>
    <w:rsid w:val="007E320E"/>
    <w:rsid w:val="007F7072"/>
    <w:rsid w:val="00804F75"/>
    <w:rsid w:val="008122B2"/>
    <w:rsid w:val="00842ED5"/>
    <w:rsid w:val="008A2127"/>
    <w:rsid w:val="008A523D"/>
    <w:rsid w:val="008A7245"/>
    <w:rsid w:val="008C16C6"/>
    <w:rsid w:val="008D1873"/>
    <w:rsid w:val="00912098"/>
    <w:rsid w:val="00944A7F"/>
    <w:rsid w:val="00955CD7"/>
    <w:rsid w:val="009602A1"/>
    <w:rsid w:val="00977849"/>
    <w:rsid w:val="00997420"/>
    <w:rsid w:val="009A060D"/>
    <w:rsid w:val="009A5F33"/>
    <w:rsid w:val="009C6B91"/>
    <w:rsid w:val="009F14D8"/>
    <w:rsid w:val="00A1486A"/>
    <w:rsid w:val="00A4676A"/>
    <w:rsid w:val="00AA1A28"/>
    <w:rsid w:val="00AC194C"/>
    <w:rsid w:val="00AC2704"/>
    <w:rsid w:val="00AF4B79"/>
    <w:rsid w:val="00B14833"/>
    <w:rsid w:val="00B21CA5"/>
    <w:rsid w:val="00B83E13"/>
    <w:rsid w:val="00BE1335"/>
    <w:rsid w:val="00BE3CFE"/>
    <w:rsid w:val="00C20F52"/>
    <w:rsid w:val="00C213D4"/>
    <w:rsid w:val="00C31336"/>
    <w:rsid w:val="00C348C7"/>
    <w:rsid w:val="00C415CD"/>
    <w:rsid w:val="00C42F89"/>
    <w:rsid w:val="00C46BE8"/>
    <w:rsid w:val="00CA2199"/>
    <w:rsid w:val="00CB05E4"/>
    <w:rsid w:val="00CB3D8B"/>
    <w:rsid w:val="00CB5E83"/>
    <w:rsid w:val="00CD5AEA"/>
    <w:rsid w:val="00CE1A14"/>
    <w:rsid w:val="00CF1045"/>
    <w:rsid w:val="00D01FBA"/>
    <w:rsid w:val="00D17E9F"/>
    <w:rsid w:val="00D27D73"/>
    <w:rsid w:val="00D33CBB"/>
    <w:rsid w:val="00D609A0"/>
    <w:rsid w:val="00D86DA7"/>
    <w:rsid w:val="00D9568C"/>
    <w:rsid w:val="00DE3F15"/>
    <w:rsid w:val="00DE63C9"/>
    <w:rsid w:val="00E10B54"/>
    <w:rsid w:val="00E14333"/>
    <w:rsid w:val="00E349E0"/>
    <w:rsid w:val="00E41BBC"/>
    <w:rsid w:val="00E43570"/>
    <w:rsid w:val="00E57C58"/>
    <w:rsid w:val="00E63CBB"/>
    <w:rsid w:val="00E9275E"/>
    <w:rsid w:val="00EB3330"/>
    <w:rsid w:val="00EC3579"/>
    <w:rsid w:val="00ED1BC3"/>
    <w:rsid w:val="00EF576A"/>
    <w:rsid w:val="00F04945"/>
    <w:rsid w:val="00F74774"/>
    <w:rsid w:val="00F7616B"/>
    <w:rsid w:val="00F900E3"/>
    <w:rsid w:val="00FA1EAD"/>
    <w:rsid w:val="00FA7B57"/>
    <w:rsid w:val="00FB6C8A"/>
    <w:rsid w:val="00FE7200"/>
    <w:rsid w:val="00FF3814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1F33"/>
  <w15:docId w15:val="{616AD71F-1E1E-46E3-B2F2-1CAEDA43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333"/>
  </w:style>
  <w:style w:type="paragraph" w:styleId="Footer">
    <w:name w:val="footer"/>
    <w:basedOn w:val="Normal"/>
    <w:link w:val="FooterChar"/>
    <w:uiPriority w:val="99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4333"/>
  </w:style>
  <w:style w:type="paragraph" w:styleId="BalloonText">
    <w:name w:val="Balloon Text"/>
    <w:basedOn w:val="Normal"/>
    <w:link w:val="BalloonTextChar"/>
    <w:uiPriority w:val="99"/>
    <w:semiHidden/>
    <w:unhideWhenUsed/>
    <w:rsid w:val="00E14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">
    <w:name w:val="st"/>
    <w:basedOn w:val="DefaultParagraphFont"/>
    <w:rsid w:val="000F58D4"/>
  </w:style>
  <w:style w:type="character" w:styleId="Emphasis">
    <w:name w:val="Emphasis"/>
    <w:basedOn w:val="DefaultParagraphFont"/>
    <w:uiPriority w:val="20"/>
    <w:qFormat/>
    <w:rsid w:val="000F58D4"/>
    <w:rPr>
      <w:i/>
      <w:iCs/>
    </w:rPr>
  </w:style>
  <w:style w:type="character" w:styleId="Hyperlink">
    <w:name w:val="Hyperlink"/>
    <w:basedOn w:val="DefaultParagraphFont"/>
    <w:uiPriority w:val="99"/>
    <w:unhideWhenUsed/>
    <w:rsid w:val="00534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C2704"/>
    <w:pPr>
      <w:spacing w:after="160"/>
    </w:pPr>
    <w:rPr>
      <w:rFonts w:ascii="Calibri" w:eastAsiaTheme="minorHAnsi" w:hAnsi="Calibri" w:cstheme="minorBid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2704"/>
    <w:rPr>
      <w:rFonts w:ascii="Calibri" w:hAnsi="Calibri"/>
      <w:noProof/>
      <w:lang w:val="en-US"/>
    </w:rPr>
  </w:style>
  <w:style w:type="paragraph" w:styleId="Revision">
    <w:name w:val="Revision"/>
    <w:hidden/>
    <w:uiPriority w:val="99"/>
    <w:semiHidden/>
    <w:rsid w:val="007E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734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BSAS</dc:creator>
  <cp:lastModifiedBy>Craig, Aimee</cp:lastModifiedBy>
  <cp:revision>2</cp:revision>
  <dcterms:created xsi:type="dcterms:W3CDTF">2023-10-27T09:26:00Z</dcterms:created>
  <dcterms:modified xsi:type="dcterms:W3CDTF">2023-10-27T09:26:00Z</dcterms:modified>
</cp:coreProperties>
</file>