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79B" w14:textId="267F38D9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07C9ECB3" w14:textId="4707EB17" w:rsidR="007B30E3" w:rsidRDefault="001506C3">
      <w:pPr>
        <w:rPr>
          <w:lang w:val="en-US"/>
        </w:rPr>
      </w:pPr>
      <w:r w:rsidRPr="001506C3">
        <w:rPr>
          <w:lang w:val="en-US"/>
        </w:rPr>
        <w:t xml:space="preserve">During 2023, a small number of cases of Microphthalmia </w:t>
      </w:r>
      <w:r w:rsidR="007B6431" w:rsidRPr="001506C3">
        <w:rPr>
          <w:lang w:val="en-US"/>
        </w:rPr>
        <w:t>were reported</w:t>
      </w:r>
      <w:r w:rsidRPr="001506C3">
        <w:rPr>
          <w:lang w:val="en-US"/>
        </w:rPr>
        <w:t xml:space="preserve"> </w:t>
      </w:r>
      <w:r>
        <w:rPr>
          <w:lang w:val="en-US"/>
        </w:rPr>
        <w:t xml:space="preserve">anecdotally by </w:t>
      </w:r>
      <w:r w:rsidR="006E17DF">
        <w:rPr>
          <w:lang w:val="en-US"/>
        </w:rPr>
        <w:t>p</w:t>
      </w:r>
      <w:r w:rsidR="00746441">
        <w:rPr>
          <w:lang w:val="en-US"/>
        </w:rPr>
        <w:t xml:space="preserve">edigree </w:t>
      </w:r>
      <w:r>
        <w:rPr>
          <w:lang w:val="en-US"/>
        </w:rPr>
        <w:t>Texel sheep breeders</w:t>
      </w:r>
      <w:r w:rsidR="00BA58E3">
        <w:rPr>
          <w:lang w:val="en-US"/>
        </w:rPr>
        <w:t xml:space="preserve"> in the UK</w:t>
      </w:r>
      <w:r>
        <w:rPr>
          <w:lang w:val="en-US"/>
        </w:rPr>
        <w:t xml:space="preserve">. </w:t>
      </w:r>
      <w:r w:rsidR="00BA58E3">
        <w:rPr>
          <w:lang w:val="en-US"/>
        </w:rPr>
        <w:t xml:space="preserve">This disorder is a welfare issue because it can cause blindness in lambs who therefore do not </w:t>
      </w:r>
      <w:proofErr w:type="gramStart"/>
      <w:r w:rsidR="00BA58E3">
        <w:rPr>
          <w:lang w:val="en-US"/>
        </w:rPr>
        <w:t>survive to</w:t>
      </w:r>
      <w:proofErr w:type="gramEnd"/>
      <w:r w:rsidR="00BA58E3">
        <w:rPr>
          <w:lang w:val="en-US"/>
        </w:rPr>
        <w:t xml:space="preserve"> adulthood. Using a</w:t>
      </w:r>
      <w:r w:rsidR="00875B97">
        <w:rPr>
          <w:lang w:val="en-US"/>
        </w:rPr>
        <w:t>n</w:t>
      </w:r>
      <w:r w:rsidR="00BA58E3">
        <w:rPr>
          <w:lang w:val="en-US"/>
        </w:rPr>
        <w:t xml:space="preserve"> existing database of genomic </w:t>
      </w:r>
      <w:r w:rsidR="00875B97">
        <w:rPr>
          <w:lang w:val="en-US"/>
        </w:rPr>
        <w:t>data</w:t>
      </w:r>
      <w:r w:rsidR="00BA58E3">
        <w:rPr>
          <w:lang w:val="en-US"/>
        </w:rPr>
        <w:t xml:space="preserve">, animals that </w:t>
      </w:r>
      <w:r w:rsidR="00875B97">
        <w:rPr>
          <w:lang w:val="en-US"/>
        </w:rPr>
        <w:t>could produce affected lambs were identified. This information was then provided to pedigree breeders along with advice on breeding strategies to enable them to make more effective breeding decisions</w:t>
      </w:r>
      <w:r w:rsidR="007B6431">
        <w:rPr>
          <w:lang w:val="en-US"/>
        </w:rPr>
        <w:t xml:space="preserve"> and reduce the chances of producing affected lambs.</w:t>
      </w:r>
    </w:p>
    <w:p w14:paraId="0F461672" w14:textId="77777777" w:rsidR="00794CD8" w:rsidRPr="001506C3" w:rsidRDefault="00794CD8">
      <w:pPr>
        <w:rPr>
          <w:lang w:val="en-US"/>
        </w:rPr>
      </w:pPr>
    </w:p>
    <w:p w14:paraId="5E9F33D1" w14:textId="5CDACFA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167B5498" w14:textId="2B507E84" w:rsidR="007B30E3" w:rsidRDefault="00794CD8">
      <w:pPr>
        <w:rPr>
          <w:lang w:val="en-US"/>
        </w:rPr>
      </w:pPr>
      <w:r w:rsidRPr="00794CD8">
        <w:rPr>
          <w:lang w:val="en-US"/>
        </w:rPr>
        <w:t xml:space="preserve">Microphthalmia in sheep </w:t>
      </w:r>
      <w:r>
        <w:rPr>
          <w:lang w:val="en-US"/>
        </w:rPr>
        <w:t xml:space="preserve">is an autosomal recessive inherited condition within the Texel breed. It is </w:t>
      </w:r>
      <w:proofErr w:type="spellStart"/>
      <w:r>
        <w:rPr>
          <w:lang w:val="en-US"/>
        </w:rPr>
        <w:t>characterised</w:t>
      </w:r>
      <w:proofErr w:type="spellEnd"/>
      <w:r>
        <w:rPr>
          <w:lang w:val="en-US"/>
        </w:rPr>
        <w:t xml:space="preserve"> in affected animals by extremely small or no eyes and accordingly the animals are blind and do not survive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adulthood. </w:t>
      </w:r>
    </w:p>
    <w:p w14:paraId="3F1928F0" w14:textId="01F6CF33" w:rsidR="00794CD8" w:rsidRDefault="00794CD8">
      <w:pPr>
        <w:rPr>
          <w:lang w:val="en-US"/>
        </w:rPr>
      </w:pPr>
      <w:r>
        <w:rPr>
          <w:lang w:val="en-US"/>
        </w:rPr>
        <w:t xml:space="preserve">The condition has been reported in Texel populations globally and is associated with a missense mutation (c.338G&gt;C, p.R113P) in the </w:t>
      </w:r>
      <w:r w:rsidRPr="00794CD8">
        <w:rPr>
          <w:i/>
          <w:iCs/>
          <w:lang w:val="en-US"/>
        </w:rPr>
        <w:t>PITX3</w:t>
      </w:r>
      <w:r>
        <w:rPr>
          <w:lang w:val="en-US"/>
        </w:rPr>
        <w:t xml:space="preserve"> gene </w:t>
      </w:r>
      <w:r w:rsidR="00525A39">
        <w:rPr>
          <w:lang w:val="en-US"/>
        </w:rPr>
        <w:t>that</w:t>
      </w:r>
      <w:r w:rsidR="009919CB">
        <w:rPr>
          <w:lang w:val="en-US"/>
        </w:rPr>
        <w:t xml:space="preserve"> i</w:t>
      </w:r>
      <w:r w:rsidR="00525A39">
        <w:rPr>
          <w:lang w:val="en-US"/>
        </w:rPr>
        <w:t xml:space="preserve">s involved in vertebrate lens formation (Becker et al. 2010; Goncalves et al. 2018). </w:t>
      </w:r>
    </w:p>
    <w:p w14:paraId="4DD6BAD6" w14:textId="4F547F72" w:rsidR="00525A39" w:rsidRDefault="00B14F5D">
      <w:pPr>
        <w:rPr>
          <w:lang w:val="en-US"/>
        </w:rPr>
      </w:pPr>
      <w:r>
        <w:rPr>
          <w:lang w:val="en-US"/>
        </w:rPr>
        <w:t xml:space="preserve">This single nucleotide polymorphism (SNP) is included in commercially available genotyping SNP </w:t>
      </w:r>
      <w:r w:rsidR="006E17DF">
        <w:rPr>
          <w:lang w:val="en-US"/>
        </w:rPr>
        <w:t xml:space="preserve">arrays </w:t>
      </w:r>
      <w:r>
        <w:rPr>
          <w:lang w:val="en-US"/>
        </w:rPr>
        <w:t xml:space="preserve">and can be </w:t>
      </w:r>
      <w:proofErr w:type="gramStart"/>
      <w:r>
        <w:rPr>
          <w:lang w:val="en-US"/>
        </w:rPr>
        <w:t>reported on</w:t>
      </w:r>
      <w:proofErr w:type="gramEnd"/>
      <w:r>
        <w:rPr>
          <w:lang w:val="en-US"/>
        </w:rPr>
        <w:t xml:space="preserve"> simply</w:t>
      </w:r>
      <w:r w:rsidR="006E17DF">
        <w:rPr>
          <w:lang w:val="en-US"/>
        </w:rPr>
        <w:t>. E</w:t>
      </w:r>
      <w:r>
        <w:rPr>
          <w:lang w:val="en-US"/>
        </w:rPr>
        <w:t xml:space="preserve">xisting data can </w:t>
      </w:r>
      <w:r w:rsidR="006E17DF">
        <w:rPr>
          <w:lang w:val="en-US"/>
        </w:rPr>
        <w:t xml:space="preserve">also </w:t>
      </w:r>
      <w:r>
        <w:rPr>
          <w:lang w:val="en-US"/>
        </w:rPr>
        <w:t xml:space="preserve">be retrospectively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to provide information on previously genotyped animals. </w:t>
      </w:r>
    </w:p>
    <w:p w14:paraId="40C19631" w14:textId="53B8EBB4" w:rsidR="00B14F5D" w:rsidRDefault="00B14F5D">
      <w:pPr>
        <w:rPr>
          <w:lang w:val="en-US"/>
        </w:rPr>
      </w:pPr>
      <w:r>
        <w:rPr>
          <w:lang w:val="en-US"/>
        </w:rPr>
        <w:t xml:space="preserve">The aim of this work was to determine the level of carriage of the affected allele within the </w:t>
      </w:r>
      <w:r w:rsidR="00946A4C">
        <w:rPr>
          <w:lang w:val="en-US"/>
        </w:rPr>
        <w:t xml:space="preserve">registered </w:t>
      </w:r>
      <w:r>
        <w:rPr>
          <w:lang w:val="en-US"/>
        </w:rPr>
        <w:t>pedigree male population of British Texels</w:t>
      </w:r>
      <w:r w:rsidR="00946A4C">
        <w:rPr>
          <w:lang w:val="en-US"/>
        </w:rPr>
        <w:t xml:space="preserve"> (as only registered animals can be used for pedigree production)</w:t>
      </w:r>
      <w:r w:rsidR="006E17DF">
        <w:rPr>
          <w:lang w:val="en-US"/>
        </w:rPr>
        <w:t>,</w:t>
      </w:r>
      <w:r>
        <w:rPr>
          <w:lang w:val="en-US"/>
        </w:rPr>
        <w:t xml:space="preserve"> develop an effective mechanism of providing this information to pedigree breeders</w:t>
      </w:r>
      <w:r w:rsidR="00746441">
        <w:rPr>
          <w:lang w:val="en-US"/>
        </w:rPr>
        <w:t xml:space="preserve">, and support the </w:t>
      </w:r>
      <w:r w:rsidR="008749F9">
        <w:rPr>
          <w:lang w:val="en-US"/>
        </w:rPr>
        <w:t xml:space="preserve">monitoring and </w:t>
      </w:r>
      <w:r w:rsidR="00746441">
        <w:rPr>
          <w:lang w:val="en-US"/>
        </w:rPr>
        <w:t>removal of the carrier gene with</w:t>
      </w:r>
      <w:r w:rsidR="006E17DF">
        <w:rPr>
          <w:lang w:val="en-US"/>
        </w:rPr>
        <w:t>in</w:t>
      </w:r>
      <w:r w:rsidR="00746441">
        <w:rPr>
          <w:lang w:val="en-US"/>
        </w:rPr>
        <w:t xml:space="preserve"> the realms of </w:t>
      </w:r>
      <w:proofErr w:type="spellStart"/>
      <w:r w:rsidR="00746441">
        <w:rPr>
          <w:lang w:val="en-US"/>
        </w:rPr>
        <w:t>Zootechnological</w:t>
      </w:r>
      <w:proofErr w:type="spellEnd"/>
      <w:r w:rsidR="00746441">
        <w:rPr>
          <w:lang w:val="en-US"/>
        </w:rPr>
        <w:t xml:space="preserve"> </w:t>
      </w:r>
      <w:r w:rsidR="006E17DF">
        <w:rPr>
          <w:lang w:val="en-US"/>
        </w:rPr>
        <w:t>legislation</w:t>
      </w:r>
      <w:r>
        <w:rPr>
          <w:lang w:val="en-US"/>
        </w:rPr>
        <w:t>.</w:t>
      </w:r>
    </w:p>
    <w:p w14:paraId="70E3E9B4" w14:textId="77777777" w:rsidR="00946A4C" w:rsidRPr="00794CD8" w:rsidRDefault="00946A4C">
      <w:pPr>
        <w:rPr>
          <w:lang w:val="en-US"/>
        </w:rPr>
      </w:pP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7D5030F1" w14:textId="0A2E8304" w:rsidR="00261B9C" w:rsidRDefault="006E17DF" w:rsidP="006E17DF">
      <w:pPr>
        <w:rPr>
          <w:lang w:val="en-US"/>
        </w:rPr>
      </w:pPr>
      <w:r>
        <w:rPr>
          <w:lang w:val="en-US"/>
        </w:rPr>
        <w:t>Low and m</w:t>
      </w:r>
      <w:r w:rsidR="003E2467">
        <w:rPr>
          <w:lang w:val="en-US"/>
        </w:rPr>
        <w:t>edium density (</w:t>
      </w:r>
      <w:r>
        <w:rPr>
          <w:lang w:val="en-US"/>
        </w:rPr>
        <w:t>15-</w:t>
      </w:r>
      <w:r w:rsidR="003E2467">
        <w:rPr>
          <w:lang w:val="en-US"/>
        </w:rPr>
        <w:t>50K) SNP genotypes</w:t>
      </w:r>
      <w:r>
        <w:rPr>
          <w:lang w:val="en-US"/>
        </w:rPr>
        <w:t xml:space="preserve"> (</w:t>
      </w:r>
      <w:r w:rsidRPr="006E17DF">
        <w:rPr>
          <w:lang w:val="en-US"/>
        </w:rPr>
        <w:t>Ovine_15K</w:t>
      </w:r>
      <w:r>
        <w:rPr>
          <w:lang w:val="en-US"/>
        </w:rPr>
        <w:t xml:space="preserve">, </w:t>
      </w:r>
      <w:r w:rsidRPr="006E17DF">
        <w:rPr>
          <w:lang w:val="en-US"/>
        </w:rPr>
        <w:t>GGP_Ovine_15Kv2</w:t>
      </w:r>
      <w:r>
        <w:rPr>
          <w:lang w:val="en-US"/>
        </w:rPr>
        <w:t xml:space="preserve">, </w:t>
      </w:r>
      <w:r w:rsidRPr="006E17DF">
        <w:rPr>
          <w:lang w:val="en-US"/>
        </w:rPr>
        <w:t>GGP_Ovine_50K</w:t>
      </w:r>
      <w:r>
        <w:rPr>
          <w:lang w:val="en-US"/>
        </w:rPr>
        <w:t xml:space="preserve"> and </w:t>
      </w:r>
      <w:r w:rsidRPr="006E17DF">
        <w:rPr>
          <w:lang w:val="en-US"/>
        </w:rPr>
        <w:t>GGP_Ovine_50Kv2</w:t>
      </w:r>
      <w:r>
        <w:rPr>
          <w:lang w:val="en-US"/>
        </w:rPr>
        <w:t>)</w:t>
      </w:r>
      <w:r w:rsidR="003E2467">
        <w:rPr>
          <w:lang w:val="en-US"/>
        </w:rPr>
        <w:t xml:space="preserve"> are stored </w:t>
      </w:r>
      <w:r w:rsidR="00AD5C95">
        <w:rPr>
          <w:lang w:val="en-US"/>
        </w:rPr>
        <w:t xml:space="preserve">commercially </w:t>
      </w:r>
      <w:r>
        <w:rPr>
          <w:lang w:val="en-US"/>
        </w:rPr>
        <w:t xml:space="preserve">by </w:t>
      </w:r>
      <w:proofErr w:type="spellStart"/>
      <w:r>
        <w:rPr>
          <w:lang w:val="en-US"/>
        </w:rPr>
        <w:t>Neogen</w:t>
      </w:r>
      <w:proofErr w:type="spellEnd"/>
      <w:r>
        <w:rPr>
          <w:lang w:val="en-US"/>
        </w:rPr>
        <w:t xml:space="preserve"> Europe Ltd </w:t>
      </w:r>
      <w:r w:rsidR="003E2467">
        <w:rPr>
          <w:lang w:val="en-US"/>
        </w:rPr>
        <w:t xml:space="preserve">for all </w:t>
      </w:r>
      <w:r w:rsidR="00AD5C95">
        <w:rPr>
          <w:lang w:val="en-US"/>
        </w:rPr>
        <w:t xml:space="preserve">pedigree registered male </w:t>
      </w:r>
      <w:r w:rsidR="008749F9">
        <w:rPr>
          <w:lang w:val="en-US"/>
        </w:rPr>
        <w:t xml:space="preserve">Texel </w:t>
      </w:r>
      <w:r w:rsidR="00AD5C95">
        <w:rPr>
          <w:lang w:val="en-US"/>
        </w:rPr>
        <w:t xml:space="preserve">animals as part of </w:t>
      </w:r>
      <w:r w:rsidR="00656A99">
        <w:rPr>
          <w:lang w:val="en-US"/>
        </w:rPr>
        <w:t>Br</w:t>
      </w:r>
      <w:r w:rsidR="00746441">
        <w:rPr>
          <w:lang w:val="en-US"/>
        </w:rPr>
        <w:t xml:space="preserve">eed </w:t>
      </w:r>
      <w:r w:rsidR="00656A99">
        <w:rPr>
          <w:lang w:val="en-US"/>
        </w:rPr>
        <w:t xml:space="preserve">Society </w:t>
      </w:r>
      <w:r w:rsidR="00AD5C95">
        <w:rPr>
          <w:lang w:val="en-US"/>
        </w:rPr>
        <w:t>policy. Th</w:t>
      </w:r>
      <w:r w:rsidR="00746441">
        <w:rPr>
          <w:lang w:val="en-US"/>
        </w:rPr>
        <w:t>e</w:t>
      </w:r>
      <w:r w:rsidR="00AD5C95">
        <w:rPr>
          <w:lang w:val="en-US"/>
        </w:rPr>
        <w:t xml:space="preserve"> database include</w:t>
      </w:r>
      <w:r w:rsidR="00746441">
        <w:rPr>
          <w:lang w:val="en-US"/>
        </w:rPr>
        <w:t>s</w:t>
      </w:r>
      <w:r w:rsidR="004A3BFD">
        <w:rPr>
          <w:lang w:val="en-US"/>
        </w:rPr>
        <w:t xml:space="preserve"> 20,778 low and medium density</w:t>
      </w:r>
      <w:r w:rsidR="008749F9">
        <w:rPr>
          <w:lang w:val="en-US"/>
        </w:rPr>
        <w:t xml:space="preserve"> </w:t>
      </w:r>
      <w:r w:rsidR="00AD5C95">
        <w:rPr>
          <w:lang w:val="en-US"/>
        </w:rPr>
        <w:t>individual animal genotypes and was r</w:t>
      </w:r>
      <w:r w:rsidR="00B14F5D">
        <w:rPr>
          <w:lang w:val="en-US"/>
        </w:rPr>
        <w:t xml:space="preserve">etrospectively </w:t>
      </w:r>
      <w:proofErr w:type="spellStart"/>
      <w:r w:rsidR="00B14F5D">
        <w:rPr>
          <w:lang w:val="en-US"/>
        </w:rPr>
        <w:t>analysed</w:t>
      </w:r>
      <w:proofErr w:type="spellEnd"/>
      <w:r w:rsidR="00B14F5D">
        <w:rPr>
          <w:lang w:val="en-US"/>
        </w:rPr>
        <w:t xml:space="preserve"> to provide </w:t>
      </w:r>
      <w:r w:rsidR="003E2467">
        <w:rPr>
          <w:lang w:val="en-US"/>
        </w:rPr>
        <w:t xml:space="preserve">genotype information on the associated SNP in the </w:t>
      </w:r>
      <w:r w:rsidR="003E2467" w:rsidRPr="003E2467">
        <w:rPr>
          <w:i/>
          <w:iCs/>
          <w:lang w:val="en-US"/>
        </w:rPr>
        <w:t>PITX3</w:t>
      </w:r>
      <w:r w:rsidR="003E2467">
        <w:rPr>
          <w:lang w:val="en-US"/>
        </w:rPr>
        <w:t xml:space="preserve"> gene in 2,746 animals. </w:t>
      </w:r>
      <w:r w:rsidR="00261B9C">
        <w:rPr>
          <w:lang w:val="en-US"/>
        </w:rPr>
        <w:t>D</w:t>
      </w:r>
      <w:r w:rsidR="00261B9C" w:rsidRPr="00261B9C">
        <w:rPr>
          <w:lang w:val="en-US"/>
        </w:rPr>
        <w:t xml:space="preserve">ata </w:t>
      </w:r>
      <w:r w:rsidR="00E25797">
        <w:rPr>
          <w:lang w:val="en-US"/>
        </w:rPr>
        <w:t xml:space="preserve">from animals born </w:t>
      </w:r>
      <w:r w:rsidR="00261B9C" w:rsidRPr="00261B9C">
        <w:rPr>
          <w:lang w:val="en-US"/>
        </w:rPr>
        <w:t xml:space="preserve">prior to 2018 were not included </w:t>
      </w:r>
      <w:r w:rsidR="00E25797">
        <w:rPr>
          <w:lang w:val="en-US"/>
        </w:rPr>
        <w:t xml:space="preserve">in subsequent analyses </w:t>
      </w:r>
      <w:r w:rsidR="00261B9C" w:rsidRPr="00261B9C">
        <w:rPr>
          <w:lang w:val="en-US"/>
        </w:rPr>
        <w:t>because</w:t>
      </w:r>
      <w:r w:rsidR="00E25797">
        <w:rPr>
          <w:lang w:val="en-US"/>
        </w:rPr>
        <w:t xml:space="preserve"> information on</w:t>
      </w:r>
      <w:r w:rsidR="00261B9C" w:rsidRPr="00261B9C">
        <w:rPr>
          <w:lang w:val="en-US"/>
        </w:rPr>
        <w:t xml:space="preserve"> </w:t>
      </w:r>
      <w:r w:rsidR="00E25797">
        <w:rPr>
          <w:lang w:val="en-US"/>
        </w:rPr>
        <w:t xml:space="preserve">fewer </w:t>
      </w:r>
      <w:r w:rsidR="00261B9C" w:rsidRPr="00261B9C">
        <w:rPr>
          <w:lang w:val="en-US"/>
        </w:rPr>
        <w:t xml:space="preserve">than 200 animals </w:t>
      </w:r>
      <w:r w:rsidR="00E25797">
        <w:rPr>
          <w:lang w:val="en-US"/>
        </w:rPr>
        <w:t xml:space="preserve">per year </w:t>
      </w:r>
      <w:proofErr w:type="gramStart"/>
      <w:r w:rsidR="00261B9C" w:rsidRPr="00261B9C">
        <w:rPr>
          <w:lang w:val="en-US"/>
        </w:rPr>
        <w:t>were</w:t>
      </w:r>
      <w:proofErr w:type="gramEnd"/>
      <w:r w:rsidR="00261B9C" w:rsidRPr="00261B9C">
        <w:rPr>
          <w:lang w:val="en-US"/>
        </w:rPr>
        <w:t xml:space="preserve"> available</w:t>
      </w:r>
      <w:r w:rsidR="00E25797">
        <w:rPr>
          <w:lang w:val="en-US"/>
        </w:rPr>
        <w:t>.</w:t>
      </w:r>
    </w:p>
    <w:p w14:paraId="31DE43A2" w14:textId="23F807CE" w:rsidR="007B30E3" w:rsidRDefault="003E2467" w:rsidP="006E17DF">
      <w:pPr>
        <w:rPr>
          <w:lang w:val="en-US"/>
        </w:rPr>
      </w:pPr>
      <w:r>
        <w:rPr>
          <w:lang w:val="en-US"/>
        </w:rPr>
        <w:t xml:space="preserve">These were predominantly male animals registered in the preceding three years and represented much of the </w:t>
      </w:r>
      <w:r w:rsidR="00656A99" w:rsidRPr="004A3BFD">
        <w:rPr>
          <w:i/>
          <w:iCs/>
          <w:lang w:val="en-US"/>
        </w:rPr>
        <w:t>in-situ</w:t>
      </w:r>
      <w:r w:rsidR="008749F9">
        <w:rPr>
          <w:i/>
          <w:iCs/>
          <w:lang w:val="en-US"/>
        </w:rPr>
        <w:t xml:space="preserve"> </w:t>
      </w:r>
      <w:r>
        <w:rPr>
          <w:lang w:val="en-US"/>
        </w:rPr>
        <w:t xml:space="preserve">pedigree male population. </w:t>
      </w:r>
    </w:p>
    <w:p w14:paraId="107016A5" w14:textId="75BE331E" w:rsidR="003E2467" w:rsidRDefault="00AD5C95">
      <w:pPr>
        <w:rPr>
          <w:lang w:val="en-US"/>
        </w:rPr>
      </w:pPr>
      <w:r>
        <w:rPr>
          <w:lang w:val="en-US"/>
        </w:rPr>
        <w:t xml:space="preserve">Carrier animals that </w:t>
      </w:r>
      <w:r w:rsidR="006A06D2">
        <w:rPr>
          <w:lang w:val="en-US"/>
        </w:rPr>
        <w:t>could pass</w:t>
      </w:r>
      <w:r>
        <w:rPr>
          <w:lang w:val="en-US"/>
        </w:rPr>
        <w:t xml:space="preserve"> the condition on to their progeny were identified as heterozygous (C/G); whereas homozygous animals (G/G) were considered resistant. </w:t>
      </w:r>
      <w:r w:rsidR="008749F9">
        <w:rPr>
          <w:lang w:val="en-US"/>
        </w:rPr>
        <w:t>Homozygous (C/C) animals are clinically affected and do not survive.</w:t>
      </w:r>
    </w:p>
    <w:p w14:paraId="23CB9622" w14:textId="20D78269" w:rsidR="00A912F0" w:rsidRDefault="00261B9C">
      <w:pPr>
        <w:rPr>
          <w:lang w:val="en-US"/>
        </w:rPr>
      </w:pPr>
      <w:r>
        <w:rPr>
          <w:lang w:val="en-US"/>
        </w:rPr>
        <w:t xml:space="preserve">Additional </w:t>
      </w:r>
      <w:r w:rsidR="009919CB">
        <w:rPr>
          <w:lang w:val="en-US"/>
        </w:rPr>
        <w:t>genotypes were obtained for specific individuals</w:t>
      </w:r>
      <w:r>
        <w:rPr>
          <w:lang w:val="en-US"/>
        </w:rPr>
        <w:t xml:space="preserve"> that had been excluded from the initial analysis, to supplement the data. The</w:t>
      </w:r>
      <w:r w:rsidR="00A912F0">
        <w:rPr>
          <w:lang w:val="en-US"/>
        </w:rPr>
        <w:t xml:space="preserve"> change </w:t>
      </w:r>
      <w:r>
        <w:rPr>
          <w:lang w:val="en-US"/>
        </w:rPr>
        <w:t xml:space="preserve">in breed registry policy </w:t>
      </w:r>
      <w:r w:rsidR="00A912F0">
        <w:rPr>
          <w:lang w:val="en-US"/>
        </w:rPr>
        <w:t xml:space="preserve">to routine reporting of single-marker information from all commercially obtained </w:t>
      </w:r>
      <w:proofErr w:type="gramStart"/>
      <w:r w:rsidR="00A912F0">
        <w:rPr>
          <w:lang w:val="en-US"/>
        </w:rPr>
        <w:t>genotypes,</w:t>
      </w:r>
      <w:proofErr w:type="gramEnd"/>
      <w:r w:rsidR="00A912F0">
        <w:rPr>
          <w:lang w:val="en-US"/>
        </w:rPr>
        <w:t xml:space="preserve"> ha</w:t>
      </w:r>
      <w:r>
        <w:rPr>
          <w:lang w:val="en-US"/>
        </w:rPr>
        <w:t>s</w:t>
      </w:r>
      <w:r w:rsidR="00A912F0">
        <w:rPr>
          <w:lang w:val="en-US"/>
        </w:rPr>
        <w:t xml:space="preserve"> provided further information on the prevalence of resistant and carrier animals in the pedigree population. </w:t>
      </w:r>
    </w:p>
    <w:p w14:paraId="5D3259FA" w14:textId="77777777" w:rsidR="00B14F5D" w:rsidRDefault="00B14F5D">
      <w:pPr>
        <w:rPr>
          <w:b/>
          <w:bCs/>
          <w:lang w:val="en-US"/>
        </w:rPr>
      </w:pP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Results</w:t>
      </w:r>
    </w:p>
    <w:p w14:paraId="3D5C9672" w14:textId="76DF6BE9" w:rsidR="007B30E3" w:rsidRDefault="007F7346">
      <w:pPr>
        <w:rPr>
          <w:lang w:val="en-US"/>
        </w:rPr>
      </w:pPr>
      <w:r>
        <w:rPr>
          <w:lang w:val="en-US"/>
        </w:rPr>
        <w:t xml:space="preserve">To date </w:t>
      </w:r>
      <w:r w:rsidR="00A912F0">
        <w:rPr>
          <w:lang w:val="en-US"/>
        </w:rPr>
        <w:t xml:space="preserve">7,908 </w:t>
      </w:r>
      <w:r>
        <w:rPr>
          <w:lang w:val="en-US"/>
        </w:rPr>
        <w:t xml:space="preserve">animals have a known </w:t>
      </w:r>
      <w:r w:rsidRPr="006A06D2">
        <w:rPr>
          <w:i/>
          <w:iCs/>
          <w:lang w:val="en-US"/>
        </w:rPr>
        <w:t>PITX3</w:t>
      </w:r>
      <w:r>
        <w:rPr>
          <w:lang w:val="en-US"/>
        </w:rPr>
        <w:t xml:space="preserve"> </w:t>
      </w:r>
      <w:r w:rsidR="006A06D2">
        <w:rPr>
          <w:lang w:val="en-US"/>
        </w:rPr>
        <w:t>genotype</w:t>
      </w:r>
      <w:r w:rsidR="00946A4C">
        <w:rPr>
          <w:lang w:val="en-US"/>
        </w:rPr>
        <w:t xml:space="preserve">, including </w:t>
      </w:r>
      <w:r w:rsidR="004277B5">
        <w:rPr>
          <w:lang w:val="en-US"/>
        </w:rPr>
        <w:t>6</w:t>
      </w:r>
      <w:r w:rsidR="00BA4CF8">
        <w:rPr>
          <w:lang w:val="en-US"/>
        </w:rPr>
        <w:t>,</w:t>
      </w:r>
      <w:r w:rsidR="004277B5">
        <w:rPr>
          <w:lang w:val="en-US"/>
        </w:rPr>
        <w:t xml:space="preserve">914 males (5,795 </w:t>
      </w:r>
      <w:r w:rsidR="00946A4C">
        <w:rPr>
          <w:lang w:val="en-US"/>
        </w:rPr>
        <w:t xml:space="preserve">registered and </w:t>
      </w:r>
      <w:r w:rsidR="004277B5">
        <w:rPr>
          <w:lang w:val="en-US"/>
        </w:rPr>
        <w:t>1</w:t>
      </w:r>
      <w:r w:rsidR="00BA4CF8">
        <w:rPr>
          <w:lang w:val="en-US"/>
        </w:rPr>
        <w:t>,</w:t>
      </w:r>
      <w:r w:rsidR="004277B5">
        <w:rPr>
          <w:lang w:val="en-US"/>
        </w:rPr>
        <w:t xml:space="preserve">119 </w:t>
      </w:r>
      <w:r w:rsidR="00946A4C">
        <w:rPr>
          <w:lang w:val="en-US"/>
        </w:rPr>
        <w:t>unregistered</w:t>
      </w:r>
      <w:r w:rsidR="004277B5">
        <w:rPr>
          <w:lang w:val="en-US"/>
        </w:rPr>
        <w:t xml:space="preserve">) and 994 </w:t>
      </w:r>
      <w:r w:rsidR="00946A4C">
        <w:rPr>
          <w:lang w:val="en-US"/>
        </w:rPr>
        <w:t>females</w:t>
      </w:r>
      <w:r w:rsidR="004277B5">
        <w:rPr>
          <w:lang w:val="en-US"/>
        </w:rPr>
        <w:t xml:space="preserve"> (870 registered and 124 </w:t>
      </w:r>
      <w:r w:rsidR="008749F9">
        <w:rPr>
          <w:lang w:val="en-US"/>
        </w:rPr>
        <w:t>unregistered</w:t>
      </w:r>
      <w:r w:rsidR="004277B5">
        <w:rPr>
          <w:lang w:val="en-US"/>
        </w:rPr>
        <w:t>)</w:t>
      </w:r>
      <w:r w:rsidR="00946A4C">
        <w:rPr>
          <w:lang w:val="en-US"/>
        </w:rPr>
        <w:t xml:space="preserve">. </w:t>
      </w:r>
      <w:r>
        <w:rPr>
          <w:lang w:val="en-US"/>
        </w:rPr>
        <w:t xml:space="preserve">In the registered pedigree male </w:t>
      </w:r>
      <w:r w:rsidR="00FE45BB">
        <w:rPr>
          <w:lang w:val="en-US"/>
        </w:rPr>
        <w:t>population,</w:t>
      </w:r>
      <w:r>
        <w:rPr>
          <w:lang w:val="en-US"/>
        </w:rPr>
        <w:t xml:space="preserve"> the </w:t>
      </w:r>
      <w:r w:rsidR="004277B5">
        <w:rPr>
          <w:lang w:val="en-US"/>
        </w:rPr>
        <w:t xml:space="preserve">overall </w:t>
      </w:r>
      <w:r>
        <w:rPr>
          <w:lang w:val="en-US"/>
        </w:rPr>
        <w:t xml:space="preserve">proportion of carrier animals is </w:t>
      </w:r>
      <w:r w:rsidR="004277B5">
        <w:rPr>
          <w:lang w:val="en-US"/>
        </w:rPr>
        <w:t>2.2%</w:t>
      </w:r>
      <w:r>
        <w:rPr>
          <w:lang w:val="en-US"/>
        </w:rPr>
        <w:t xml:space="preserve">, however </w:t>
      </w:r>
      <w:r w:rsidR="00FE45BB">
        <w:rPr>
          <w:lang w:val="en-US"/>
        </w:rPr>
        <w:t xml:space="preserve">when split by year of birth, there is a noticeable increase in the rate of carrier animals </w:t>
      </w:r>
      <w:r w:rsidR="00656A99">
        <w:rPr>
          <w:lang w:val="en-US"/>
        </w:rPr>
        <w:t xml:space="preserve">born </w:t>
      </w:r>
      <w:r w:rsidR="00FE45BB">
        <w:rPr>
          <w:lang w:val="en-US"/>
        </w:rPr>
        <w:t>between 202</w:t>
      </w:r>
      <w:r w:rsidR="00BA4CF8">
        <w:rPr>
          <w:lang w:val="en-US"/>
        </w:rPr>
        <w:t>0</w:t>
      </w:r>
      <w:r w:rsidR="00FE45BB">
        <w:rPr>
          <w:lang w:val="en-US"/>
        </w:rPr>
        <w:t>/202</w:t>
      </w:r>
      <w:r w:rsidR="00BA4CF8">
        <w:rPr>
          <w:lang w:val="en-US"/>
        </w:rPr>
        <w:t>1 (</w:t>
      </w:r>
      <w:r w:rsidR="00BC6C10">
        <w:rPr>
          <w:lang w:val="en-US"/>
        </w:rPr>
        <w:t>Figure</w:t>
      </w:r>
      <w:r w:rsidR="00BA4CF8">
        <w:rPr>
          <w:lang w:val="en-US"/>
        </w:rPr>
        <w:t xml:space="preserve"> 1)</w:t>
      </w:r>
      <w:r w:rsidR="00FE45BB">
        <w:rPr>
          <w:lang w:val="en-US"/>
        </w:rPr>
        <w:t xml:space="preserve">. </w:t>
      </w:r>
    </w:p>
    <w:p w14:paraId="00C07265" w14:textId="3A8562B5" w:rsidR="00BA4CF8" w:rsidRDefault="00BC6C10" w:rsidP="006A06D2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A288788" wp14:editId="14E08971">
            <wp:extent cx="4572000" cy="2600325"/>
            <wp:effectExtent l="0" t="0" r="0" b="0"/>
            <wp:docPr id="1500518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06DF29A-A6B4-5991-C4DD-FE954D662A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8866D4" w14:textId="11DCA203" w:rsidR="00BA4CF8" w:rsidRPr="006A06D2" w:rsidRDefault="00BC6C10">
      <w:pPr>
        <w:rPr>
          <w:sz w:val="20"/>
          <w:szCs w:val="20"/>
          <w:lang w:val="en-US"/>
        </w:rPr>
      </w:pPr>
      <w:r w:rsidRPr="006A06D2">
        <w:rPr>
          <w:b/>
          <w:bCs/>
          <w:sz w:val="20"/>
          <w:szCs w:val="20"/>
          <w:lang w:val="en-US"/>
        </w:rPr>
        <w:t>Figure1</w:t>
      </w:r>
      <w:r w:rsidRPr="006A06D2">
        <w:rPr>
          <w:sz w:val="20"/>
          <w:szCs w:val="20"/>
          <w:lang w:val="en-US"/>
        </w:rPr>
        <w:t>. Numbers of pedigree registered male Texel animals genotyped and proportion of</w:t>
      </w:r>
      <w:r w:rsidR="00F71465">
        <w:rPr>
          <w:sz w:val="20"/>
          <w:szCs w:val="20"/>
          <w:lang w:val="en-US"/>
        </w:rPr>
        <w:t xml:space="preserve"> registered males that are </w:t>
      </w:r>
      <w:r w:rsidRPr="006A06D2">
        <w:rPr>
          <w:sz w:val="20"/>
          <w:szCs w:val="20"/>
          <w:lang w:val="en-US"/>
        </w:rPr>
        <w:t>Microphthalmia carriers</w:t>
      </w:r>
      <w:r w:rsidR="00F71465">
        <w:rPr>
          <w:sz w:val="20"/>
          <w:szCs w:val="20"/>
          <w:lang w:val="en-US"/>
        </w:rPr>
        <w:t>,</w:t>
      </w:r>
      <w:r w:rsidRPr="006A06D2">
        <w:rPr>
          <w:sz w:val="20"/>
          <w:szCs w:val="20"/>
          <w:lang w:val="en-US"/>
        </w:rPr>
        <w:t xml:space="preserve"> by year of birth.</w:t>
      </w:r>
      <w:r w:rsidR="00F71465">
        <w:rPr>
          <w:sz w:val="20"/>
          <w:szCs w:val="20"/>
          <w:lang w:val="en-US"/>
        </w:rPr>
        <w:t xml:space="preserve"> </w:t>
      </w:r>
    </w:p>
    <w:p w14:paraId="1A5989C1" w14:textId="77777777" w:rsidR="00315F13" w:rsidRDefault="00315F13">
      <w:pPr>
        <w:rPr>
          <w:b/>
          <w:bCs/>
          <w:lang w:val="en-US"/>
        </w:rPr>
      </w:pPr>
    </w:p>
    <w:p w14:paraId="68E461EC" w14:textId="25005F6C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484FEE7B" w14:textId="3C27C09A" w:rsidR="00F71465" w:rsidRDefault="00FE45BB">
      <w:pPr>
        <w:rPr>
          <w:lang w:val="en-US"/>
        </w:rPr>
      </w:pPr>
      <w:r w:rsidRPr="00FE45BB">
        <w:rPr>
          <w:lang w:val="en-US"/>
        </w:rPr>
        <w:t>The</w:t>
      </w:r>
      <w:r w:rsidR="00746441">
        <w:rPr>
          <w:lang w:val="en-US"/>
        </w:rPr>
        <w:t xml:space="preserve"> </w:t>
      </w:r>
      <w:r w:rsidR="00F71465">
        <w:rPr>
          <w:lang w:val="en-US"/>
        </w:rPr>
        <w:t>B</w:t>
      </w:r>
      <w:r w:rsidR="00746441">
        <w:rPr>
          <w:lang w:val="en-US"/>
        </w:rPr>
        <w:t xml:space="preserve">reed </w:t>
      </w:r>
      <w:r w:rsidR="00F71465">
        <w:rPr>
          <w:lang w:val="en-US"/>
        </w:rPr>
        <w:t>S</w:t>
      </w:r>
      <w:r w:rsidR="00746441">
        <w:rPr>
          <w:lang w:val="en-US"/>
        </w:rPr>
        <w:t xml:space="preserve">ociety has </w:t>
      </w:r>
      <w:r w:rsidR="006A06D2">
        <w:rPr>
          <w:lang w:val="en-US"/>
        </w:rPr>
        <w:t xml:space="preserve">identified </w:t>
      </w:r>
      <w:r w:rsidR="006A06D2" w:rsidRPr="00FE45BB">
        <w:rPr>
          <w:lang w:val="en-US"/>
        </w:rPr>
        <w:t>an</w:t>
      </w:r>
      <w:r w:rsidR="00746441">
        <w:rPr>
          <w:lang w:val="en-US"/>
        </w:rPr>
        <w:t xml:space="preserve"> </w:t>
      </w:r>
      <w:r w:rsidRPr="00FE45BB">
        <w:rPr>
          <w:lang w:val="en-US"/>
        </w:rPr>
        <w:t xml:space="preserve">increase in the proportion of </w:t>
      </w:r>
      <w:r w:rsidR="00F71465">
        <w:rPr>
          <w:lang w:val="en-US"/>
        </w:rPr>
        <w:t xml:space="preserve">Microphthalmia </w:t>
      </w:r>
      <w:r w:rsidRPr="00FE45BB">
        <w:rPr>
          <w:lang w:val="en-US"/>
        </w:rPr>
        <w:t>carrier animals in the pedigree</w:t>
      </w:r>
      <w:r w:rsidR="00F71465">
        <w:rPr>
          <w:lang w:val="en-US"/>
        </w:rPr>
        <w:t xml:space="preserve"> registered male</w:t>
      </w:r>
      <w:r>
        <w:rPr>
          <w:lang w:val="en-US"/>
        </w:rPr>
        <w:t xml:space="preserve"> Texel </w:t>
      </w:r>
      <w:r w:rsidRPr="00FE45BB">
        <w:rPr>
          <w:lang w:val="en-US"/>
        </w:rPr>
        <w:t>population</w:t>
      </w:r>
      <w:r w:rsidR="00746441">
        <w:rPr>
          <w:lang w:val="en-US"/>
        </w:rPr>
        <w:t xml:space="preserve">. </w:t>
      </w:r>
      <w:r w:rsidR="00F71465">
        <w:rPr>
          <w:lang w:val="en-US"/>
        </w:rPr>
        <w:t>T</w:t>
      </w:r>
      <w:r w:rsidR="00746441">
        <w:rPr>
          <w:lang w:val="en-US"/>
        </w:rPr>
        <w:t xml:space="preserve">his </w:t>
      </w:r>
      <w:r w:rsidR="006A06D2">
        <w:rPr>
          <w:lang w:val="en-US"/>
        </w:rPr>
        <w:t xml:space="preserve">was </w:t>
      </w:r>
      <w:r w:rsidR="006A06D2" w:rsidRPr="00FE45BB">
        <w:rPr>
          <w:lang w:val="en-US"/>
        </w:rPr>
        <w:t>precipitated</w:t>
      </w:r>
      <w:r w:rsidRPr="00FE45BB">
        <w:rPr>
          <w:lang w:val="en-US"/>
        </w:rPr>
        <w:t xml:space="preserve"> by the widespread use of a </w:t>
      </w:r>
      <w:r w:rsidR="00F71465">
        <w:rPr>
          <w:lang w:val="en-US"/>
        </w:rPr>
        <w:t>small number of</w:t>
      </w:r>
      <w:r w:rsidR="00F71465" w:rsidRPr="00FE45BB">
        <w:rPr>
          <w:lang w:val="en-US"/>
        </w:rPr>
        <w:t xml:space="preserve"> </w:t>
      </w:r>
      <w:r w:rsidR="00F71465">
        <w:rPr>
          <w:lang w:val="en-US"/>
        </w:rPr>
        <w:t>influential</w:t>
      </w:r>
      <w:r w:rsidR="00F71465" w:rsidRPr="00FE45BB">
        <w:rPr>
          <w:lang w:val="en-US"/>
        </w:rPr>
        <w:t xml:space="preserve"> </w:t>
      </w:r>
      <w:proofErr w:type="gramStart"/>
      <w:r w:rsidRPr="00FE45BB">
        <w:rPr>
          <w:lang w:val="en-US"/>
        </w:rPr>
        <w:t>sires</w:t>
      </w:r>
      <w:proofErr w:type="gramEnd"/>
      <w:r w:rsidRPr="00FE45BB">
        <w:rPr>
          <w:lang w:val="en-US"/>
        </w:rPr>
        <w:t xml:space="preserve"> that were carriers. </w:t>
      </w:r>
    </w:p>
    <w:p w14:paraId="4EEEBC64" w14:textId="51469192" w:rsidR="00B6523A" w:rsidRPr="00B14F5D" w:rsidRDefault="00F71465" w:rsidP="00B6523A">
      <w:pPr>
        <w:rPr>
          <w:lang w:val="en-US"/>
        </w:rPr>
      </w:pPr>
      <w:r w:rsidRPr="00F71465">
        <w:rPr>
          <w:lang w:val="en-US"/>
        </w:rPr>
        <w:t xml:space="preserve">Routine genotyping of all registered sires </w:t>
      </w:r>
      <w:r>
        <w:rPr>
          <w:lang w:val="en-US"/>
        </w:rPr>
        <w:t>(approx. 1400-1500</w:t>
      </w:r>
      <w:r w:rsidRPr="00F71465">
        <w:rPr>
          <w:lang w:val="en-US"/>
        </w:rPr>
        <w:t xml:space="preserve"> per year</w:t>
      </w:r>
      <w:r>
        <w:rPr>
          <w:lang w:val="en-US"/>
        </w:rPr>
        <w:t xml:space="preserve">) </w:t>
      </w:r>
      <w:r w:rsidR="009B4506">
        <w:rPr>
          <w:lang w:val="en-US"/>
        </w:rPr>
        <w:t xml:space="preserve">has allowed the </w:t>
      </w:r>
      <w:r w:rsidR="00746441">
        <w:rPr>
          <w:lang w:val="en-US"/>
        </w:rPr>
        <w:t>Breed Society</w:t>
      </w:r>
      <w:r>
        <w:rPr>
          <w:lang w:val="en-US"/>
        </w:rPr>
        <w:t xml:space="preserve"> to </w:t>
      </w:r>
      <w:r w:rsidR="009B4506">
        <w:rPr>
          <w:lang w:val="en-US"/>
        </w:rPr>
        <w:t>rapid</w:t>
      </w:r>
      <w:r>
        <w:rPr>
          <w:lang w:val="en-US"/>
        </w:rPr>
        <w:t>ly</w:t>
      </w:r>
      <w:r w:rsidR="009B4506">
        <w:rPr>
          <w:lang w:val="en-US"/>
        </w:rPr>
        <w:t xml:space="preserve"> identif</w:t>
      </w:r>
      <w:r>
        <w:rPr>
          <w:lang w:val="en-US"/>
        </w:rPr>
        <w:t xml:space="preserve">y </w:t>
      </w:r>
      <w:r w:rsidR="009B4506">
        <w:rPr>
          <w:lang w:val="en-US"/>
        </w:rPr>
        <w:t>this trend</w:t>
      </w:r>
      <w:r w:rsidR="00B6523A">
        <w:rPr>
          <w:lang w:val="en-US"/>
        </w:rPr>
        <w:t xml:space="preserve">. </w:t>
      </w:r>
      <w:r w:rsidR="004E2E73">
        <w:rPr>
          <w:lang w:val="en-US"/>
        </w:rPr>
        <w:t xml:space="preserve">This has also led to the development of reporting systems that inform pedigree breeders of the status of their animals within the confines of </w:t>
      </w:r>
      <w:proofErr w:type="spellStart"/>
      <w:r w:rsidR="004E2E73">
        <w:rPr>
          <w:lang w:val="en-US"/>
        </w:rPr>
        <w:t>Zootechnological</w:t>
      </w:r>
      <w:proofErr w:type="spellEnd"/>
      <w:r w:rsidR="004E2E73">
        <w:rPr>
          <w:lang w:val="en-US"/>
        </w:rPr>
        <w:t xml:space="preserve"> legislation. T</w:t>
      </w:r>
      <w:r w:rsidR="00B6523A">
        <w:rPr>
          <w:lang w:val="en-US"/>
        </w:rPr>
        <w:t>he breed’s online public database has been adapted to publish all genotype information available. This enables pedigree breeders and commercial producers</w:t>
      </w:r>
      <w:r w:rsidR="004E2E73">
        <w:rPr>
          <w:lang w:val="en-US"/>
        </w:rPr>
        <w:t xml:space="preserve"> </w:t>
      </w:r>
      <w:r w:rsidR="00B6523A">
        <w:rPr>
          <w:lang w:val="en-US"/>
        </w:rPr>
        <w:t xml:space="preserve">to make informed breeding decisions on the use of </w:t>
      </w:r>
      <w:r w:rsidR="004E2E73">
        <w:rPr>
          <w:lang w:val="en-US"/>
        </w:rPr>
        <w:t>registered and genotyped pedigree animals</w:t>
      </w:r>
      <w:r w:rsidR="00B6523A">
        <w:rPr>
          <w:lang w:val="en-US"/>
        </w:rPr>
        <w:t xml:space="preserve">. </w:t>
      </w:r>
    </w:p>
    <w:p w14:paraId="0EC414BD" w14:textId="3770A10C" w:rsidR="009B4506" w:rsidRDefault="009B4506">
      <w:pPr>
        <w:rPr>
          <w:lang w:val="en-US"/>
        </w:rPr>
      </w:pPr>
      <w:r>
        <w:rPr>
          <w:lang w:val="en-US"/>
        </w:rPr>
        <w:t xml:space="preserve">Breeders are now more aware of the condition than previously and are more informed about their animals and those they may consider purchasing. </w:t>
      </w:r>
      <w:r w:rsidR="00E17901">
        <w:rPr>
          <w:lang w:val="en-US"/>
        </w:rPr>
        <w:t xml:space="preserve">This </w:t>
      </w:r>
      <w:r w:rsidR="00E17901" w:rsidRPr="00E17901">
        <w:rPr>
          <w:lang w:val="en-US"/>
        </w:rPr>
        <w:t xml:space="preserve">also supports a change of </w:t>
      </w:r>
      <w:proofErr w:type="spellStart"/>
      <w:r w:rsidR="00E17901" w:rsidRPr="00E17901">
        <w:rPr>
          <w:lang w:val="en-US"/>
        </w:rPr>
        <w:t>behaviour</w:t>
      </w:r>
      <w:proofErr w:type="spellEnd"/>
      <w:r w:rsidR="00E17901" w:rsidRPr="00E17901">
        <w:rPr>
          <w:lang w:val="en-US"/>
        </w:rPr>
        <w:t xml:space="preserve"> by breeders influencing the reduction of carrier animals in the male</w:t>
      </w:r>
      <w:r w:rsidR="00E17901">
        <w:rPr>
          <w:lang w:val="en-US"/>
        </w:rPr>
        <w:t>,</w:t>
      </w:r>
      <w:r w:rsidR="00E17901" w:rsidRPr="00E17901">
        <w:rPr>
          <w:lang w:val="en-US"/>
        </w:rPr>
        <w:t xml:space="preserve"> and potentially the female</w:t>
      </w:r>
      <w:r w:rsidR="00E17901">
        <w:rPr>
          <w:lang w:val="en-US"/>
        </w:rPr>
        <w:t>,</w:t>
      </w:r>
      <w:r w:rsidR="00E17901" w:rsidRPr="00E17901">
        <w:rPr>
          <w:lang w:val="en-US"/>
        </w:rPr>
        <w:t xml:space="preserve"> population.</w:t>
      </w:r>
    </w:p>
    <w:p w14:paraId="1764AE5D" w14:textId="571A7183" w:rsidR="009B4506" w:rsidRPr="00FE45BB" w:rsidRDefault="009B4506">
      <w:pPr>
        <w:rPr>
          <w:lang w:val="en-US"/>
        </w:rPr>
      </w:pPr>
      <w:r>
        <w:rPr>
          <w:lang w:val="en-US"/>
        </w:rPr>
        <w:t xml:space="preserve">The identification of carrier animals </w:t>
      </w:r>
      <w:r w:rsidR="00746441">
        <w:rPr>
          <w:lang w:val="en-US"/>
        </w:rPr>
        <w:t xml:space="preserve">for this deleterious gene </w:t>
      </w:r>
      <w:r>
        <w:rPr>
          <w:lang w:val="en-US"/>
        </w:rPr>
        <w:t xml:space="preserve">and the facilitation of improved </w:t>
      </w:r>
      <w:r w:rsidR="00746441">
        <w:rPr>
          <w:lang w:val="en-US"/>
        </w:rPr>
        <w:t xml:space="preserve">knowledge </w:t>
      </w:r>
      <w:r w:rsidR="00B6523A">
        <w:rPr>
          <w:lang w:val="en-US"/>
        </w:rPr>
        <w:t>transfer</w:t>
      </w:r>
      <w:r w:rsidR="00746441">
        <w:rPr>
          <w:lang w:val="en-US"/>
        </w:rPr>
        <w:t xml:space="preserve"> by the Breed Society supports a </w:t>
      </w:r>
      <w:r w:rsidR="00B6523A">
        <w:rPr>
          <w:lang w:val="en-US"/>
        </w:rPr>
        <w:t>responsible</w:t>
      </w:r>
      <w:r w:rsidR="00746441">
        <w:rPr>
          <w:lang w:val="en-US"/>
        </w:rPr>
        <w:t xml:space="preserve"> approach, increasing health and welfare </w:t>
      </w:r>
      <w:r w:rsidR="00B6523A">
        <w:rPr>
          <w:lang w:val="en-US"/>
        </w:rPr>
        <w:t>in the pedigree population</w:t>
      </w:r>
      <w:r w:rsidR="00746441">
        <w:rPr>
          <w:lang w:val="en-US"/>
        </w:rPr>
        <w:t xml:space="preserve">. </w:t>
      </w:r>
      <w:r w:rsidR="006A06D2">
        <w:rPr>
          <w:lang w:val="en-US"/>
        </w:rPr>
        <w:t>Improving animal</w:t>
      </w:r>
      <w:r>
        <w:rPr>
          <w:lang w:val="en-US"/>
        </w:rPr>
        <w:t xml:space="preserve"> health </w:t>
      </w:r>
      <w:r w:rsidR="00746441">
        <w:rPr>
          <w:lang w:val="en-US"/>
        </w:rPr>
        <w:t xml:space="preserve">is a </w:t>
      </w:r>
      <w:r w:rsidR="00B6523A">
        <w:rPr>
          <w:lang w:val="en-US"/>
        </w:rPr>
        <w:t>prerequisite</w:t>
      </w:r>
      <w:r w:rsidR="00746441">
        <w:rPr>
          <w:lang w:val="en-US"/>
        </w:rPr>
        <w:t xml:space="preserve"> to sound </w:t>
      </w:r>
      <w:r w:rsidR="00B6523A">
        <w:rPr>
          <w:lang w:val="en-US"/>
        </w:rPr>
        <w:t>animal husbandry</w:t>
      </w:r>
      <w:r w:rsidR="00746441">
        <w:rPr>
          <w:lang w:val="en-US"/>
        </w:rPr>
        <w:t xml:space="preserve">, </w:t>
      </w:r>
      <w:r w:rsidR="00B6523A">
        <w:rPr>
          <w:lang w:val="en-US"/>
        </w:rPr>
        <w:t xml:space="preserve">with positive knock-on effects on </w:t>
      </w:r>
      <w:r w:rsidR="00746441">
        <w:rPr>
          <w:lang w:val="en-US"/>
        </w:rPr>
        <w:t>productivity and efficiency. I</w:t>
      </w:r>
      <w:r>
        <w:rPr>
          <w:lang w:val="en-US"/>
        </w:rPr>
        <w:t xml:space="preserve">t is </w:t>
      </w:r>
      <w:r w:rsidR="00746441">
        <w:rPr>
          <w:lang w:val="en-US"/>
        </w:rPr>
        <w:t xml:space="preserve">now more </w:t>
      </w:r>
      <w:r>
        <w:rPr>
          <w:lang w:val="en-US"/>
        </w:rPr>
        <w:t>likely that fewer lambs will be born blind than would have occurred without this intervention</w:t>
      </w:r>
      <w:r w:rsidR="00B6523A">
        <w:rPr>
          <w:lang w:val="en-US"/>
        </w:rPr>
        <w:t xml:space="preserve">, resulting in </w:t>
      </w:r>
      <w:r w:rsidR="00BA6449">
        <w:rPr>
          <w:lang w:val="en-US"/>
        </w:rPr>
        <w:t xml:space="preserve">lower levels of </w:t>
      </w:r>
      <w:r w:rsidR="00B6523A">
        <w:rPr>
          <w:lang w:val="en-US"/>
        </w:rPr>
        <w:t xml:space="preserve">avoidable </w:t>
      </w:r>
      <w:r w:rsidR="00BA6449">
        <w:rPr>
          <w:lang w:val="en-US"/>
        </w:rPr>
        <w:t xml:space="preserve">lamb losses. </w:t>
      </w:r>
    </w:p>
    <w:p w14:paraId="335A85A0" w14:textId="77777777" w:rsidR="00FE45BB" w:rsidRPr="00FE45BB" w:rsidRDefault="00FE45BB">
      <w:pPr>
        <w:rPr>
          <w:lang w:val="en-US"/>
        </w:rPr>
      </w:pPr>
    </w:p>
    <w:p w14:paraId="0ADB320F" w14:textId="5E6F53F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References</w:t>
      </w:r>
    </w:p>
    <w:p w14:paraId="6EFB473D" w14:textId="239F0072" w:rsidR="00525A39" w:rsidRDefault="00525A39">
      <w:pPr>
        <w:rPr>
          <w:lang w:val="en-US"/>
        </w:rPr>
      </w:pPr>
      <w:r w:rsidRPr="00525A39">
        <w:rPr>
          <w:lang w:val="en-US"/>
        </w:rPr>
        <w:t>Becker D</w:t>
      </w:r>
      <w:r>
        <w:rPr>
          <w:lang w:val="en-US"/>
        </w:rPr>
        <w:t>.</w:t>
      </w:r>
      <w:r w:rsidRPr="00525A39">
        <w:rPr>
          <w:lang w:val="en-US"/>
        </w:rPr>
        <w:t>, Tetens J</w:t>
      </w:r>
      <w:r>
        <w:rPr>
          <w:lang w:val="en-US"/>
        </w:rPr>
        <w:t>.</w:t>
      </w:r>
      <w:r w:rsidRPr="00525A39">
        <w:rPr>
          <w:lang w:val="en-US"/>
        </w:rPr>
        <w:t>, Brunner A</w:t>
      </w:r>
      <w:r>
        <w:rPr>
          <w:lang w:val="en-US"/>
        </w:rPr>
        <w:t>.</w:t>
      </w:r>
      <w:r w:rsidRPr="00525A39">
        <w:rPr>
          <w:lang w:val="en-US"/>
        </w:rPr>
        <w:t xml:space="preserve">, </w:t>
      </w:r>
      <w:proofErr w:type="spellStart"/>
      <w:r w:rsidRPr="00525A39">
        <w:rPr>
          <w:lang w:val="en-US"/>
        </w:rPr>
        <w:t>Bürstel</w:t>
      </w:r>
      <w:proofErr w:type="spellEnd"/>
      <w:r w:rsidRPr="00525A39">
        <w:rPr>
          <w:lang w:val="en-US"/>
        </w:rPr>
        <w:t xml:space="preserve"> D</w:t>
      </w:r>
      <w:r>
        <w:rPr>
          <w:lang w:val="en-US"/>
        </w:rPr>
        <w:t>.</w:t>
      </w:r>
      <w:r w:rsidRPr="00525A39">
        <w:rPr>
          <w:lang w:val="en-US"/>
        </w:rPr>
        <w:t>, Ganter M</w:t>
      </w:r>
      <w:r>
        <w:rPr>
          <w:lang w:val="en-US"/>
        </w:rPr>
        <w:t>.</w:t>
      </w:r>
      <w:r w:rsidRPr="00525A39">
        <w:rPr>
          <w:lang w:val="en-US"/>
        </w:rPr>
        <w:t>, et al. (2010)</w:t>
      </w:r>
      <w:r>
        <w:rPr>
          <w:lang w:val="en-US"/>
        </w:rPr>
        <w:t xml:space="preserve">. </w:t>
      </w:r>
      <w:r w:rsidRPr="00525A39">
        <w:rPr>
          <w:lang w:val="en-US"/>
        </w:rPr>
        <w:t>PLOS ONE 5(1)</w:t>
      </w:r>
      <w:r>
        <w:rPr>
          <w:lang w:val="en-US"/>
        </w:rPr>
        <w:t xml:space="preserve">, </w:t>
      </w:r>
      <w:r w:rsidRPr="00525A39">
        <w:rPr>
          <w:lang w:val="en-US"/>
        </w:rPr>
        <w:t xml:space="preserve">e8689. </w:t>
      </w:r>
    </w:p>
    <w:p w14:paraId="40AF0924" w14:textId="2A9E61F0" w:rsidR="00525A39" w:rsidRDefault="00525A39" w:rsidP="00525A39">
      <w:pPr>
        <w:rPr>
          <w:lang w:val="en-US"/>
        </w:rPr>
      </w:pPr>
      <w:r w:rsidRPr="00525A39">
        <w:rPr>
          <w:lang w:val="en-US"/>
        </w:rPr>
        <w:t>Gonçalves</w:t>
      </w:r>
      <w:r>
        <w:rPr>
          <w:lang w:val="en-US"/>
        </w:rPr>
        <w:t>, M.A.</w:t>
      </w:r>
      <w:r w:rsidRPr="00525A39">
        <w:rPr>
          <w:lang w:val="en-US"/>
        </w:rPr>
        <w:t xml:space="preserve">, Pereira, </w:t>
      </w:r>
      <w:r>
        <w:rPr>
          <w:lang w:val="en-US"/>
        </w:rPr>
        <w:t xml:space="preserve">P.R., </w:t>
      </w:r>
      <w:r w:rsidRPr="00525A39">
        <w:rPr>
          <w:lang w:val="en-US"/>
        </w:rPr>
        <w:t xml:space="preserve">da Cruz, </w:t>
      </w:r>
      <w:r>
        <w:rPr>
          <w:lang w:val="en-US"/>
        </w:rPr>
        <w:t xml:space="preserve">R. A. S., </w:t>
      </w:r>
      <w:proofErr w:type="spellStart"/>
      <w:r w:rsidRPr="00525A39">
        <w:rPr>
          <w:lang w:val="en-US"/>
        </w:rPr>
        <w:t>Panziera</w:t>
      </w:r>
      <w:proofErr w:type="spellEnd"/>
      <w:r w:rsidRPr="00525A39">
        <w:rPr>
          <w:lang w:val="en-US"/>
        </w:rPr>
        <w:t xml:space="preserve">, </w:t>
      </w:r>
      <w:r>
        <w:rPr>
          <w:lang w:val="en-US"/>
        </w:rPr>
        <w:t xml:space="preserve">W., </w:t>
      </w:r>
      <w:r w:rsidRPr="00525A39">
        <w:rPr>
          <w:lang w:val="en-US"/>
        </w:rPr>
        <w:t xml:space="preserve">de Andrade, </w:t>
      </w:r>
      <w:r>
        <w:rPr>
          <w:lang w:val="en-US"/>
        </w:rPr>
        <w:t xml:space="preserve">D. G. A., et al. (2018) </w:t>
      </w:r>
      <w:r w:rsidRPr="00525A39">
        <w:rPr>
          <w:lang w:val="en-US"/>
        </w:rPr>
        <w:t>Small Ruminant Research,</w:t>
      </w:r>
      <w:r>
        <w:rPr>
          <w:lang w:val="en-US"/>
        </w:rPr>
        <w:t xml:space="preserve"> </w:t>
      </w:r>
      <w:r w:rsidRPr="00525A39">
        <w:rPr>
          <w:lang w:val="en-US"/>
        </w:rPr>
        <w:t>160</w:t>
      </w:r>
      <w:r>
        <w:rPr>
          <w:lang w:val="en-US"/>
        </w:rPr>
        <w:t xml:space="preserve">, </w:t>
      </w:r>
      <w:r w:rsidRPr="00525A39">
        <w:rPr>
          <w:lang w:val="en-US"/>
        </w:rPr>
        <w:t>1-4</w:t>
      </w:r>
      <w:r>
        <w:rPr>
          <w:lang w:val="en-US"/>
        </w:rPr>
        <w:t>.</w:t>
      </w:r>
    </w:p>
    <w:p w14:paraId="4B0BB931" w14:textId="4BED8BC9" w:rsidR="00746441" w:rsidRPr="00525A39" w:rsidRDefault="00746441" w:rsidP="004E2E73">
      <w:pPr>
        <w:rPr>
          <w:lang w:val="en-US"/>
        </w:rPr>
      </w:pPr>
    </w:p>
    <w:sectPr w:rsidR="00746441" w:rsidRPr="00525A39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01FE1"/>
    <w:rsid w:val="00010AAF"/>
    <w:rsid w:val="00143784"/>
    <w:rsid w:val="001506C3"/>
    <w:rsid w:val="00261B9C"/>
    <w:rsid w:val="00315F13"/>
    <w:rsid w:val="00383DCD"/>
    <w:rsid w:val="00397193"/>
    <w:rsid w:val="003E2467"/>
    <w:rsid w:val="004277B5"/>
    <w:rsid w:val="004A3BFD"/>
    <w:rsid w:val="004E2E73"/>
    <w:rsid w:val="00525A39"/>
    <w:rsid w:val="005C3985"/>
    <w:rsid w:val="00625B14"/>
    <w:rsid w:val="00656A99"/>
    <w:rsid w:val="006A06D2"/>
    <w:rsid w:val="006E17DF"/>
    <w:rsid w:val="00746441"/>
    <w:rsid w:val="00794CD8"/>
    <w:rsid w:val="007B30E3"/>
    <w:rsid w:val="007B6431"/>
    <w:rsid w:val="007F4970"/>
    <w:rsid w:val="007F7346"/>
    <w:rsid w:val="008749F9"/>
    <w:rsid w:val="00875B97"/>
    <w:rsid w:val="00933E8C"/>
    <w:rsid w:val="00946A4C"/>
    <w:rsid w:val="009919CB"/>
    <w:rsid w:val="009B4506"/>
    <w:rsid w:val="00A912F0"/>
    <w:rsid w:val="00AD5C95"/>
    <w:rsid w:val="00AF3541"/>
    <w:rsid w:val="00B14F5D"/>
    <w:rsid w:val="00B52E4E"/>
    <w:rsid w:val="00B6523A"/>
    <w:rsid w:val="00BA4CF8"/>
    <w:rsid w:val="00BA58E3"/>
    <w:rsid w:val="00BA6449"/>
    <w:rsid w:val="00BC6C10"/>
    <w:rsid w:val="00C53AE2"/>
    <w:rsid w:val="00C95030"/>
    <w:rsid w:val="00CA2ABB"/>
    <w:rsid w:val="00DD21B5"/>
    <w:rsid w:val="00E17901"/>
    <w:rsid w:val="00E25797"/>
    <w:rsid w:val="00E27EE6"/>
    <w:rsid w:val="00EB3A5C"/>
    <w:rsid w:val="00EC21D8"/>
    <w:rsid w:val="00F654B6"/>
    <w:rsid w:val="00F7146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464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6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texelsheep.sharepoint.com/Shared%20Documents/Research%20projects/Conferences/BSASGenotypeSummaryData_202411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34838145231846"/>
          <c:y val="5.0925925925925923E-2"/>
          <c:w val="0.71261570428696408"/>
          <c:h val="0.780910615339749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[BSASGenotypeSummaryData_20241112.xlsx]Sheet2!$K$60</c:f>
              <c:strCache>
                <c:ptCount val="1"/>
                <c:pt idx="0">
                  <c:v>Resistant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cat>
            <c:numRef>
              <c:f>[BSASGenotypeSummaryData_20241112.xlsx]Sheet2!$J$61:$J$67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[BSASGenotypeSummaryData_20241112.xlsx]Sheet2!$K$61:$K$67</c:f>
              <c:numCache>
                <c:formatCode>General</c:formatCode>
                <c:ptCount val="7"/>
                <c:pt idx="0">
                  <c:v>221</c:v>
                </c:pt>
                <c:pt idx="1">
                  <c:v>466</c:v>
                </c:pt>
                <c:pt idx="2">
                  <c:v>834</c:v>
                </c:pt>
                <c:pt idx="3">
                  <c:v>1395</c:v>
                </c:pt>
                <c:pt idx="4">
                  <c:v>1278</c:v>
                </c:pt>
                <c:pt idx="5">
                  <c:v>1005</c:v>
                </c:pt>
                <c:pt idx="6">
                  <c:v>380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9D-4A21-83C6-AD997B6DA7E7}"/>
            </c:ext>
          </c:extLst>
        </c:ser>
        <c:ser>
          <c:idx val="1"/>
          <c:order val="1"/>
          <c:tx>
            <c:strRef>
              <c:f>[BSASGenotypeSummaryData_20241112.xlsx]Sheet2!$L$60</c:f>
              <c:strCache>
                <c:ptCount val="1"/>
                <c:pt idx="0">
                  <c:v>Carrier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numRef>
              <c:f>[BSASGenotypeSummaryData_20241112.xlsx]Sheet2!$J$61:$J$67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[BSASGenotypeSummaryData_20241112.xlsx]Sheet2!$L$61:$L$67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34</c:v>
                </c:pt>
                <c:pt idx="4">
                  <c:v>36</c:v>
                </c:pt>
                <c:pt idx="5">
                  <c:v>34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9D-4A21-83C6-AD997B6DA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49226768"/>
        <c:axId val="1449227728"/>
      </c:barChart>
      <c:lineChart>
        <c:grouping val="standard"/>
        <c:varyColors val="0"/>
        <c:ser>
          <c:idx val="3"/>
          <c:order val="2"/>
          <c:tx>
            <c:strRef>
              <c:f>[BSASGenotypeSummaryData_20241112.xlsx]Sheet2!$N$60</c:f>
              <c:strCache>
                <c:ptCount val="1"/>
                <c:pt idx="0">
                  <c:v>% Carrier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[BSASGenotypeSummaryData_20241112.xlsx]Sheet2!$J$61:$J$67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[BSASGenotypeSummaryData_20241112.xlsx]Sheet2!$N$61:$N$67</c:f>
              <c:numCache>
                <c:formatCode>0.0</c:formatCode>
                <c:ptCount val="7"/>
                <c:pt idx="0">
                  <c:v>0.89686098654708524</c:v>
                </c:pt>
                <c:pt idx="1">
                  <c:v>1.0615711252653928</c:v>
                </c:pt>
                <c:pt idx="2">
                  <c:v>0.83234244946492275</c:v>
                </c:pt>
                <c:pt idx="3">
                  <c:v>2.3792862141357594</c:v>
                </c:pt>
                <c:pt idx="4">
                  <c:v>2.7397260273972601</c:v>
                </c:pt>
                <c:pt idx="5">
                  <c:v>3.2723772858517806</c:v>
                </c:pt>
                <c:pt idx="6">
                  <c:v>2.5641025641025639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9D-4A21-83C6-AD997B6DA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7383775"/>
        <c:axId val="677385215"/>
      </c:lineChart>
      <c:catAx>
        <c:axId val="1449226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r>
                  <a:rPr lang="en-US"/>
                  <a:t>Year of birth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ptos" panose="020B00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en-US"/>
          </a:p>
        </c:txPr>
        <c:crossAx val="1449227728"/>
        <c:crosses val="autoZero"/>
        <c:auto val="1"/>
        <c:lblAlgn val="ctr"/>
        <c:lblOffset val="100"/>
        <c:noMultiLvlLbl val="0"/>
      </c:catAx>
      <c:valAx>
        <c:axId val="14492277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r>
                  <a:rPr lang="en-US"/>
                  <a:t>Number of genotyped animals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ptos" panose="020B00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en-US"/>
          </a:p>
        </c:txPr>
        <c:crossAx val="1449226768"/>
        <c:crosses val="autoZero"/>
        <c:crossBetween val="between"/>
      </c:valAx>
      <c:valAx>
        <c:axId val="677385215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r>
                  <a:rPr lang="en-US"/>
                  <a:t>Percentage of carrier animals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ptos" panose="020B00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en-US"/>
          </a:p>
        </c:txPr>
        <c:crossAx val="677383775"/>
        <c:crosses val="max"/>
        <c:crossBetween val="between"/>
      </c:valAx>
      <c:catAx>
        <c:axId val="6773837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7738521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ptos" panose="020B00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EA30CC837DA4A88832A8B7852CAE5" ma:contentTypeVersion="18" ma:contentTypeDescription="Create a new document." ma:contentTypeScope="" ma:versionID="60313ba7b6be88340bfbbd9a5b845cc4">
  <xsd:schema xmlns:xsd="http://www.w3.org/2001/XMLSchema" xmlns:xs="http://www.w3.org/2001/XMLSchema" xmlns:p="http://schemas.microsoft.com/office/2006/metadata/properties" xmlns:ns2="2b06777f-4bc5-4011-9569-0f6f47b7e238" xmlns:ns3="f3ff9ed2-2cbc-4dc1-bf47-bfd2d04572a8" targetNamespace="http://schemas.microsoft.com/office/2006/metadata/properties" ma:root="true" ma:fieldsID="40d28befd8c865fcb4f6c6395e6f721b" ns2:_="" ns3:_="">
    <xsd:import namespace="2b06777f-4bc5-4011-9569-0f6f47b7e238"/>
    <xsd:import namespace="f3ff9ed2-2cbc-4dc1-bf47-bfd2d0457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6777f-4bc5-4011-9569-0f6f47b7e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f76013-ba36-460a-a773-7b8ae2a87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9ed2-2cbc-4dc1-bf47-bfd2d0457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38284457-1b02-4943-b741-3563ea9948a6}" ma:internalName="TaxCatchAll" ma:showField="CatchAllData" ma:web="f3ff9ed2-2cbc-4dc1-bf47-bfd2d0457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6777f-4bc5-4011-9569-0f6f47b7e238">
      <Terms xmlns="http://schemas.microsoft.com/office/infopath/2007/PartnerControls"/>
    </lcf76f155ced4ddcb4097134ff3c332f>
    <TaxCatchAll xmlns="f3ff9ed2-2cbc-4dc1-bf47-bfd2d04572a8" xsi:nil="true"/>
  </documentManagement>
</p:properties>
</file>

<file path=customXml/itemProps1.xml><?xml version="1.0" encoding="utf-8"?>
<ds:datastoreItem xmlns:ds="http://schemas.openxmlformats.org/officeDocument/2006/customXml" ds:itemID="{EAE56492-2E8A-40EE-9A26-29E511EE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6777f-4bc5-4011-9569-0f6f47b7e238"/>
    <ds:schemaRef ds:uri="f3ff9ed2-2cbc-4dc1-bf47-bfd2d0457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  <ds:schemaRef ds:uri="2b06777f-4bc5-4011-9569-0f6f47b7e238"/>
    <ds:schemaRef ds:uri="f3ff9ed2-2cbc-4dc1-bf47-bfd2d0457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EdSmith</cp:lastModifiedBy>
  <cp:revision>2</cp:revision>
  <dcterms:created xsi:type="dcterms:W3CDTF">2024-12-19T15:24:00Z</dcterms:created>
  <dcterms:modified xsi:type="dcterms:W3CDTF">2024-12-19T15:24:00Z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0x010100CC8EA30CC837DA4A88832A8B7852CAE5</vt:lpwstr>
  </property>
  <property fmtid="{D5CDD505-2E9C-101B-9397-08002B2CF9AE}" pid="3" name="MediaServiceImageTags">
    <vt:lpwstr/>
  </property>
</Properties>
</file>