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7C79B" w14:textId="2D62BF00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Application</w:t>
      </w:r>
    </w:p>
    <w:p w14:paraId="07C9ECB3" w14:textId="4B8A0B22" w:rsidR="007B30E3" w:rsidRDefault="00886A1C" w:rsidP="00D1215B">
      <w:pPr>
        <w:jc w:val="both"/>
        <w:rPr>
          <w:b/>
          <w:bCs/>
          <w:lang w:val="en-US"/>
        </w:rPr>
      </w:pPr>
      <w:r w:rsidRPr="00647339">
        <w:rPr>
          <w:rFonts w:ascii="Aptos" w:hAnsi="Aptos"/>
          <w:lang w:val="en-US"/>
        </w:rPr>
        <w:t>Understanding the biogenic and thermogenic carbon sources on a farm will assist in the transition towards net zero farming. It will help identify the areas of a farm that are reliant on the use of fossil fuels</w:t>
      </w:r>
      <w:r>
        <w:rPr>
          <w:rFonts w:ascii="Aptos" w:hAnsi="Aptos"/>
          <w:lang w:val="en-US"/>
        </w:rPr>
        <w:t xml:space="preserve"> (decarboni</w:t>
      </w:r>
      <w:r w:rsidR="00CE2818">
        <w:rPr>
          <w:rFonts w:ascii="Aptos" w:hAnsi="Aptos"/>
          <w:lang w:val="en-US"/>
        </w:rPr>
        <w:t>s</w:t>
      </w:r>
      <w:r>
        <w:rPr>
          <w:rFonts w:ascii="Aptos" w:hAnsi="Aptos"/>
          <w:lang w:val="en-US"/>
        </w:rPr>
        <w:t>ation)</w:t>
      </w:r>
      <w:r w:rsidRPr="00647339">
        <w:rPr>
          <w:rFonts w:ascii="Aptos" w:hAnsi="Aptos"/>
          <w:lang w:val="en-US"/>
        </w:rPr>
        <w:t>, whilst recogni</w:t>
      </w:r>
      <w:r w:rsidR="00616499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>ing the natural carbon sinks</w:t>
      </w:r>
      <w:r>
        <w:rPr>
          <w:rFonts w:ascii="Aptos" w:hAnsi="Aptos"/>
          <w:lang w:val="en-US"/>
        </w:rPr>
        <w:t xml:space="preserve"> (net zero </w:t>
      </w:r>
      <w:r w:rsidR="006B22EB">
        <w:rPr>
          <w:rFonts w:ascii="Aptos" w:hAnsi="Aptos"/>
          <w:lang w:val="en-US"/>
        </w:rPr>
        <w:t xml:space="preserve">carbon </w:t>
      </w:r>
      <w:r>
        <w:rPr>
          <w:rFonts w:ascii="Aptos" w:hAnsi="Aptos"/>
          <w:lang w:val="en-US"/>
        </w:rPr>
        <w:t>emissions)</w:t>
      </w:r>
      <w:r w:rsidRPr="00647339">
        <w:rPr>
          <w:rFonts w:ascii="Aptos" w:hAnsi="Aptos"/>
          <w:lang w:val="en-US"/>
        </w:rPr>
        <w:t>.</w:t>
      </w:r>
    </w:p>
    <w:p w14:paraId="19BCEA2A" w14:textId="77777777" w:rsidR="00886A1C" w:rsidRDefault="00886A1C">
      <w:pPr>
        <w:rPr>
          <w:b/>
          <w:bCs/>
          <w:lang w:val="en-US"/>
        </w:rPr>
      </w:pPr>
    </w:p>
    <w:p w14:paraId="5E9F33D1" w14:textId="78EF91E5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Introduction</w:t>
      </w:r>
    </w:p>
    <w:p w14:paraId="5B532DD2" w14:textId="0A262C70" w:rsidR="00F578FD" w:rsidRPr="00647339" w:rsidRDefault="00F578FD" w:rsidP="00F578FD">
      <w:pPr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C</w:t>
      </w:r>
      <w:r w:rsidRPr="00647339">
        <w:rPr>
          <w:rFonts w:ascii="Aptos" w:hAnsi="Aptos"/>
          <w:lang w:val="en-US"/>
        </w:rPr>
        <w:t xml:space="preserve">limate change </w:t>
      </w:r>
      <w:r w:rsidR="006B22EB">
        <w:rPr>
          <w:rFonts w:ascii="Aptos" w:hAnsi="Aptos"/>
          <w:lang w:val="en-US"/>
        </w:rPr>
        <w:t>has</w:t>
      </w:r>
      <w:r>
        <w:rPr>
          <w:rFonts w:ascii="Aptos" w:hAnsi="Aptos"/>
          <w:lang w:val="en-US"/>
        </w:rPr>
        <w:t xml:space="preserve"> a dramatic impact on </w:t>
      </w:r>
      <w:r w:rsidR="006B22EB">
        <w:rPr>
          <w:rFonts w:ascii="Aptos" w:hAnsi="Aptos"/>
          <w:lang w:val="en-US"/>
        </w:rPr>
        <w:t>many human activities</w:t>
      </w:r>
      <w:r w:rsidRPr="00647339">
        <w:rPr>
          <w:rFonts w:ascii="Aptos" w:hAnsi="Aptos"/>
          <w:lang w:val="en-US"/>
        </w:rPr>
        <w:t>, including agri-food</w:t>
      </w:r>
      <w:r>
        <w:rPr>
          <w:rFonts w:ascii="Aptos" w:hAnsi="Aptos"/>
          <w:lang w:val="en-US"/>
        </w:rPr>
        <w:t xml:space="preserve">, </w:t>
      </w:r>
      <w:r w:rsidR="008C0EB6">
        <w:rPr>
          <w:rFonts w:ascii="Aptos" w:hAnsi="Aptos"/>
          <w:lang w:val="en-US"/>
        </w:rPr>
        <w:t>resulting in</w:t>
      </w:r>
      <w:r>
        <w:rPr>
          <w:rFonts w:ascii="Aptos" w:hAnsi="Aptos"/>
          <w:lang w:val="en-US"/>
        </w:rPr>
        <w:t xml:space="preserve"> an urgent need to act</w:t>
      </w:r>
      <w:r w:rsidRPr="00647339">
        <w:rPr>
          <w:rFonts w:ascii="Aptos" w:hAnsi="Aptos"/>
          <w:lang w:val="en-US"/>
        </w:rPr>
        <w:t xml:space="preserve">. In a recent </w:t>
      </w:r>
      <w:r>
        <w:rPr>
          <w:rFonts w:ascii="Aptos" w:hAnsi="Aptos"/>
          <w:lang w:val="en-US"/>
        </w:rPr>
        <w:t>update of the planetary boundaries (</w:t>
      </w:r>
      <w:r w:rsidRPr="00647339">
        <w:rPr>
          <w:rFonts w:ascii="Aptos" w:hAnsi="Aptos"/>
          <w:lang w:val="en-US"/>
        </w:rPr>
        <w:t xml:space="preserve">Rockström </w:t>
      </w:r>
      <w:r w:rsidRPr="00647339">
        <w:rPr>
          <w:rFonts w:ascii="Aptos" w:hAnsi="Aptos"/>
          <w:i/>
          <w:iCs/>
          <w:lang w:val="en-US"/>
        </w:rPr>
        <w:t>et al.</w:t>
      </w:r>
      <w:r w:rsidRPr="00647339">
        <w:rPr>
          <w:rFonts w:ascii="Aptos" w:hAnsi="Aptos"/>
          <w:lang w:val="en-US"/>
        </w:rPr>
        <w:t xml:space="preserve"> 2023), it was identified that due to anthropogenic activity the planet’s natural homeostatic capacity has surpassed six of the nine defined boundaries. The release of anthropogenic greenhouse gas (GHG) </w:t>
      </w:r>
      <w:r w:rsidR="000A359F">
        <w:rPr>
          <w:rFonts w:ascii="Aptos" w:hAnsi="Aptos"/>
          <w:lang w:val="en-US"/>
        </w:rPr>
        <w:t xml:space="preserve">emissions </w:t>
      </w:r>
      <w:r w:rsidRPr="00647339">
        <w:rPr>
          <w:rFonts w:ascii="Aptos" w:hAnsi="Aptos"/>
          <w:lang w:val="en-US"/>
        </w:rPr>
        <w:t>has increased the levels of the three main GHG’s in the atmosphere: carbon dioxide (CO</w:t>
      </w:r>
      <w:r w:rsidRPr="00647339">
        <w:rPr>
          <w:rFonts w:ascii="Aptos" w:hAnsi="Aptos"/>
          <w:vertAlign w:val="subscript"/>
          <w:lang w:val="en-US"/>
        </w:rPr>
        <w:t>2</w:t>
      </w:r>
      <w:r w:rsidRPr="00647339">
        <w:rPr>
          <w:rFonts w:ascii="Aptos" w:hAnsi="Aptos"/>
          <w:lang w:val="en-US"/>
        </w:rPr>
        <w:t>), methane (CH</w:t>
      </w:r>
      <w:r w:rsidRPr="00647339">
        <w:rPr>
          <w:rFonts w:ascii="Aptos" w:hAnsi="Aptos"/>
          <w:vertAlign w:val="subscript"/>
          <w:lang w:val="en-US"/>
        </w:rPr>
        <w:t>4</w:t>
      </w:r>
      <w:r w:rsidRPr="00647339">
        <w:rPr>
          <w:rFonts w:ascii="Aptos" w:hAnsi="Aptos"/>
          <w:lang w:val="en-US"/>
        </w:rPr>
        <w:t>), and nitrous oxide (N</w:t>
      </w:r>
      <w:r w:rsidRPr="00647339">
        <w:rPr>
          <w:rFonts w:ascii="Aptos" w:hAnsi="Aptos"/>
          <w:vertAlign w:val="subscript"/>
          <w:lang w:val="en-US"/>
        </w:rPr>
        <w:t>2</w:t>
      </w:r>
      <w:r w:rsidRPr="00647339">
        <w:rPr>
          <w:rFonts w:ascii="Aptos" w:hAnsi="Aptos"/>
          <w:lang w:val="en-US"/>
        </w:rPr>
        <w:t>O)</w:t>
      </w:r>
      <w:r w:rsidR="0055731F">
        <w:rPr>
          <w:rFonts w:ascii="Aptos" w:hAnsi="Aptos"/>
          <w:lang w:val="en-US"/>
        </w:rPr>
        <w:t>;</w:t>
      </w:r>
      <w:r>
        <w:rPr>
          <w:rFonts w:ascii="Aptos" w:hAnsi="Aptos"/>
          <w:lang w:val="en-US"/>
        </w:rPr>
        <w:t xml:space="preserve"> identif</w:t>
      </w:r>
      <w:r w:rsidR="0055731F">
        <w:rPr>
          <w:rFonts w:ascii="Aptos" w:hAnsi="Aptos"/>
          <w:lang w:val="en-US"/>
        </w:rPr>
        <w:t>ying a</w:t>
      </w:r>
      <w:r>
        <w:rPr>
          <w:rFonts w:ascii="Aptos" w:hAnsi="Aptos"/>
          <w:lang w:val="en-US"/>
        </w:rPr>
        <w:t xml:space="preserve"> need</w:t>
      </w:r>
      <w:r w:rsidRPr="00647339">
        <w:rPr>
          <w:rFonts w:ascii="Aptos" w:hAnsi="Aptos"/>
          <w:lang w:val="en-US"/>
        </w:rPr>
        <w:t xml:space="preserve"> to significantly reduce these emissions by 2050</w:t>
      </w:r>
      <w:r>
        <w:rPr>
          <w:rFonts w:ascii="Aptos" w:hAnsi="Aptos"/>
          <w:lang w:val="en-US"/>
        </w:rPr>
        <w:t xml:space="preserve"> to pre-industrial levels.</w:t>
      </w:r>
      <w:r w:rsidRPr="00647339">
        <w:rPr>
          <w:rFonts w:ascii="Aptos" w:hAnsi="Aptos"/>
          <w:lang w:val="en-US"/>
        </w:rPr>
        <w:t xml:space="preserve"> </w:t>
      </w:r>
      <w:r w:rsidR="00AC1074" w:rsidRPr="00647339">
        <w:rPr>
          <w:rFonts w:ascii="Aptos" w:hAnsi="Aptos"/>
          <w:lang w:val="en-US"/>
        </w:rPr>
        <w:t xml:space="preserve">The three GHG’s can be identified as either biogenic sources (part of a natural cycle of capture and release) or thermogenic sources (fossil fuel derived). </w:t>
      </w:r>
      <w:r w:rsidRPr="00647339">
        <w:rPr>
          <w:rFonts w:ascii="Aptos" w:hAnsi="Aptos"/>
          <w:lang w:val="en-US"/>
        </w:rPr>
        <w:t>For environmental assessment the GHG’s are converted to CO</w:t>
      </w:r>
      <w:r w:rsidRPr="00647339">
        <w:rPr>
          <w:rFonts w:ascii="Aptos" w:hAnsi="Aptos"/>
          <w:vertAlign w:val="subscript"/>
          <w:lang w:val="en-US"/>
        </w:rPr>
        <w:t>2</w:t>
      </w:r>
      <w:r w:rsidRPr="00647339">
        <w:rPr>
          <w:rFonts w:ascii="Aptos" w:hAnsi="Aptos"/>
          <w:lang w:val="en-US"/>
        </w:rPr>
        <w:t>e based on their associated global warming potential</w:t>
      </w:r>
      <w:r w:rsidR="00056D2B">
        <w:rPr>
          <w:rFonts w:ascii="Aptos" w:hAnsi="Aptos"/>
          <w:lang w:val="en-US"/>
        </w:rPr>
        <w:t xml:space="preserve"> (GWP)</w:t>
      </w:r>
      <w:r w:rsidRPr="00647339">
        <w:rPr>
          <w:rFonts w:ascii="Aptos" w:hAnsi="Aptos"/>
          <w:lang w:val="en-US"/>
        </w:rPr>
        <w:t xml:space="preserve"> over a defined period e.g., 100 years for GWP-100</w:t>
      </w:r>
      <w:r>
        <w:rPr>
          <w:rFonts w:ascii="Aptos" w:hAnsi="Aptos"/>
          <w:lang w:val="en-US"/>
        </w:rPr>
        <w:t xml:space="preserve"> </w:t>
      </w:r>
      <w:r w:rsidR="00434C59">
        <w:rPr>
          <w:rFonts w:ascii="Aptos" w:hAnsi="Aptos"/>
          <w:lang w:val="en-US"/>
        </w:rPr>
        <w:t>(</w:t>
      </w:r>
      <w:r w:rsidRPr="00647339">
        <w:rPr>
          <w:rFonts w:ascii="Aptos" w:hAnsi="Aptos"/>
          <w:lang w:val="en-US"/>
        </w:rPr>
        <w:t>IPCC</w:t>
      </w:r>
      <w:r>
        <w:rPr>
          <w:rFonts w:ascii="Aptos" w:hAnsi="Aptos"/>
          <w:lang w:val="en-US"/>
        </w:rPr>
        <w:t>. 2021</w:t>
      </w:r>
      <w:r w:rsidR="00434C59">
        <w:rPr>
          <w:rFonts w:ascii="Aptos" w:hAnsi="Aptos"/>
          <w:lang w:val="en-US"/>
        </w:rPr>
        <w:t>)</w:t>
      </w:r>
      <w:r>
        <w:rPr>
          <w:rFonts w:ascii="Aptos" w:hAnsi="Aptos"/>
          <w:lang w:val="en-US"/>
        </w:rPr>
        <w:t>;</w:t>
      </w:r>
      <w:r w:rsidRPr="00647339">
        <w:rPr>
          <w:rFonts w:ascii="Aptos" w:hAnsi="Aptos"/>
          <w:lang w:val="en-US"/>
        </w:rPr>
        <w:t xml:space="preserve"> CO</w:t>
      </w:r>
      <w:r w:rsidRPr="00647339">
        <w:rPr>
          <w:rFonts w:ascii="Aptos" w:hAnsi="Aptos"/>
          <w:vertAlign w:val="subscript"/>
          <w:lang w:val="en-US"/>
        </w:rPr>
        <w:t xml:space="preserve">2 </w:t>
      </w:r>
      <w:r w:rsidRPr="00647339">
        <w:rPr>
          <w:rFonts w:ascii="Aptos" w:hAnsi="Aptos"/>
          <w:lang w:val="en-US"/>
        </w:rPr>
        <w:t>= 1</w:t>
      </w:r>
      <w:r>
        <w:rPr>
          <w:rFonts w:ascii="Aptos" w:hAnsi="Aptos"/>
          <w:lang w:val="en-US"/>
        </w:rPr>
        <w:t xml:space="preserve"> (thermogenic)</w:t>
      </w:r>
      <w:r w:rsidRPr="00647339">
        <w:rPr>
          <w:rFonts w:ascii="Aptos" w:hAnsi="Aptos"/>
          <w:lang w:val="en-US"/>
        </w:rPr>
        <w:t>; CH</w:t>
      </w:r>
      <w:r w:rsidRPr="00647339">
        <w:rPr>
          <w:rFonts w:ascii="Aptos" w:hAnsi="Aptos"/>
          <w:vertAlign w:val="subscript"/>
          <w:lang w:val="en-US"/>
        </w:rPr>
        <w:t>4</w:t>
      </w:r>
      <w:r w:rsidRPr="00647339">
        <w:rPr>
          <w:rFonts w:ascii="Aptos" w:hAnsi="Aptos"/>
          <w:lang w:val="en-US"/>
        </w:rPr>
        <w:t xml:space="preserve"> = 27 (biogenic), 29.8 (thermogenic); N</w:t>
      </w:r>
      <w:r w:rsidRPr="00647339">
        <w:rPr>
          <w:rFonts w:ascii="Aptos" w:hAnsi="Aptos"/>
          <w:vertAlign w:val="subscript"/>
          <w:lang w:val="en-US"/>
        </w:rPr>
        <w:t>2</w:t>
      </w:r>
      <w:r w:rsidRPr="00647339">
        <w:rPr>
          <w:rFonts w:ascii="Aptos" w:hAnsi="Aptos"/>
          <w:lang w:val="en-US"/>
        </w:rPr>
        <w:t>O = 298</w:t>
      </w:r>
      <w:r>
        <w:rPr>
          <w:rFonts w:ascii="Aptos" w:hAnsi="Aptos"/>
          <w:lang w:val="en-US"/>
        </w:rPr>
        <w:t xml:space="preserve"> (biogenic and thermogenic)</w:t>
      </w:r>
      <w:r w:rsidRPr="00647339">
        <w:rPr>
          <w:rFonts w:ascii="Aptos" w:hAnsi="Aptos"/>
          <w:lang w:val="en-US"/>
        </w:rPr>
        <w:t>. It is important to understand these sources due to the nature of agriculture utili</w:t>
      </w:r>
      <w:r w:rsidR="00497A67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>ing biogenic cycles, however, there is currently no advice on disaggregating thermogenic sources that could be decarboni</w:t>
      </w:r>
      <w:r w:rsidR="00E53E74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 xml:space="preserve">ed from biogenic sources, </w:t>
      </w:r>
      <w:r w:rsidR="00DB03D5">
        <w:rPr>
          <w:rFonts w:ascii="Aptos" w:hAnsi="Aptos"/>
          <w:lang w:val="en-US"/>
        </w:rPr>
        <w:t>that can</w:t>
      </w:r>
      <w:r>
        <w:rPr>
          <w:rFonts w:ascii="Aptos" w:hAnsi="Aptos"/>
          <w:lang w:val="en-US"/>
        </w:rPr>
        <w:t xml:space="preserve"> be balanced with their sink </w:t>
      </w:r>
      <w:r w:rsidR="00591884">
        <w:rPr>
          <w:rFonts w:ascii="Aptos" w:hAnsi="Aptos"/>
          <w:lang w:val="en-US"/>
        </w:rPr>
        <w:t xml:space="preserve">to </w:t>
      </w:r>
      <w:r w:rsidR="00E57EB9">
        <w:rPr>
          <w:rFonts w:ascii="Aptos" w:hAnsi="Aptos"/>
          <w:lang w:val="en-US"/>
        </w:rPr>
        <w:t>achieve</w:t>
      </w:r>
      <w:r w:rsidRPr="00647339">
        <w:rPr>
          <w:rFonts w:ascii="Aptos" w:hAnsi="Aptos"/>
          <w:lang w:val="en-US"/>
        </w:rPr>
        <w:t xml:space="preserve"> carbon net-zero. </w:t>
      </w:r>
      <w:r w:rsidR="001622BF">
        <w:rPr>
          <w:rFonts w:ascii="Aptos" w:hAnsi="Aptos"/>
          <w:lang w:val="en-US"/>
        </w:rPr>
        <w:t>Here, w</w:t>
      </w:r>
      <w:r w:rsidRPr="00647339">
        <w:rPr>
          <w:rFonts w:ascii="Aptos" w:hAnsi="Aptos"/>
          <w:lang w:val="en-US"/>
        </w:rPr>
        <w:t xml:space="preserve">e </w:t>
      </w:r>
      <w:r w:rsidR="00BA2B3A">
        <w:rPr>
          <w:rFonts w:ascii="Aptos" w:hAnsi="Aptos"/>
          <w:lang w:val="en-US"/>
        </w:rPr>
        <w:t>demonstrate biogenic and thermogenic GHG</w:t>
      </w:r>
      <w:r w:rsidRPr="00647339">
        <w:rPr>
          <w:rFonts w:ascii="Aptos" w:hAnsi="Aptos"/>
          <w:lang w:val="en-US"/>
        </w:rPr>
        <w:t xml:space="preserve"> disaggregation at a farm level to identify a pathway towards decarboni</w:t>
      </w:r>
      <w:r w:rsidR="00FF4531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>ation and carbon net-zero farming.</w:t>
      </w:r>
    </w:p>
    <w:p w14:paraId="167B5498" w14:textId="77777777" w:rsidR="007B30E3" w:rsidRDefault="007B30E3">
      <w:pPr>
        <w:rPr>
          <w:b/>
          <w:bCs/>
          <w:lang w:val="en-US"/>
        </w:rPr>
      </w:pPr>
    </w:p>
    <w:p w14:paraId="1F63B1C6" w14:textId="70D2D108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Materials and Methods</w:t>
      </w:r>
    </w:p>
    <w:p w14:paraId="31DE43A2" w14:textId="479CB50D" w:rsidR="007B30E3" w:rsidRPr="00E11059" w:rsidRDefault="00E11059" w:rsidP="00E11059">
      <w:pPr>
        <w:jc w:val="both"/>
        <w:rPr>
          <w:rFonts w:ascii="Aptos" w:hAnsi="Aptos"/>
          <w:lang w:val="en-US"/>
        </w:rPr>
      </w:pPr>
      <w:r w:rsidRPr="00647339">
        <w:rPr>
          <w:rFonts w:ascii="Aptos" w:hAnsi="Aptos"/>
          <w:lang w:val="en-US"/>
        </w:rPr>
        <w:t xml:space="preserve">The emissions of the three main GHG’s for </w:t>
      </w:r>
      <w:r>
        <w:rPr>
          <w:rFonts w:ascii="Aptos" w:hAnsi="Aptos"/>
          <w:lang w:val="en-US"/>
        </w:rPr>
        <w:t xml:space="preserve">Future </w:t>
      </w:r>
      <w:r w:rsidR="00BA2B3A">
        <w:rPr>
          <w:rFonts w:ascii="Aptos" w:hAnsi="Aptos"/>
          <w:lang w:val="en-US"/>
        </w:rPr>
        <w:t>F</w:t>
      </w:r>
      <w:r w:rsidRPr="00647339">
        <w:rPr>
          <w:rFonts w:ascii="Aptos" w:hAnsi="Aptos"/>
          <w:lang w:val="en-US"/>
        </w:rPr>
        <w:t xml:space="preserve">arm at Harper Adams University </w:t>
      </w:r>
      <w:r w:rsidR="00147DC8" w:rsidRPr="00647339">
        <w:rPr>
          <w:rFonts w:ascii="Aptos" w:hAnsi="Aptos"/>
          <w:lang w:val="en-US"/>
        </w:rPr>
        <w:t>were</w:t>
      </w:r>
      <w:r w:rsidRPr="00647339">
        <w:rPr>
          <w:rFonts w:ascii="Aptos" w:hAnsi="Aptos"/>
          <w:lang w:val="en-US"/>
        </w:rPr>
        <w:t xml:space="preserve"> calculated using a market-leading carbon calculator. </w:t>
      </w:r>
      <w:r w:rsidR="008F6AF3">
        <w:rPr>
          <w:rFonts w:ascii="Aptos" w:hAnsi="Aptos"/>
          <w:lang w:val="en-US"/>
        </w:rPr>
        <w:t>T</w:t>
      </w:r>
      <w:r w:rsidRPr="00647339">
        <w:rPr>
          <w:rFonts w:ascii="Aptos" w:hAnsi="Aptos"/>
          <w:lang w:val="en-US"/>
        </w:rPr>
        <w:t xml:space="preserve">he result output </w:t>
      </w:r>
      <w:r w:rsidR="008F6AF3">
        <w:rPr>
          <w:rFonts w:ascii="Aptos" w:hAnsi="Aptos"/>
          <w:lang w:val="en-US"/>
        </w:rPr>
        <w:t xml:space="preserve">from the calculation </w:t>
      </w:r>
      <w:r w:rsidRPr="00647339">
        <w:rPr>
          <w:rFonts w:ascii="Aptos" w:hAnsi="Aptos"/>
          <w:lang w:val="en-US"/>
        </w:rPr>
        <w:t xml:space="preserve">evaluated the total GHG emissions for the beef, dairy, sheep, pig, and oilseed rape enterprises which were then disaggregated into individual gases and then further between biogenic and thermogenic sources. </w:t>
      </w:r>
      <w:r>
        <w:rPr>
          <w:rFonts w:ascii="Aptos" w:hAnsi="Aptos"/>
          <w:lang w:val="en-US"/>
        </w:rPr>
        <w:t>Future</w:t>
      </w:r>
      <w:r w:rsidRPr="00647339">
        <w:rPr>
          <w:rFonts w:ascii="Aptos" w:hAnsi="Aptos"/>
          <w:lang w:val="en-US"/>
        </w:rPr>
        <w:t xml:space="preserve"> </w:t>
      </w:r>
      <w:r w:rsidR="000A0CE9">
        <w:rPr>
          <w:rFonts w:ascii="Aptos" w:hAnsi="Aptos"/>
          <w:lang w:val="en-US"/>
        </w:rPr>
        <w:t>F</w:t>
      </w:r>
      <w:r w:rsidRPr="00647339">
        <w:rPr>
          <w:rFonts w:ascii="Aptos" w:hAnsi="Aptos"/>
          <w:lang w:val="en-US"/>
        </w:rPr>
        <w:t xml:space="preserve">arm is variable and unique, there is </w:t>
      </w:r>
      <w:r w:rsidR="00027A6C">
        <w:rPr>
          <w:rFonts w:ascii="Aptos" w:hAnsi="Aptos"/>
          <w:lang w:val="en-US"/>
        </w:rPr>
        <w:t xml:space="preserve">a mixed enterprise of beef, dairy, sheep, pigs, and arable contributing to our carbon footprint. </w:t>
      </w:r>
      <w:r w:rsidR="00C20E52">
        <w:rPr>
          <w:rFonts w:ascii="Aptos" w:hAnsi="Aptos"/>
          <w:lang w:val="en-US"/>
        </w:rPr>
        <w:t xml:space="preserve">Our </w:t>
      </w:r>
      <w:r w:rsidR="00C20E52" w:rsidRPr="00647339">
        <w:rPr>
          <w:rFonts w:ascii="Aptos" w:hAnsi="Aptos"/>
          <w:lang w:val="en-US"/>
        </w:rPr>
        <w:t>intensive dairy beef production enterprise</w:t>
      </w:r>
      <w:r w:rsidRPr="00647339">
        <w:rPr>
          <w:rFonts w:ascii="Aptos" w:hAnsi="Aptos"/>
          <w:lang w:val="en-US"/>
        </w:rPr>
        <w:t xml:space="preserve"> finish</w:t>
      </w:r>
      <w:r w:rsidR="00053842">
        <w:rPr>
          <w:rFonts w:ascii="Aptos" w:hAnsi="Aptos"/>
          <w:lang w:val="en-US"/>
        </w:rPr>
        <w:t>es</w:t>
      </w:r>
      <w:r w:rsidRPr="00647339">
        <w:rPr>
          <w:rFonts w:ascii="Aptos" w:hAnsi="Aptos"/>
          <w:lang w:val="en-US"/>
        </w:rPr>
        <w:t xml:space="preserve"> </w:t>
      </w:r>
      <w:r w:rsidR="000E464A">
        <w:rPr>
          <w:rFonts w:ascii="Aptos" w:hAnsi="Aptos"/>
          <w:lang w:val="en-US"/>
        </w:rPr>
        <w:t xml:space="preserve">approximately </w:t>
      </w:r>
      <w:r w:rsidR="00823AFC">
        <w:rPr>
          <w:rFonts w:ascii="Aptos" w:hAnsi="Aptos"/>
          <w:lang w:val="en-US"/>
        </w:rPr>
        <w:t>70</w:t>
      </w:r>
      <w:r w:rsidR="00AE2946">
        <w:rPr>
          <w:rFonts w:ascii="Aptos" w:hAnsi="Aptos"/>
          <w:lang w:val="en-US"/>
        </w:rPr>
        <w:t xml:space="preserve"> </w:t>
      </w:r>
      <w:r w:rsidRPr="00647339">
        <w:rPr>
          <w:rFonts w:ascii="Aptos" w:hAnsi="Aptos"/>
          <w:lang w:val="en-US"/>
        </w:rPr>
        <w:t xml:space="preserve">British-Blue cross steers and heifers from </w:t>
      </w:r>
      <w:r w:rsidR="005C5EFC">
        <w:rPr>
          <w:rFonts w:ascii="Aptos" w:hAnsi="Aptos"/>
          <w:lang w:val="en-US"/>
        </w:rPr>
        <w:t xml:space="preserve">an </w:t>
      </w:r>
      <w:r w:rsidRPr="00647339">
        <w:rPr>
          <w:rFonts w:ascii="Aptos" w:hAnsi="Aptos"/>
          <w:lang w:val="en-US"/>
        </w:rPr>
        <w:t>all-year round calving Holstein-Friesian</w:t>
      </w:r>
      <w:r w:rsidR="00792AB2">
        <w:rPr>
          <w:rFonts w:ascii="Aptos" w:hAnsi="Aptos"/>
          <w:lang w:val="en-US"/>
        </w:rPr>
        <w:t xml:space="preserve"> </w:t>
      </w:r>
      <w:r w:rsidRPr="00647339">
        <w:rPr>
          <w:rFonts w:ascii="Aptos" w:hAnsi="Aptos"/>
          <w:lang w:val="en-US"/>
        </w:rPr>
        <w:t>herd</w:t>
      </w:r>
      <w:r w:rsidR="00E57EB9">
        <w:rPr>
          <w:rFonts w:ascii="Aptos" w:hAnsi="Aptos"/>
          <w:lang w:val="en-US"/>
        </w:rPr>
        <w:t>,</w:t>
      </w:r>
      <w:r w:rsidRPr="00647339">
        <w:rPr>
          <w:rFonts w:ascii="Aptos" w:hAnsi="Aptos"/>
          <w:lang w:val="en-US"/>
        </w:rPr>
        <w:t xml:space="preserve"> within 12 months</w:t>
      </w:r>
      <w:r w:rsidR="00053842">
        <w:rPr>
          <w:rFonts w:ascii="Aptos" w:hAnsi="Aptos"/>
          <w:lang w:val="en-US"/>
        </w:rPr>
        <w:t>,</w:t>
      </w:r>
      <w:r w:rsidRPr="00647339">
        <w:rPr>
          <w:rFonts w:ascii="Aptos" w:hAnsi="Aptos"/>
          <w:lang w:val="en-US"/>
        </w:rPr>
        <w:t xml:space="preserve"> on a TMR ration. The dairy enterprise is a high performance indoor dairy system formed of a main unit and </w:t>
      </w:r>
      <w:r w:rsidR="00C20E52">
        <w:rPr>
          <w:rFonts w:ascii="Aptos" w:hAnsi="Aptos"/>
          <w:lang w:val="en-US"/>
        </w:rPr>
        <w:t>“</w:t>
      </w:r>
      <w:r w:rsidRPr="00647339">
        <w:rPr>
          <w:rFonts w:ascii="Aptos" w:hAnsi="Aptos"/>
          <w:lang w:val="en-US"/>
        </w:rPr>
        <w:t>smart unit</w:t>
      </w:r>
      <w:r w:rsidR="00C20E52">
        <w:rPr>
          <w:rFonts w:ascii="Aptos" w:hAnsi="Aptos"/>
          <w:lang w:val="en-US"/>
        </w:rPr>
        <w:t>” featuring elements of automation</w:t>
      </w:r>
      <w:r w:rsidR="00FB4B15">
        <w:rPr>
          <w:rFonts w:ascii="Aptos" w:hAnsi="Aptos"/>
          <w:lang w:val="en-US"/>
        </w:rPr>
        <w:t>.</w:t>
      </w:r>
      <w:r w:rsidRPr="00647339">
        <w:rPr>
          <w:rFonts w:ascii="Aptos" w:hAnsi="Aptos"/>
          <w:lang w:val="en-US"/>
        </w:rPr>
        <w:t xml:space="preserve"> </w:t>
      </w:r>
      <w:r w:rsidR="00FB4B15">
        <w:rPr>
          <w:rFonts w:ascii="Aptos" w:hAnsi="Aptos"/>
          <w:lang w:val="en-US"/>
        </w:rPr>
        <w:t>T</w:t>
      </w:r>
      <w:r w:rsidRPr="00647339">
        <w:rPr>
          <w:rFonts w:ascii="Aptos" w:hAnsi="Aptos"/>
          <w:lang w:val="en-US"/>
        </w:rPr>
        <w:t xml:space="preserve">he main unit accommodates up to 400 cows milked three times a day with a target annual yield of 10,000 litres per cow. The smart unit houses 45 cows and these are milked using a robotic milking system. The sheep enterprise is a grass-based outdoor system formed of a pedigree Lleyn flock, </w:t>
      </w:r>
      <w:r w:rsidR="00B26358">
        <w:rPr>
          <w:rFonts w:ascii="Aptos" w:hAnsi="Aptos"/>
          <w:lang w:val="en-US"/>
        </w:rPr>
        <w:t>with</w:t>
      </w:r>
      <w:r w:rsidRPr="00647339">
        <w:rPr>
          <w:rFonts w:ascii="Aptos" w:hAnsi="Aptos"/>
          <w:lang w:val="en-US"/>
        </w:rPr>
        <w:t xml:space="preserve"> 600 breeding ewes </w:t>
      </w:r>
      <w:r w:rsidR="00925456">
        <w:rPr>
          <w:rFonts w:ascii="Aptos" w:hAnsi="Aptos"/>
          <w:lang w:val="en-US"/>
        </w:rPr>
        <w:t>that</w:t>
      </w:r>
      <w:r w:rsidRPr="00647339">
        <w:rPr>
          <w:rFonts w:ascii="Aptos" w:hAnsi="Aptos"/>
          <w:lang w:val="en-US"/>
        </w:rPr>
        <w:t xml:space="preserve"> rear over 1,000 lambs every year</w:t>
      </w:r>
      <w:r w:rsidR="0010775D">
        <w:rPr>
          <w:rFonts w:ascii="Aptos" w:hAnsi="Aptos"/>
          <w:lang w:val="en-US"/>
        </w:rPr>
        <w:t>,</w:t>
      </w:r>
      <w:r w:rsidR="00925456">
        <w:rPr>
          <w:rFonts w:ascii="Aptos" w:hAnsi="Aptos"/>
          <w:lang w:val="en-US"/>
        </w:rPr>
        <w:t xml:space="preserve"> </w:t>
      </w:r>
      <w:r w:rsidR="00C659C3">
        <w:rPr>
          <w:rFonts w:ascii="Aptos" w:hAnsi="Aptos"/>
          <w:lang w:val="en-US"/>
        </w:rPr>
        <w:t xml:space="preserve">and </w:t>
      </w:r>
      <w:r w:rsidRPr="00647339">
        <w:rPr>
          <w:rFonts w:ascii="Aptos" w:hAnsi="Aptos"/>
          <w:lang w:val="en-US"/>
        </w:rPr>
        <w:t>most ewes</w:t>
      </w:r>
      <w:r w:rsidR="0010775D">
        <w:rPr>
          <w:rFonts w:ascii="Aptos" w:hAnsi="Aptos"/>
          <w:lang w:val="en-US"/>
        </w:rPr>
        <w:t xml:space="preserve"> are</w:t>
      </w:r>
      <w:r w:rsidRPr="00647339">
        <w:rPr>
          <w:rFonts w:ascii="Aptos" w:hAnsi="Aptos"/>
          <w:lang w:val="en-US"/>
        </w:rPr>
        <w:t xml:space="preserve"> housed indoors for the lambing season. The pig enterprise is a closed herd consisting of 230-sow farrow-finish</w:t>
      </w:r>
      <w:r w:rsidR="00FB4B15">
        <w:rPr>
          <w:rFonts w:ascii="Aptos" w:hAnsi="Aptos"/>
          <w:lang w:val="en-US"/>
        </w:rPr>
        <w:t xml:space="preserve"> in an</w:t>
      </w:r>
      <w:r w:rsidRPr="00647339">
        <w:rPr>
          <w:rFonts w:ascii="Aptos" w:hAnsi="Aptos"/>
          <w:lang w:val="en-US"/>
        </w:rPr>
        <w:t xml:space="preserve"> indoor unit running a 3-week batch operation</w:t>
      </w:r>
      <w:r w:rsidR="00512AF6">
        <w:rPr>
          <w:rFonts w:ascii="Aptos" w:hAnsi="Aptos"/>
          <w:lang w:val="en-US"/>
        </w:rPr>
        <w:t xml:space="preserve"> and </w:t>
      </w:r>
      <w:r w:rsidR="007603B4">
        <w:rPr>
          <w:rFonts w:ascii="Aptos" w:hAnsi="Aptos"/>
          <w:lang w:val="en-US"/>
        </w:rPr>
        <w:t>fin</w:t>
      </w:r>
      <w:r w:rsidR="00A10126">
        <w:rPr>
          <w:rFonts w:ascii="Aptos" w:hAnsi="Aptos"/>
          <w:lang w:val="en-US"/>
        </w:rPr>
        <w:t>ishing over 6,500 pigs annually</w:t>
      </w:r>
      <w:r w:rsidRPr="00647339">
        <w:rPr>
          <w:rFonts w:ascii="Aptos" w:hAnsi="Aptos"/>
          <w:lang w:val="en-US"/>
        </w:rPr>
        <w:t xml:space="preserve">. </w:t>
      </w:r>
      <w:r w:rsidR="000A6D61">
        <w:rPr>
          <w:rFonts w:ascii="Aptos" w:hAnsi="Aptos"/>
          <w:lang w:val="en-US"/>
        </w:rPr>
        <w:t>T</w:t>
      </w:r>
      <w:r w:rsidRPr="00647339">
        <w:rPr>
          <w:rFonts w:ascii="Aptos" w:hAnsi="Aptos"/>
          <w:lang w:val="en-US"/>
        </w:rPr>
        <w:t xml:space="preserve">he oilseed rape enterprise uses a small proportion of </w:t>
      </w:r>
      <w:r w:rsidR="00992621">
        <w:rPr>
          <w:rFonts w:ascii="Aptos" w:hAnsi="Aptos"/>
          <w:lang w:val="en-US"/>
        </w:rPr>
        <w:t xml:space="preserve">our </w:t>
      </w:r>
      <w:r w:rsidRPr="00647339">
        <w:rPr>
          <w:rFonts w:ascii="Aptos" w:hAnsi="Aptos"/>
          <w:lang w:val="en-US"/>
        </w:rPr>
        <w:t xml:space="preserve">total land use, and its sole purpose is for commercial production and revenue. As a commercial farm, </w:t>
      </w:r>
      <w:r>
        <w:rPr>
          <w:rFonts w:ascii="Aptos" w:hAnsi="Aptos"/>
          <w:lang w:val="en-US"/>
        </w:rPr>
        <w:t>Future Farm</w:t>
      </w:r>
      <w:r w:rsidRPr="00647339">
        <w:rPr>
          <w:rFonts w:ascii="Aptos" w:hAnsi="Aptos"/>
          <w:lang w:val="en-US"/>
        </w:rPr>
        <w:t xml:space="preserve"> also manages grass leys, produces forage crops (e.g., silage and maize) and other </w:t>
      </w:r>
      <w:r w:rsidRPr="00647339">
        <w:rPr>
          <w:rFonts w:ascii="Aptos" w:hAnsi="Aptos"/>
          <w:lang w:val="en-US"/>
        </w:rPr>
        <w:lastRenderedPageBreak/>
        <w:t>combinable crops (e.g., wheat and barley)</w:t>
      </w:r>
      <w:r w:rsidR="00653770">
        <w:rPr>
          <w:rFonts w:ascii="Aptos" w:hAnsi="Aptos"/>
          <w:lang w:val="en-US"/>
        </w:rPr>
        <w:t xml:space="preserve">, which </w:t>
      </w:r>
      <w:r w:rsidRPr="00647339">
        <w:rPr>
          <w:rFonts w:ascii="Aptos" w:hAnsi="Aptos"/>
          <w:lang w:val="en-US"/>
        </w:rPr>
        <w:t>are fed to the farm livestock enterprises and are embedded in the CO</w:t>
      </w:r>
      <w:r w:rsidRPr="00647339">
        <w:rPr>
          <w:rFonts w:ascii="Aptos" w:hAnsi="Aptos"/>
          <w:vertAlign w:val="subscript"/>
          <w:lang w:val="en-US"/>
        </w:rPr>
        <w:t>2</w:t>
      </w:r>
      <w:r w:rsidRPr="00647339">
        <w:rPr>
          <w:rFonts w:ascii="Aptos" w:hAnsi="Aptos"/>
          <w:lang w:val="en-US"/>
        </w:rPr>
        <w:t>, CH</w:t>
      </w:r>
      <w:r w:rsidRPr="00647339">
        <w:rPr>
          <w:rFonts w:ascii="Aptos" w:hAnsi="Aptos"/>
          <w:vertAlign w:val="subscript"/>
          <w:lang w:val="en-US"/>
        </w:rPr>
        <w:t>4</w:t>
      </w:r>
      <w:r w:rsidRPr="00647339">
        <w:rPr>
          <w:rFonts w:ascii="Aptos" w:hAnsi="Aptos"/>
          <w:lang w:val="en-US"/>
        </w:rPr>
        <w:t>, and N</w:t>
      </w:r>
      <w:r w:rsidRPr="00647339">
        <w:rPr>
          <w:rFonts w:ascii="Aptos" w:hAnsi="Aptos"/>
          <w:vertAlign w:val="subscript"/>
          <w:lang w:val="en-US"/>
        </w:rPr>
        <w:t>2</w:t>
      </w:r>
      <w:r w:rsidRPr="00647339">
        <w:rPr>
          <w:rFonts w:ascii="Aptos" w:hAnsi="Aptos"/>
          <w:lang w:val="en-US"/>
        </w:rPr>
        <w:t>O emission totals for these enterprises.</w:t>
      </w:r>
    </w:p>
    <w:p w14:paraId="6B0480BF" w14:textId="77777777" w:rsidR="00CD1DE6" w:rsidRDefault="00CD1DE6">
      <w:pPr>
        <w:rPr>
          <w:b/>
          <w:bCs/>
          <w:lang w:val="en-US"/>
        </w:rPr>
      </w:pPr>
    </w:p>
    <w:p w14:paraId="35CAF992" w14:textId="491CA57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Results</w:t>
      </w:r>
    </w:p>
    <w:p w14:paraId="00631893" w14:textId="123ADF46" w:rsidR="00496B2E" w:rsidRPr="00647339" w:rsidRDefault="00342AB4" w:rsidP="00496B2E">
      <w:pPr>
        <w:jc w:val="both"/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We</w:t>
      </w:r>
      <w:r w:rsidR="00496B2E" w:rsidRPr="00647339">
        <w:rPr>
          <w:rFonts w:ascii="Aptos" w:hAnsi="Aptos"/>
          <w:lang w:val="en-US"/>
        </w:rPr>
        <w:t xml:space="preserve"> categori</w:t>
      </w:r>
      <w:r w:rsidR="00B2144B">
        <w:rPr>
          <w:rFonts w:ascii="Aptos" w:hAnsi="Aptos"/>
          <w:lang w:val="en-US"/>
        </w:rPr>
        <w:t>s</w:t>
      </w:r>
      <w:r w:rsidR="00496B2E" w:rsidRPr="00647339">
        <w:rPr>
          <w:rFonts w:ascii="Aptos" w:hAnsi="Aptos"/>
          <w:lang w:val="en-US"/>
        </w:rPr>
        <w:t>e</w:t>
      </w:r>
      <w:r>
        <w:rPr>
          <w:rFonts w:ascii="Aptos" w:hAnsi="Aptos"/>
          <w:lang w:val="en-US"/>
        </w:rPr>
        <w:t>d</w:t>
      </w:r>
      <w:r w:rsidR="00496B2E" w:rsidRPr="00647339">
        <w:rPr>
          <w:rFonts w:ascii="Aptos" w:hAnsi="Aptos"/>
          <w:lang w:val="en-US"/>
        </w:rPr>
        <w:t xml:space="preserve"> biogenic source as CH</w:t>
      </w:r>
      <w:r w:rsidR="00496B2E" w:rsidRPr="00647339">
        <w:rPr>
          <w:rFonts w:ascii="Aptos" w:hAnsi="Aptos"/>
          <w:vertAlign w:val="subscript"/>
          <w:lang w:val="en-US"/>
        </w:rPr>
        <w:t xml:space="preserve">4 </w:t>
      </w:r>
      <w:r w:rsidR="00496B2E" w:rsidRPr="00647339">
        <w:rPr>
          <w:rFonts w:ascii="Aptos" w:hAnsi="Aptos"/>
          <w:lang w:val="en-US"/>
        </w:rPr>
        <w:t>and the thermogenic source as CO</w:t>
      </w:r>
      <w:r w:rsidR="00496B2E" w:rsidRPr="00647339">
        <w:rPr>
          <w:rFonts w:ascii="Aptos" w:hAnsi="Aptos"/>
          <w:vertAlign w:val="subscript"/>
          <w:lang w:val="en-US"/>
        </w:rPr>
        <w:t xml:space="preserve">2 </w:t>
      </w:r>
      <w:r w:rsidR="00496B2E" w:rsidRPr="00647339">
        <w:rPr>
          <w:rFonts w:ascii="Aptos" w:hAnsi="Aptos"/>
          <w:lang w:val="en-US"/>
        </w:rPr>
        <w:t>(</w:t>
      </w:r>
      <w:r>
        <w:rPr>
          <w:rFonts w:ascii="Aptos" w:hAnsi="Aptos"/>
          <w:lang w:val="en-US"/>
        </w:rPr>
        <w:t xml:space="preserve">Table 1; </w:t>
      </w:r>
      <w:r w:rsidR="00496B2E" w:rsidRPr="00647339">
        <w:rPr>
          <w:rFonts w:ascii="Aptos" w:hAnsi="Aptos"/>
          <w:lang w:val="en-US"/>
        </w:rPr>
        <w:t>direct and indirect). When determining the source of N</w:t>
      </w:r>
      <w:r w:rsidR="00496B2E" w:rsidRPr="00647339">
        <w:rPr>
          <w:rFonts w:ascii="Aptos" w:hAnsi="Aptos"/>
          <w:vertAlign w:val="subscript"/>
          <w:lang w:val="en-US"/>
        </w:rPr>
        <w:t>2</w:t>
      </w:r>
      <w:r w:rsidR="00496B2E" w:rsidRPr="00647339">
        <w:rPr>
          <w:rFonts w:ascii="Aptos" w:hAnsi="Aptos"/>
          <w:lang w:val="en-US"/>
        </w:rPr>
        <w:t>O, it was not possible to differentiate when N</w:t>
      </w:r>
      <w:r w:rsidR="00496B2E" w:rsidRPr="00647339">
        <w:rPr>
          <w:rFonts w:ascii="Aptos" w:hAnsi="Aptos"/>
          <w:vertAlign w:val="subscript"/>
          <w:lang w:val="en-US"/>
        </w:rPr>
        <w:t>2</w:t>
      </w:r>
      <w:r w:rsidR="00496B2E" w:rsidRPr="00647339">
        <w:rPr>
          <w:rFonts w:ascii="Aptos" w:hAnsi="Aptos"/>
          <w:lang w:val="en-US"/>
        </w:rPr>
        <w:t>O emissions became an act of biogenic or thermogenic activity due to the nature of the N inputs in the Harber-Bosch process</w:t>
      </w:r>
      <w:r w:rsidR="00496B2E">
        <w:rPr>
          <w:rFonts w:ascii="Aptos" w:hAnsi="Aptos"/>
          <w:lang w:val="en-US"/>
        </w:rPr>
        <w:t xml:space="preserve"> (focus of future work)</w:t>
      </w:r>
      <w:r w:rsidR="00496B2E" w:rsidRPr="00647339">
        <w:rPr>
          <w:rFonts w:ascii="Aptos" w:hAnsi="Aptos"/>
          <w:lang w:val="en-US"/>
        </w:rPr>
        <w:t>. Therefore, N</w:t>
      </w:r>
      <w:r w:rsidR="00496B2E" w:rsidRPr="00647339">
        <w:rPr>
          <w:rFonts w:ascii="Aptos" w:hAnsi="Aptos"/>
          <w:vertAlign w:val="subscript"/>
          <w:lang w:val="en-US"/>
        </w:rPr>
        <w:t>2</w:t>
      </w:r>
      <w:r w:rsidR="00496B2E" w:rsidRPr="00647339">
        <w:rPr>
          <w:rFonts w:ascii="Aptos" w:hAnsi="Aptos"/>
          <w:lang w:val="en-US"/>
        </w:rPr>
        <w:t>O was defined as both biogenic and thermogenic (Figure 1).</w:t>
      </w:r>
    </w:p>
    <w:p w14:paraId="08A7FE9E" w14:textId="77777777" w:rsidR="000A46FC" w:rsidRDefault="000A46FC" w:rsidP="00496B2E">
      <w:pPr>
        <w:rPr>
          <w:rFonts w:ascii="Aptos" w:hAnsi="Aptos"/>
          <w:b/>
          <w:bCs/>
          <w:lang w:val="en-US"/>
        </w:rPr>
      </w:pPr>
    </w:p>
    <w:p w14:paraId="7D2770D2" w14:textId="3FA23ABD" w:rsidR="00496B2E" w:rsidRDefault="00081428" w:rsidP="00496B2E">
      <w:pPr>
        <w:rPr>
          <w:rFonts w:ascii="Aptos" w:hAnsi="Aptos"/>
          <w:b/>
          <w:bCs/>
          <w:lang w:val="en-US"/>
        </w:rPr>
      </w:pPr>
      <w:r w:rsidRPr="00647339">
        <w:rPr>
          <w:rFonts w:ascii="Aptos" w:hAnsi="Aptos"/>
          <w:b/>
          <w:bCs/>
          <w:lang w:val="en-US"/>
        </w:rPr>
        <w:t xml:space="preserve">Table 1 Emissions from the farm by </w:t>
      </w:r>
      <w:r w:rsidR="00485206">
        <w:rPr>
          <w:rFonts w:ascii="Aptos" w:hAnsi="Aptos"/>
          <w:b/>
          <w:bCs/>
          <w:lang w:val="en-US"/>
        </w:rPr>
        <w:t>enterprise</w:t>
      </w:r>
    </w:p>
    <w:tbl>
      <w:tblPr>
        <w:tblStyle w:val="TableGrid"/>
        <w:tblpPr w:leftFromText="180" w:rightFromText="180" w:vertAnchor="page" w:horzAnchor="margin" w:tblpY="5109"/>
        <w:tblW w:w="5000" w:type="pct"/>
        <w:tblLook w:val="04A0" w:firstRow="1" w:lastRow="0" w:firstColumn="1" w:lastColumn="0" w:noHBand="0" w:noVBand="1"/>
      </w:tblPr>
      <w:tblGrid>
        <w:gridCol w:w="2895"/>
        <w:gridCol w:w="988"/>
        <w:gridCol w:w="1359"/>
        <w:gridCol w:w="1172"/>
        <w:gridCol w:w="1258"/>
        <w:gridCol w:w="1354"/>
      </w:tblGrid>
      <w:tr w:rsidR="00EF7637" w:rsidRPr="00647339" w14:paraId="6719CC67" w14:textId="77777777" w:rsidTr="0007142C">
        <w:trPr>
          <w:trHeight w:val="460"/>
        </w:trPr>
        <w:tc>
          <w:tcPr>
            <w:tcW w:w="1604" w:type="pct"/>
            <w:vMerge w:val="restart"/>
            <w:tcBorders>
              <w:right w:val="dashed" w:sz="4" w:space="0" w:color="auto"/>
            </w:tcBorders>
            <w:vAlign w:val="center"/>
          </w:tcPr>
          <w:p w14:paraId="6D384DD6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Emissions</w:t>
            </w:r>
          </w:p>
        </w:tc>
        <w:tc>
          <w:tcPr>
            <w:tcW w:w="3396" w:type="pct"/>
            <w:gridSpan w:val="5"/>
            <w:tcBorders>
              <w:top w:val="single" w:sz="4" w:space="0" w:color="auto"/>
              <w:left w:val="dashed" w:sz="4" w:space="0" w:color="auto"/>
              <w:bottom w:val="nil"/>
            </w:tcBorders>
            <w:vAlign w:val="bottom"/>
          </w:tcPr>
          <w:p w14:paraId="240EEA3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Enterprise</w:t>
            </w:r>
          </w:p>
          <w:p w14:paraId="6B3B9040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  <w:tr w:rsidR="00EF7637" w:rsidRPr="00647339" w14:paraId="3A4928F2" w14:textId="77777777" w:rsidTr="0007142C">
        <w:trPr>
          <w:trHeight w:val="460"/>
        </w:trPr>
        <w:tc>
          <w:tcPr>
            <w:tcW w:w="1604" w:type="pct"/>
            <w:vMerge/>
            <w:tcBorders>
              <w:bottom w:val="single" w:sz="4" w:space="0" w:color="auto"/>
              <w:right w:val="dashed" w:sz="4" w:space="0" w:color="auto"/>
            </w:tcBorders>
          </w:tcPr>
          <w:p w14:paraId="63C36DA6" w14:textId="77777777" w:rsidR="00EF7637" w:rsidRPr="00647339" w:rsidRDefault="00EF7637" w:rsidP="0007142C">
            <w:pPr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547" w:type="pct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5B52582A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Beef</w:t>
            </w:r>
          </w:p>
        </w:tc>
        <w:tc>
          <w:tcPr>
            <w:tcW w:w="753" w:type="pct"/>
            <w:tcBorders>
              <w:top w:val="nil"/>
              <w:bottom w:val="single" w:sz="4" w:space="0" w:color="auto"/>
            </w:tcBorders>
          </w:tcPr>
          <w:p w14:paraId="010D1B7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Sheep</w:t>
            </w:r>
          </w:p>
        </w:tc>
        <w:tc>
          <w:tcPr>
            <w:tcW w:w="649" w:type="pct"/>
            <w:tcBorders>
              <w:top w:val="nil"/>
              <w:bottom w:val="single" w:sz="4" w:space="0" w:color="auto"/>
            </w:tcBorders>
          </w:tcPr>
          <w:p w14:paraId="6EE2DC99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Dairy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</w:tcPr>
          <w:p w14:paraId="1035C0EA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Pigs</w:t>
            </w:r>
          </w:p>
        </w:tc>
        <w:tc>
          <w:tcPr>
            <w:tcW w:w="750" w:type="pct"/>
            <w:tcBorders>
              <w:top w:val="nil"/>
              <w:bottom w:val="single" w:sz="4" w:space="0" w:color="auto"/>
            </w:tcBorders>
          </w:tcPr>
          <w:p w14:paraId="79367C3D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Oilseed rape</w:t>
            </w:r>
          </w:p>
        </w:tc>
      </w:tr>
      <w:tr w:rsidR="00EF7637" w:rsidRPr="00647339" w14:paraId="444DF8A6" w14:textId="77777777" w:rsidTr="0007142C">
        <w:trPr>
          <w:trHeight w:val="460"/>
        </w:trPr>
        <w:tc>
          <w:tcPr>
            <w:tcW w:w="1604" w:type="pct"/>
            <w:tcBorders>
              <w:top w:val="single" w:sz="4" w:space="0" w:color="auto"/>
              <w:bottom w:val="single" w:sz="4" w:space="0" w:color="196B24" w:themeColor="accent3"/>
              <w:right w:val="dashed" w:sz="4" w:space="0" w:color="auto"/>
            </w:tcBorders>
            <w:vAlign w:val="center"/>
          </w:tcPr>
          <w:p w14:paraId="23B49E43" w14:textId="7DAC13A4" w:rsidR="00EF7637" w:rsidRPr="00647339" w:rsidRDefault="00EF7637" w:rsidP="0007142C">
            <w:pPr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Total direct CO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 xml:space="preserve">2 </w:t>
            </w:r>
            <w:r w:rsidRPr="00647339">
              <w:rPr>
                <w:rFonts w:ascii="Aptos" w:hAnsi="Aptos" w:cs="Arial"/>
                <w:sz w:val="22"/>
                <w:szCs w:val="22"/>
              </w:rPr>
              <w:t>(kg CO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>2</w:t>
            </w:r>
            <w:r w:rsidR="00C932F4">
              <w:rPr>
                <w:rFonts w:ascii="Aptos" w:hAnsi="Aptos" w:cs="Arial"/>
                <w:sz w:val="22"/>
                <w:szCs w:val="22"/>
              </w:rPr>
              <w:t>e</w:t>
            </w:r>
            <w:r w:rsidRPr="00647339">
              <w:rPr>
                <w:rFonts w:ascii="Aptos" w:hAnsi="Aptos" w:cs="Arial"/>
                <w:sz w:val="22"/>
                <w:szCs w:val="22"/>
              </w:rPr>
              <w:t>)</w:t>
            </w:r>
          </w:p>
        </w:tc>
        <w:tc>
          <w:tcPr>
            <w:tcW w:w="547" w:type="pct"/>
            <w:tcBorders>
              <w:top w:val="single" w:sz="4" w:space="0" w:color="auto"/>
              <w:left w:val="dashed" w:sz="4" w:space="0" w:color="auto"/>
              <w:bottom w:val="single" w:sz="4" w:space="0" w:color="196B24" w:themeColor="accent3"/>
            </w:tcBorders>
            <w:vAlign w:val="center"/>
          </w:tcPr>
          <w:p w14:paraId="63283BB7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37,967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196B24" w:themeColor="accent3"/>
            </w:tcBorders>
            <w:vAlign w:val="center"/>
          </w:tcPr>
          <w:p w14:paraId="1987D158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42,934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196B24" w:themeColor="accent3"/>
            </w:tcBorders>
            <w:vAlign w:val="center"/>
          </w:tcPr>
          <w:p w14:paraId="0A76EC19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220,831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196B24" w:themeColor="accent3"/>
            </w:tcBorders>
            <w:vAlign w:val="center"/>
          </w:tcPr>
          <w:p w14:paraId="0F4C275E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85,717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196B24" w:themeColor="accent3"/>
            </w:tcBorders>
            <w:vAlign w:val="center"/>
          </w:tcPr>
          <w:p w14:paraId="778F0209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18,216</w:t>
            </w:r>
          </w:p>
        </w:tc>
      </w:tr>
      <w:tr w:rsidR="00EF7637" w:rsidRPr="00647339" w14:paraId="2D030B04" w14:textId="77777777" w:rsidTr="0007142C">
        <w:trPr>
          <w:trHeight w:val="460"/>
        </w:trPr>
        <w:tc>
          <w:tcPr>
            <w:tcW w:w="1604" w:type="pct"/>
            <w:tcBorders>
              <w:top w:val="single" w:sz="4" w:space="0" w:color="196B24" w:themeColor="accent3"/>
              <w:bottom w:val="single" w:sz="4" w:space="0" w:color="196B24" w:themeColor="accent3"/>
              <w:right w:val="dashed" w:sz="4" w:space="0" w:color="auto"/>
            </w:tcBorders>
            <w:vAlign w:val="center"/>
          </w:tcPr>
          <w:p w14:paraId="7E48C900" w14:textId="4D7A6B1F" w:rsidR="00EF7637" w:rsidRPr="00647339" w:rsidRDefault="00EF7637" w:rsidP="0007142C">
            <w:pPr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Total indirect CO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 xml:space="preserve">2 </w:t>
            </w:r>
            <w:r w:rsidRPr="00647339">
              <w:rPr>
                <w:rFonts w:ascii="Aptos" w:hAnsi="Aptos" w:cs="Arial"/>
                <w:sz w:val="22"/>
                <w:szCs w:val="22"/>
              </w:rPr>
              <w:t>(kg CO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>2</w:t>
            </w:r>
            <w:r w:rsidR="00C932F4">
              <w:rPr>
                <w:rFonts w:ascii="Aptos" w:hAnsi="Aptos" w:cs="Arial"/>
                <w:sz w:val="22"/>
                <w:szCs w:val="22"/>
              </w:rPr>
              <w:t>e</w:t>
            </w:r>
            <w:r w:rsidRPr="00647339">
              <w:rPr>
                <w:rFonts w:ascii="Aptos" w:hAnsi="Aptos" w:cs="Arial"/>
                <w:sz w:val="22"/>
                <w:szCs w:val="22"/>
              </w:rPr>
              <w:t>)</w:t>
            </w:r>
          </w:p>
        </w:tc>
        <w:tc>
          <w:tcPr>
            <w:tcW w:w="547" w:type="pct"/>
            <w:tcBorders>
              <w:top w:val="single" w:sz="4" w:space="0" w:color="196B24" w:themeColor="accent3"/>
              <w:left w:val="dashed" w:sz="4" w:space="0" w:color="auto"/>
              <w:bottom w:val="single" w:sz="4" w:space="0" w:color="196B24" w:themeColor="accent3"/>
            </w:tcBorders>
            <w:vAlign w:val="center"/>
          </w:tcPr>
          <w:p w14:paraId="4953F6E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84,122</w:t>
            </w:r>
          </w:p>
        </w:tc>
        <w:tc>
          <w:tcPr>
            <w:tcW w:w="753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3533664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39,411</w:t>
            </w:r>
          </w:p>
        </w:tc>
        <w:tc>
          <w:tcPr>
            <w:tcW w:w="649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0FE70597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1,262,368</w:t>
            </w:r>
          </w:p>
        </w:tc>
        <w:tc>
          <w:tcPr>
            <w:tcW w:w="697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2CCE1EE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1,329,279</w:t>
            </w:r>
          </w:p>
        </w:tc>
        <w:tc>
          <w:tcPr>
            <w:tcW w:w="750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7A83CAAB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28,160</w:t>
            </w:r>
          </w:p>
        </w:tc>
      </w:tr>
      <w:tr w:rsidR="00EF7637" w:rsidRPr="00647339" w14:paraId="6B961672" w14:textId="77777777" w:rsidTr="0007142C">
        <w:trPr>
          <w:trHeight w:val="460"/>
        </w:trPr>
        <w:tc>
          <w:tcPr>
            <w:tcW w:w="1604" w:type="pct"/>
            <w:tcBorders>
              <w:top w:val="single" w:sz="4" w:space="0" w:color="196B24" w:themeColor="accent3"/>
              <w:bottom w:val="single" w:sz="4" w:space="0" w:color="196B24" w:themeColor="accent3"/>
              <w:right w:val="dashed" w:sz="4" w:space="0" w:color="auto"/>
            </w:tcBorders>
            <w:vAlign w:val="center"/>
          </w:tcPr>
          <w:p w14:paraId="68CA6CE5" w14:textId="77777777" w:rsidR="00EF7637" w:rsidRPr="00647339" w:rsidRDefault="00EF7637" w:rsidP="0007142C">
            <w:pPr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Total CH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 xml:space="preserve">4 </w:t>
            </w:r>
            <w:r w:rsidRPr="00647339">
              <w:rPr>
                <w:rFonts w:ascii="Aptos" w:hAnsi="Aptos" w:cs="Arial"/>
                <w:sz w:val="22"/>
                <w:szCs w:val="22"/>
              </w:rPr>
              <w:t>(kg CO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>2</w:t>
            </w:r>
            <w:r w:rsidRPr="00C932F4">
              <w:rPr>
                <w:rFonts w:ascii="Aptos" w:hAnsi="Aptos" w:cs="Arial"/>
                <w:sz w:val="22"/>
                <w:szCs w:val="22"/>
              </w:rPr>
              <w:t>e</w:t>
            </w:r>
            <w:r w:rsidRPr="00647339">
              <w:rPr>
                <w:rFonts w:ascii="Aptos" w:hAnsi="Aptos" w:cs="Arial"/>
                <w:sz w:val="22"/>
                <w:szCs w:val="22"/>
              </w:rPr>
              <w:t>)</w:t>
            </w:r>
          </w:p>
        </w:tc>
        <w:tc>
          <w:tcPr>
            <w:tcW w:w="547" w:type="pct"/>
            <w:tcBorders>
              <w:top w:val="single" w:sz="4" w:space="0" w:color="196B24" w:themeColor="accent3"/>
              <w:left w:val="dashed" w:sz="4" w:space="0" w:color="auto"/>
              <w:bottom w:val="single" w:sz="4" w:space="0" w:color="196B24" w:themeColor="accent3"/>
            </w:tcBorders>
            <w:vAlign w:val="center"/>
          </w:tcPr>
          <w:p w14:paraId="38C0823B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68,266</w:t>
            </w:r>
          </w:p>
        </w:tc>
        <w:tc>
          <w:tcPr>
            <w:tcW w:w="753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4C50E0A2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294,695</w:t>
            </w:r>
          </w:p>
        </w:tc>
        <w:tc>
          <w:tcPr>
            <w:tcW w:w="649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55C68077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2,707,546</w:t>
            </w:r>
          </w:p>
        </w:tc>
        <w:tc>
          <w:tcPr>
            <w:tcW w:w="697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3B3B385C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966,256</w:t>
            </w:r>
          </w:p>
        </w:tc>
        <w:tc>
          <w:tcPr>
            <w:tcW w:w="750" w:type="pct"/>
            <w:tcBorders>
              <w:top w:val="single" w:sz="4" w:space="0" w:color="196B24" w:themeColor="accent3"/>
              <w:bottom w:val="single" w:sz="4" w:space="0" w:color="196B24" w:themeColor="accent3"/>
            </w:tcBorders>
            <w:vAlign w:val="center"/>
          </w:tcPr>
          <w:p w14:paraId="69EE072C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0</w:t>
            </w:r>
          </w:p>
        </w:tc>
      </w:tr>
      <w:tr w:rsidR="00EF7637" w:rsidRPr="00647339" w14:paraId="7857C2A7" w14:textId="77777777" w:rsidTr="0007142C">
        <w:trPr>
          <w:trHeight w:val="460"/>
        </w:trPr>
        <w:tc>
          <w:tcPr>
            <w:tcW w:w="1604" w:type="pct"/>
            <w:tcBorders>
              <w:top w:val="single" w:sz="4" w:space="0" w:color="196B24" w:themeColor="accent3"/>
              <w:bottom w:val="single" w:sz="4" w:space="0" w:color="auto"/>
              <w:right w:val="dashed" w:sz="4" w:space="0" w:color="auto"/>
            </w:tcBorders>
            <w:vAlign w:val="center"/>
          </w:tcPr>
          <w:p w14:paraId="77E81017" w14:textId="77777777" w:rsidR="00EF7637" w:rsidRPr="00647339" w:rsidRDefault="00EF7637" w:rsidP="0007142C">
            <w:pPr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Total N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>2</w:t>
            </w:r>
            <w:r w:rsidRPr="00647339">
              <w:rPr>
                <w:rFonts w:ascii="Aptos" w:hAnsi="Aptos" w:cs="Arial"/>
                <w:sz w:val="22"/>
                <w:szCs w:val="22"/>
              </w:rPr>
              <w:t>O (kg CO</w:t>
            </w:r>
            <w:r w:rsidRPr="00647339">
              <w:rPr>
                <w:rFonts w:ascii="Aptos" w:hAnsi="Aptos" w:cs="Arial"/>
                <w:sz w:val="22"/>
                <w:szCs w:val="22"/>
                <w:vertAlign w:val="subscript"/>
              </w:rPr>
              <w:t>2</w:t>
            </w:r>
            <w:r w:rsidRPr="00C932F4">
              <w:rPr>
                <w:rFonts w:ascii="Aptos" w:hAnsi="Aptos" w:cs="Arial"/>
                <w:sz w:val="22"/>
                <w:szCs w:val="22"/>
              </w:rPr>
              <w:t>e</w:t>
            </w:r>
            <w:r w:rsidRPr="00647339">
              <w:rPr>
                <w:rFonts w:ascii="Aptos" w:hAnsi="Aptos" w:cs="Arial"/>
                <w:sz w:val="22"/>
                <w:szCs w:val="22"/>
              </w:rPr>
              <w:t>)</w:t>
            </w:r>
          </w:p>
        </w:tc>
        <w:tc>
          <w:tcPr>
            <w:tcW w:w="547" w:type="pct"/>
            <w:tcBorders>
              <w:top w:val="single" w:sz="4" w:space="0" w:color="196B24" w:themeColor="accent3"/>
              <w:left w:val="dashed" w:sz="4" w:space="0" w:color="auto"/>
              <w:bottom w:val="single" w:sz="4" w:space="0" w:color="auto"/>
            </w:tcBorders>
            <w:vAlign w:val="center"/>
          </w:tcPr>
          <w:p w14:paraId="1CBE4C27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21,433</w:t>
            </w:r>
          </w:p>
        </w:tc>
        <w:tc>
          <w:tcPr>
            <w:tcW w:w="753" w:type="pct"/>
            <w:tcBorders>
              <w:top w:val="single" w:sz="4" w:space="0" w:color="196B24" w:themeColor="accent3"/>
              <w:bottom w:val="single" w:sz="4" w:space="0" w:color="auto"/>
            </w:tcBorders>
            <w:vAlign w:val="center"/>
          </w:tcPr>
          <w:p w14:paraId="4B7C292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96,457</w:t>
            </w:r>
          </w:p>
        </w:tc>
        <w:tc>
          <w:tcPr>
            <w:tcW w:w="649" w:type="pct"/>
            <w:tcBorders>
              <w:top w:val="single" w:sz="4" w:space="0" w:color="196B24" w:themeColor="accent3"/>
              <w:bottom w:val="single" w:sz="4" w:space="0" w:color="auto"/>
            </w:tcBorders>
            <w:vAlign w:val="center"/>
          </w:tcPr>
          <w:p w14:paraId="75433406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488,174</w:t>
            </w:r>
          </w:p>
        </w:tc>
        <w:tc>
          <w:tcPr>
            <w:tcW w:w="697" w:type="pct"/>
            <w:tcBorders>
              <w:top w:val="single" w:sz="4" w:space="0" w:color="196B24" w:themeColor="accent3"/>
              <w:bottom w:val="single" w:sz="4" w:space="0" w:color="auto"/>
            </w:tcBorders>
            <w:vAlign w:val="center"/>
          </w:tcPr>
          <w:p w14:paraId="2E2FC43D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136,526</w:t>
            </w:r>
          </w:p>
        </w:tc>
        <w:tc>
          <w:tcPr>
            <w:tcW w:w="750" w:type="pct"/>
            <w:tcBorders>
              <w:top w:val="single" w:sz="4" w:space="0" w:color="196B24" w:themeColor="accent3"/>
              <w:bottom w:val="single" w:sz="4" w:space="0" w:color="auto"/>
            </w:tcBorders>
            <w:vAlign w:val="center"/>
          </w:tcPr>
          <w:p w14:paraId="79882DF3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647339">
              <w:rPr>
                <w:rFonts w:ascii="Aptos" w:hAnsi="Aptos" w:cs="Arial"/>
                <w:sz w:val="22"/>
                <w:szCs w:val="22"/>
              </w:rPr>
              <w:t>26,954</w:t>
            </w:r>
          </w:p>
        </w:tc>
      </w:tr>
      <w:tr w:rsidR="00EF7637" w:rsidRPr="00647339" w14:paraId="3BF66A24" w14:textId="77777777" w:rsidTr="0007142C">
        <w:trPr>
          <w:trHeight w:val="460"/>
        </w:trPr>
        <w:tc>
          <w:tcPr>
            <w:tcW w:w="1604" w:type="pct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378C7" w14:textId="77777777" w:rsidR="00EF7637" w:rsidRPr="00647339" w:rsidRDefault="00EF7637" w:rsidP="0007142C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Total CO</w:t>
            </w:r>
            <w:r w:rsidRPr="00647339">
              <w:rPr>
                <w:rFonts w:ascii="Aptos" w:hAnsi="Aptos" w:cs="Arial"/>
                <w:b/>
                <w:bCs/>
                <w:sz w:val="22"/>
                <w:szCs w:val="22"/>
                <w:vertAlign w:val="subscript"/>
              </w:rPr>
              <w:t>2</w:t>
            </w:r>
            <w:r w:rsidRPr="00C932F4">
              <w:rPr>
                <w:rFonts w:ascii="Aptos" w:hAnsi="Aptos" w:cs="Arial"/>
                <w:b/>
                <w:bCs/>
                <w:sz w:val="22"/>
                <w:szCs w:val="22"/>
              </w:rPr>
              <w:t>e</w:t>
            </w:r>
            <w:r w:rsidRPr="00647339">
              <w:rPr>
                <w:rFonts w:ascii="Aptos" w:hAnsi="Aptos" w:cs="Arial"/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emissions from farming</w:t>
            </w:r>
          </w:p>
        </w:tc>
        <w:tc>
          <w:tcPr>
            <w:tcW w:w="547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0CD4ABA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211,787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892A4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473,596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8BF3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4,679,919</w:t>
            </w:r>
          </w:p>
        </w:tc>
        <w:tc>
          <w:tcPr>
            <w:tcW w:w="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B22F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2,517,778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F84CD" w14:textId="77777777" w:rsidR="00EF7637" w:rsidRPr="00647339" w:rsidRDefault="00EF7637" w:rsidP="0007142C">
            <w:pPr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647339">
              <w:rPr>
                <w:rFonts w:ascii="Aptos" w:hAnsi="Aptos" w:cs="Arial"/>
                <w:b/>
                <w:bCs/>
                <w:sz w:val="22"/>
                <w:szCs w:val="22"/>
              </w:rPr>
              <w:t>73,330</w:t>
            </w:r>
          </w:p>
        </w:tc>
      </w:tr>
    </w:tbl>
    <w:p w14:paraId="3D5C9672" w14:textId="23250413" w:rsidR="007B30E3" w:rsidRDefault="007B30E3">
      <w:pPr>
        <w:rPr>
          <w:b/>
          <w:bCs/>
          <w:lang w:val="en-US"/>
        </w:rPr>
      </w:pPr>
    </w:p>
    <w:p w14:paraId="2C4753D3" w14:textId="77777777" w:rsidR="00780829" w:rsidRDefault="00780829">
      <w:pPr>
        <w:rPr>
          <w:b/>
          <w:bCs/>
          <w:lang w:val="en-US"/>
        </w:rPr>
      </w:pPr>
    </w:p>
    <w:p w14:paraId="1448D269" w14:textId="029BD4D9" w:rsidR="00EF7637" w:rsidRDefault="00EF7637" w:rsidP="00F401CD">
      <w:pPr>
        <w:rPr>
          <w:rFonts w:ascii="Aptos" w:hAnsi="Aptos"/>
          <w:b/>
          <w:bCs/>
          <w:lang w:val="en-US"/>
        </w:rPr>
      </w:pPr>
      <w:r w:rsidRPr="00647339">
        <w:rPr>
          <w:rFonts w:ascii="Aptos" w:hAnsi="Aptos"/>
          <w:b/>
          <w:bCs/>
          <w:noProof/>
          <w:lang w:val="en-US"/>
        </w:rPr>
        <w:drawing>
          <wp:inline distT="0" distB="0" distL="0" distR="0" wp14:anchorId="0E9972DD" wp14:editId="2CC7E4B2">
            <wp:extent cx="5720400" cy="3114000"/>
            <wp:effectExtent l="0" t="0" r="0" b="0"/>
            <wp:docPr id="3" name="Picture 3" descr="A graph of different types of sour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different types of source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400" cy="31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0F8CE" w14:textId="361CB70D" w:rsidR="00F401CD" w:rsidRPr="00315198" w:rsidRDefault="00F401CD" w:rsidP="00F401CD">
      <w:pPr>
        <w:rPr>
          <w:rFonts w:ascii="Aptos" w:hAnsi="Aptos"/>
          <w:lang w:val="en-US"/>
        </w:rPr>
      </w:pPr>
      <w:r w:rsidRPr="00647339">
        <w:rPr>
          <w:rFonts w:ascii="Aptos" w:hAnsi="Aptos"/>
          <w:b/>
          <w:bCs/>
          <w:lang w:val="en-US"/>
        </w:rPr>
        <w:t>Figure 1. Percentage contribution of biogenic and thermogenic sources per enterprise</w:t>
      </w:r>
    </w:p>
    <w:p w14:paraId="26337DAC" w14:textId="6D95BE65" w:rsidR="00081428" w:rsidRDefault="00081428">
      <w:pPr>
        <w:rPr>
          <w:b/>
          <w:bCs/>
          <w:lang w:val="en-US"/>
        </w:rPr>
      </w:pPr>
    </w:p>
    <w:p w14:paraId="68E461EC" w14:textId="317E8356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Conclusions</w:t>
      </w:r>
    </w:p>
    <w:p w14:paraId="41A3C7EB" w14:textId="61D6DDD8" w:rsidR="007B30E3" w:rsidRDefault="003A4993" w:rsidP="00D1215B">
      <w:pPr>
        <w:jc w:val="both"/>
        <w:rPr>
          <w:b/>
          <w:bCs/>
          <w:lang w:val="en-US"/>
        </w:rPr>
      </w:pPr>
      <w:r w:rsidRPr="00647339">
        <w:rPr>
          <w:rFonts w:ascii="Aptos" w:hAnsi="Aptos"/>
          <w:lang w:val="en-US"/>
        </w:rPr>
        <w:t>The balance between</w:t>
      </w:r>
      <w:r w:rsidR="0007142C">
        <w:rPr>
          <w:rFonts w:ascii="Aptos" w:hAnsi="Aptos"/>
          <w:lang w:val="en-US"/>
        </w:rPr>
        <w:t xml:space="preserve"> total</w:t>
      </w:r>
      <w:r w:rsidRPr="00647339">
        <w:rPr>
          <w:rFonts w:ascii="Aptos" w:hAnsi="Aptos"/>
          <w:lang w:val="en-US"/>
        </w:rPr>
        <w:t xml:space="preserve"> biogenic and thermogenic sources differed with each enterprise within </w:t>
      </w:r>
      <w:r>
        <w:rPr>
          <w:rFonts w:ascii="Aptos" w:hAnsi="Aptos"/>
          <w:lang w:val="en-US"/>
        </w:rPr>
        <w:t xml:space="preserve">Future </w:t>
      </w:r>
      <w:r w:rsidR="006A373E">
        <w:rPr>
          <w:rFonts w:ascii="Aptos" w:hAnsi="Aptos"/>
          <w:lang w:val="en-US"/>
        </w:rPr>
        <w:t>F</w:t>
      </w:r>
      <w:r w:rsidRPr="00647339">
        <w:rPr>
          <w:rFonts w:ascii="Aptos" w:hAnsi="Aptos"/>
          <w:lang w:val="en-US"/>
        </w:rPr>
        <w:t>arm</w:t>
      </w:r>
      <w:r w:rsidR="006A373E">
        <w:rPr>
          <w:rFonts w:ascii="Aptos" w:hAnsi="Aptos"/>
          <w:lang w:val="en-US"/>
        </w:rPr>
        <w:t>, as did the proportion of emissions where biogenic and thermogenic sources were indistin</w:t>
      </w:r>
      <w:r w:rsidR="003B3000">
        <w:rPr>
          <w:rFonts w:ascii="Aptos" w:hAnsi="Aptos"/>
          <w:lang w:val="en-US"/>
        </w:rPr>
        <w:t>guishable</w:t>
      </w:r>
      <w:r w:rsidRPr="00647339">
        <w:rPr>
          <w:rFonts w:ascii="Aptos" w:hAnsi="Aptos"/>
          <w:lang w:val="en-US"/>
        </w:rPr>
        <w:t>. As part of a net-zero transition, the thermogenic sources derived from fossil fuels would be the focus of decarboni</w:t>
      </w:r>
      <w:r w:rsidR="00D3578B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>ation and the biogenic sources would be balanced by sinks in concert with decarboni</w:t>
      </w:r>
      <w:r w:rsidR="00F90917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>ation. The ability to disaggregate the sources within Agri-</w:t>
      </w:r>
      <w:r w:rsidR="00787F8C" w:rsidRPr="00647339">
        <w:rPr>
          <w:rFonts w:ascii="Aptos" w:hAnsi="Aptos"/>
          <w:lang w:val="en-US"/>
        </w:rPr>
        <w:t xml:space="preserve">food </w:t>
      </w:r>
      <w:r w:rsidR="00787F8C">
        <w:rPr>
          <w:rFonts w:ascii="Aptos" w:hAnsi="Aptos"/>
          <w:lang w:val="en-US"/>
        </w:rPr>
        <w:t>is</w:t>
      </w:r>
      <w:r w:rsidR="003B3000">
        <w:rPr>
          <w:rFonts w:ascii="Aptos" w:hAnsi="Aptos"/>
          <w:lang w:val="en-US"/>
        </w:rPr>
        <w:t xml:space="preserve"> crucial to </w:t>
      </w:r>
      <w:r w:rsidR="00A922D3">
        <w:rPr>
          <w:rFonts w:ascii="Aptos" w:hAnsi="Aptos"/>
          <w:lang w:val="en-US"/>
        </w:rPr>
        <w:t>inform management decisions regarding</w:t>
      </w:r>
      <w:r w:rsidRPr="00647339">
        <w:rPr>
          <w:rFonts w:ascii="Aptos" w:hAnsi="Aptos"/>
          <w:lang w:val="en-US"/>
        </w:rPr>
        <w:t xml:space="preserve"> natural sinks and those that need to be removed through decarboni</w:t>
      </w:r>
      <w:r w:rsidR="009C47A9">
        <w:rPr>
          <w:rFonts w:ascii="Aptos" w:hAnsi="Aptos"/>
          <w:lang w:val="en-US"/>
        </w:rPr>
        <w:t>s</w:t>
      </w:r>
      <w:r w:rsidRPr="00647339">
        <w:rPr>
          <w:rFonts w:ascii="Aptos" w:hAnsi="Aptos"/>
          <w:lang w:val="en-US"/>
        </w:rPr>
        <w:t xml:space="preserve">ation, </w:t>
      </w:r>
      <w:r w:rsidR="00084869">
        <w:rPr>
          <w:rFonts w:ascii="Aptos" w:hAnsi="Aptos"/>
          <w:lang w:val="en-US"/>
        </w:rPr>
        <w:t>and to</w:t>
      </w:r>
      <w:r w:rsidRPr="00647339">
        <w:rPr>
          <w:rFonts w:ascii="Aptos" w:hAnsi="Aptos"/>
          <w:lang w:val="en-US"/>
        </w:rPr>
        <w:t xml:space="preserve"> assist the development </w:t>
      </w:r>
      <w:r w:rsidR="003E5BCD">
        <w:rPr>
          <w:rFonts w:ascii="Aptos" w:hAnsi="Aptos"/>
          <w:lang w:val="en-US"/>
        </w:rPr>
        <w:t xml:space="preserve">and implementation </w:t>
      </w:r>
      <w:r w:rsidRPr="00647339">
        <w:rPr>
          <w:rFonts w:ascii="Aptos" w:hAnsi="Aptos"/>
          <w:lang w:val="en-US"/>
        </w:rPr>
        <w:t>of a net-zero carbon strategy</w:t>
      </w:r>
      <w:r w:rsidR="00D1215B">
        <w:rPr>
          <w:rFonts w:ascii="Aptos" w:hAnsi="Aptos"/>
          <w:lang w:val="en-US"/>
        </w:rPr>
        <w:t xml:space="preserve"> at </w:t>
      </w:r>
      <w:r w:rsidR="00D1215B" w:rsidRPr="00647339">
        <w:rPr>
          <w:rFonts w:ascii="Aptos" w:hAnsi="Aptos"/>
          <w:lang w:val="en-US"/>
        </w:rPr>
        <w:t>farm level</w:t>
      </w:r>
      <w:r w:rsidRPr="00647339">
        <w:rPr>
          <w:rFonts w:ascii="Aptos" w:hAnsi="Aptos"/>
          <w:lang w:val="en-US"/>
        </w:rPr>
        <w:t>.</w:t>
      </w:r>
    </w:p>
    <w:p w14:paraId="4AB565D6" w14:textId="77777777" w:rsidR="003A4993" w:rsidRDefault="003A4993">
      <w:pPr>
        <w:rPr>
          <w:b/>
          <w:bCs/>
          <w:lang w:val="en-US"/>
        </w:rPr>
      </w:pPr>
    </w:p>
    <w:p w14:paraId="0ADB320F" w14:textId="28150D8B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0D5AE0A4" w14:textId="77777777" w:rsidR="00DD350F" w:rsidRPr="00647339" w:rsidRDefault="00DD350F" w:rsidP="00DD350F">
      <w:pPr>
        <w:spacing w:after="0"/>
        <w:jc w:val="both"/>
        <w:rPr>
          <w:rFonts w:ascii="Aptos" w:hAnsi="Aptos"/>
        </w:rPr>
      </w:pPr>
      <w:r w:rsidRPr="00647339">
        <w:rPr>
          <w:rFonts w:ascii="Aptos" w:hAnsi="Aptos"/>
        </w:rPr>
        <w:t xml:space="preserve">IPCC (2021). Climate Change 2021: The Physical Science Basis. Contribution of Working Group I to the Sixth Assessment Report of the Intergovernmental Panel on Climate Change. Cambridge: Cambridge University Press. DOI: </w:t>
      </w:r>
      <w:hyperlink r:id="rId9" w:history="1">
        <w:r w:rsidRPr="00647339">
          <w:rPr>
            <w:rStyle w:val="Hyperlink"/>
            <w:rFonts w:ascii="Aptos" w:hAnsi="Aptos"/>
          </w:rPr>
          <w:t>https://doi.org/10.1017/9781009157896</w:t>
        </w:r>
      </w:hyperlink>
    </w:p>
    <w:p w14:paraId="7268B0B8" w14:textId="77777777" w:rsidR="00DD350F" w:rsidRPr="00647339" w:rsidRDefault="00DD350F" w:rsidP="00DD350F">
      <w:pPr>
        <w:spacing w:after="0"/>
        <w:jc w:val="both"/>
        <w:rPr>
          <w:rFonts w:ascii="Aptos" w:hAnsi="Aptos" w:cs="Arial"/>
        </w:rPr>
      </w:pPr>
    </w:p>
    <w:p w14:paraId="35506513" w14:textId="77777777" w:rsidR="00DD350F" w:rsidRPr="00647339" w:rsidRDefault="00DD350F" w:rsidP="00DD350F">
      <w:pPr>
        <w:spacing w:after="0"/>
        <w:jc w:val="both"/>
        <w:rPr>
          <w:rFonts w:ascii="Aptos" w:hAnsi="Aptos" w:cs="Arial"/>
        </w:rPr>
      </w:pPr>
      <w:r w:rsidRPr="00647339">
        <w:rPr>
          <w:rFonts w:ascii="Aptos" w:hAnsi="Aptos" w:cs="Arial"/>
        </w:rPr>
        <w:t xml:space="preserve">Rockström, J., Gupta, J., Qin, D. </w:t>
      </w:r>
      <w:r w:rsidRPr="00647339">
        <w:rPr>
          <w:rFonts w:ascii="Aptos" w:hAnsi="Aptos" w:cs="Arial"/>
          <w:i/>
          <w:iCs/>
        </w:rPr>
        <w:t>et al.</w:t>
      </w:r>
      <w:r w:rsidRPr="00647339">
        <w:rPr>
          <w:rFonts w:ascii="Aptos" w:hAnsi="Aptos" w:cs="Arial"/>
        </w:rPr>
        <w:t xml:space="preserve"> (2023) Safe and just earth system boundaries </w:t>
      </w:r>
      <w:r w:rsidRPr="00647339">
        <w:rPr>
          <w:rFonts w:ascii="Aptos" w:hAnsi="Aptos" w:cs="Arial"/>
          <w:i/>
          <w:iCs/>
        </w:rPr>
        <w:t xml:space="preserve">Nature, </w:t>
      </w:r>
      <w:r w:rsidRPr="00647339">
        <w:rPr>
          <w:rFonts w:ascii="Aptos" w:hAnsi="Aptos" w:cs="Arial"/>
        </w:rPr>
        <w:t>619, pp 102-111.</w:t>
      </w:r>
    </w:p>
    <w:p w14:paraId="0ED49B6A" w14:textId="77777777" w:rsidR="00DD350F" w:rsidRPr="007B30E3" w:rsidRDefault="00DD350F">
      <w:pPr>
        <w:rPr>
          <w:b/>
          <w:bCs/>
          <w:lang w:val="en-US"/>
        </w:rPr>
      </w:pPr>
    </w:p>
    <w:sectPr w:rsidR="00DD350F" w:rsidRPr="007B30E3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27A6C"/>
    <w:rsid w:val="00053842"/>
    <w:rsid w:val="00056D2B"/>
    <w:rsid w:val="0007142C"/>
    <w:rsid w:val="000726FB"/>
    <w:rsid w:val="00081428"/>
    <w:rsid w:val="00084869"/>
    <w:rsid w:val="000A0CE9"/>
    <w:rsid w:val="000A359F"/>
    <w:rsid w:val="000A46FC"/>
    <w:rsid w:val="000A6D61"/>
    <w:rsid w:val="000E464A"/>
    <w:rsid w:val="0010775D"/>
    <w:rsid w:val="00147DC8"/>
    <w:rsid w:val="001622BF"/>
    <w:rsid w:val="00190FF1"/>
    <w:rsid w:val="00296A16"/>
    <w:rsid w:val="002C26C6"/>
    <w:rsid w:val="002C55C8"/>
    <w:rsid w:val="00342AB4"/>
    <w:rsid w:val="00383DCD"/>
    <w:rsid w:val="00397193"/>
    <w:rsid w:val="003A4993"/>
    <w:rsid w:val="003B0D85"/>
    <w:rsid w:val="003B3000"/>
    <w:rsid w:val="003D52A3"/>
    <w:rsid w:val="003E5BCD"/>
    <w:rsid w:val="004308F2"/>
    <w:rsid w:val="00434C59"/>
    <w:rsid w:val="00485206"/>
    <w:rsid w:val="00496B2E"/>
    <w:rsid w:val="00497A67"/>
    <w:rsid w:val="00512AF6"/>
    <w:rsid w:val="0055731F"/>
    <w:rsid w:val="00566819"/>
    <w:rsid w:val="00591884"/>
    <w:rsid w:val="005C5EFC"/>
    <w:rsid w:val="00616499"/>
    <w:rsid w:val="00625B14"/>
    <w:rsid w:val="00653770"/>
    <w:rsid w:val="00683347"/>
    <w:rsid w:val="006A373E"/>
    <w:rsid w:val="006B22EB"/>
    <w:rsid w:val="006B78E4"/>
    <w:rsid w:val="006D0336"/>
    <w:rsid w:val="007603B4"/>
    <w:rsid w:val="00780829"/>
    <w:rsid w:val="00787F8C"/>
    <w:rsid w:val="00792AB2"/>
    <w:rsid w:val="007B30E3"/>
    <w:rsid w:val="00823AFC"/>
    <w:rsid w:val="00886A1C"/>
    <w:rsid w:val="008C0EB6"/>
    <w:rsid w:val="008D031A"/>
    <w:rsid w:val="008F6AF3"/>
    <w:rsid w:val="00925456"/>
    <w:rsid w:val="00933E8C"/>
    <w:rsid w:val="00992621"/>
    <w:rsid w:val="009C47A9"/>
    <w:rsid w:val="00A10126"/>
    <w:rsid w:val="00A10D1E"/>
    <w:rsid w:val="00A3423A"/>
    <w:rsid w:val="00A76955"/>
    <w:rsid w:val="00A922D3"/>
    <w:rsid w:val="00AC1074"/>
    <w:rsid w:val="00AD44D2"/>
    <w:rsid w:val="00AE2946"/>
    <w:rsid w:val="00B2144B"/>
    <w:rsid w:val="00B26358"/>
    <w:rsid w:val="00B52E4E"/>
    <w:rsid w:val="00B67DB8"/>
    <w:rsid w:val="00BA2B3A"/>
    <w:rsid w:val="00C20E52"/>
    <w:rsid w:val="00C362F3"/>
    <w:rsid w:val="00C53AE2"/>
    <w:rsid w:val="00C659C3"/>
    <w:rsid w:val="00C932F4"/>
    <w:rsid w:val="00C95030"/>
    <w:rsid w:val="00CD1DE6"/>
    <w:rsid w:val="00CE2818"/>
    <w:rsid w:val="00D1215B"/>
    <w:rsid w:val="00D3578B"/>
    <w:rsid w:val="00DB03D5"/>
    <w:rsid w:val="00DD21B5"/>
    <w:rsid w:val="00DD350F"/>
    <w:rsid w:val="00E11059"/>
    <w:rsid w:val="00E27EE6"/>
    <w:rsid w:val="00E53E74"/>
    <w:rsid w:val="00E57EB9"/>
    <w:rsid w:val="00E93020"/>
    <w:rsid w:val="00EF7637"/>
    <w:rsid w:val="00F401CD"/>
    <w:rsid w:val="00F578FD"/>
    <w:rsid w:val="00F90917"/>
    <w:rsid w:val="00FB4B15"/>
    <w:rsid w:val="00FF4531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6B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bottom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7/978100915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Alice Rogers</cp:lastModifiedBy>
  <cp:revision>41</cp:revision>
  <dcterms:created xsi:type="dcterms:W3CDTF">2024-07-23T11:02:00Z</dcterms:created>
  <dcterms:modified xsi:type="dcterms:W3CDTF">2024-08-21T15:10:00Z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