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C79B" w14:textId="29060DBD" w:rsidR="007B30E3" w:rsidRPr="004A6060" w:rsidRDefault="007B30E3" w:rsidP="004A6060">
      <w:pPr>
        <w:rPr>
          <w:b/>
          <w:bCs/>
          <w:sz w:val="32"/>
          <w:szCs w:val="32"/>
          <w:lang w:val="en-US"/>
        </w:rPr>
      </w:pPr>
      <w:r w:rsidRPr="004A6060">
        <w:rPr>
          <w:b/>
          <w:bCs/>
          <w:lang w:val="en-US"/>
        </w:rPr>
        <w:t>Application</w:t>
      </w:r>
    </w:p>
    <w:p w14:paraId="26F26E50" w14:textId="654CDD40" w:rsidR="004A6060" w:rsidRPr="004A6060" w:rsidRDefault="004A6060">
      <w:pPr>
        <w:rPr>
          <w:bCs/>
        </w:rPr>
      </w:pPr>
      <w:r w:rsidRPr="004A6060">
        <w:rPr>
          <w:bCs/>
        </w:rPr>
        <w:t>Red clover has the ability to produce high herbage yields at reduced chemical nitrogen application, and to maintain dairy cow performance.</w:t>
      </w:r>
    </w:p>
    <w:p w14:paraId="5E9F33D1" w14:textId="5CDACFA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167B5498" w14:textId="5828333D" w:rsidR="007B30E3" w:rsidRPr="004A6060" w:rsidRDefault="004A6060">
      <w:pPr>
        <w:rPr>
          <w:bCs/>
          <w:lang w:val="en-US"/>
        </w:rPr>
      </w:pPr>
      <w:r w:rsidRPr="004A6060">
        <w:rPr>
          <w:bCs/>
          <w:lang w:val="en-US"/>
        </w:rPr>
        <w:t xml:space="preserve">The European Green deal set a target to reduce greenhouse gas emissions by 55% and to reach a 20% reduction in inorganic nitrogen (N) </w:t>
      </w:r>
      <w:proofErr w:type="spellStart"/>
      <w:r w:rsidRPr="004A6060">
        <w:rPr>
          <w:bCs/>
          <w:lang w:val="en-US"/>
        </w:rPr>
        <w:t>fertiliser</w:t>
      </w:r>
      <w:proofErr w:type="spellEnd"/>
      <w:r w:rsidRPr="004A6060">
        <w:rPr>
          <w:bCs/>
          <w:lang w:val="en-US"/>
        </w:rPr>
        <w:t xml:space="preserve"> use by 2030. Perennial ryegrass (</w:t>
      </w:r>
      <w:proofErr w:type="spellStart"/>
      <w:r w:rsidRPr="004A6060">
        <w:rPr>
          <w:bCs/>
          <w:lang w:val="en-US"/>
        </w:rPr>
        <w:t>Lolium</w:t>
      </w:r>
      <w:proofErr w:type="spellEnd"/>
      <w:r w:rsidRPr="004A6060">
        <w:rPr>
          <w:bCs/>
          <w:lang w:val="en-US"/>
        </w:rPr>
        <w:t xml:space="preserve"> </w:t>
      </w:r>
      <w:proofErr w:type="spellStart"/>
      <w:r w:rsidRPr="004A6060">
        <w:rPr>
          <w:bCs/>
          <w:lang w:val="en-US"/>
        </w:rPr>
        <w:t>perenne</w:t>
      </w:r>
      <w:proofErr w:type="spellEnd"/>
      <w:r w:rsidRPr="004A6060">
        <w:rPr>
          <w:bCs/>
          <w:lang w:val="en-US"/>
        </w:rPr>
        <w:t xml:space="preserve"> L.; PRG) monocultures are highly dependent on inorganic N to maintain high herbage production. The inclusion of red clover (</w:t>
      </w:r>
      <w:proofErr w:type="spellStart"/>
      <w:r w:rsidRPr="004A6060">
        <w:rPr>
          <w:bCs/>
          <w:lang w:val="en-US"/>
        </w:rPr>
        <w:t>Trifolium</w:t>
      </w:r>
      <w:proofErr w:type="spellEnd"/>
      <w:r w:rsidRPr="004A6060">
        <w:rPr>
          <w:bCs/>
          <w:lang w:val="en-US"/>
        </w:rPr>
        <w:t xml:space="preserve"> </w:t>
      </w:r>
      <w:proofErr w:type="spellStart"/>
      <w:r w:rsidRPr="004A6060">
        <w:rPr>
          <w:bCs/>
          <w:lang w:val="en-US"/>
        </w:rPr>
        <w:t>pratense</w:t>
      </w:r>
      <w:proofErr w:type="spellEnd"/>
      <w:r w:rsidRPr="004A6060">
        <w:rPr>
          <w:bCs/>
          <w:lang w:val="en-US"/>
        </w:rPr>
        <w:t xml:space="preserve"> L.) into PRG silage swards without inorganic N application maintained herbage production, similar to PRG monocultures receiving 412 kg of inorganic N/ha/year (</w:t>
      </w:r>
      <w:proofErr w:type="spellStart"/>
      <w:r w:rsidRPr="004A6060">
        <w:rPr>
          <w:bCs/>
          <w:lang w:val="en-US"/>
        </w:rPr>
        <w:t>Clavin</w:t>
      </w:r>
      <w:proofErr w:type="spellEnd"/>
      <w:r w:rsidRPr="004A6060">
        <w:rPr>
          <w:bCs/>
          <w:lang w:val="en-US"/>
        </w:rPr>
        <w:t xml:space="preserve"> et al., 2016). In grass-based systems, increasing the proportion of grazed pasture in the diet of dairy cows </w:t>
      </w:r>
      <w:proofErr w:type="gramStart"/>
      <w:r w:rsidRPr="004A6060">
        <w:rPr>
          <w:bCs/>
          <w:lang w:val="en-US"/>
        </w:rPr>
        <w:t>was shown</w:t>
      </w:r>
      <w:proofErr w:type="gramEnd"/>
      <w:r w:rsidRPr="004A6060">
        <w:rPr>
          <w:bCs/>
          <w:lang w:val="en-US"/>
        </w:rPr>
        <w:t xml:space="preserve"> to improve farm profitability (Dillon et al., 2005). During restricted grazing conditions or low pasture supply, cows typically graze by day and </w:t>
      </w:r>
      <w:proofErr w:type="gramStart"/>
      <w:r w:rsidRPr="004A6060">
        <w:rPr>
          <w:bCs/>
          <w:lang w:val="en-US"/>
        </w:rPr>
        <w:t>are supplemented</w:t>
      </w:r>
      <w:proofErr w:type="gramEnd"/>
      <w:r w:rsidRPr="004A6060">
        <w:rPr>
          <w:bCs/>
          <w:lang w:val="en-US"/>
        </w:rPr>
        <w:t xml:space="preserve"> with silage at night. In indoor feeding systems, dry matter (DM) intake and milk production </w:t>
      </w:r>
      <w:proofErr w:type="gramStart"/>
      <w:r w:rsidRPr="004A6060">
        <w:rPr>
          <w:bCs/>
          <w:lang w:val="en-US"/>
        </w:rPr>
        <w:t>were improved</w:t>
      </w:r>
      <w:proofErr w:type="gramEnd"/>
      <w:r w:rsidRPr="004A6060">
        <w:rPr>
          <w:bCs/>
          <w:lang w:val="en-US"/>
        </w:rPr>
        <w:t xml:space="preserve"> when red clover silage was fed to dairy cows, when compared to PRG silage (</w:t>
      </w:r>
      <w:proofErr w:type="spellStart"/>
      <w:r w:rsidRPr="004A6060">
        <w:rPr>
          <w:bCs/>
          <w:lang w:val="en-US"/>
        </w:rPr>
        <w:t>Steinshamn</w:t>
      </w:r>
      <w:proofErr w:type="spellEnd"/>
      <w:r w:rsidRPr="004A6060">
        <w:rPr>
          <w:bCs/>
          <w:lang w:val="en-US"/>
        </w:rPr>
        <w:t>, 2010). The objective of this study was to investigate the effect of silage species and silage feeding rate on the milk production of late lactation dairy cows, within a pasture-based system.</w:t>
      </w: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31DE43A2" w14:textId="06196360" w:rsidR="007B30E3" w:rsidRPr="004A6060" w:rsidRDefault="004A6060">
      <w:pPr>
        <w:rPr>
          <w:bCs/>
          <w:lang w:val="en-US"/>
        </w:rPr>
      </w:pPr>
      <w:r w:rsidRPr="004A6060">
        <w:rPr>
          <w:bCs/>
          <w:lang w:val="en-US"/>
        </w:rPr>
        <w:t xml:space="preserve">This study </w:t>
      </w:r>
      <w:proofErr w:type="gramStart"/>
      <w:r w:rsidRPr="004A6060">
        <w:rPr>
          <w:bCs/>
          <w:lang w:val="en-US"/>
        </w:rPr>
        <w:t>was conducted</w:t>
      </w:r>
      <w:proofErr w:type="gramEnd"/>
      <w:r w:rsidRPr="004A6060">
        <w:rPr>
          <w:bCs/>
          <w:lang w:val="en-US"/>
        </w:rPr>
        <w:t xml:space="preserve"> from mid-September to the end of November 2023. Eighty Holstein-Friesian and Jersey x Holstein-Friesian crossbred dairy cows in late lactation </w:t>
      </w:r>
      <w:proofErr w:type="gramStart"/>
      <w:r w:rsidRPr="004A6060">
        <w:rPr>
          <w:bCs/>
          <w:lang w:val="en-US"/>
        </w:rPr>
        <w:t>were blocked</w:t>
      </w:r>
      <w:proofErr w:type="gramEnd"/>
      <w:r w:rsidRPr="004A6060">
        <w:rPr>
          <w:bCs/>
          <w:lang w:val="en-US"/>
        </w:rPr>
        <w:t xml:space="preserve"> based on pre-experimental milk production, parity and breed. Cows were then randomly assigned to one of four dietary treatments in a 2×2 factorial design including two silage species (PRG silage (GS) vs. PRG-red clover silage (GRCS)) and two silage feeding rates (restricted to 8 kg of DM/cow (L) vs. ad libitum (H; targeting 5% refusals)). All groups grazed separately by day and received silage at night along with 2.68 kg of DM of a concentrate comprising 166 g of crude protein/kg of DM. The experiment consisted of a 2-wk covariate period, followed by eight weeks of data collection. Individual milk yields </w:t>
      </w:r>
      <w:proofErr w:type="gramStart"/>
      <w:r w:rsidRPr="004A6060">
        <w:rPr>
          <w:bCs/>
          <w:lang w:val="en-US"/>
        </w:rPr>
        <w:t>were recorded</w:t>
      </w:r>
      <w:proofErr w:type="gramEnd"/>
      <w:r w:rsidRPr="004A6060">
        <w:rPr>
          <w:bCs/>
          <w:lang w:val="en-US"/>
        </w:rPr>
        <w:t xml:space="preserve"> daily, and milk composition weekly. Milk samples from two consecutive evening and morning </w:t>
      </w:r>
      <w:proofErr w:type="spellStart"/>
      <w:r w:rsidRPr="004A6060">
        <w:rPr>
          <w:bCs/>
          <w:lang w:val="en-US"/>
        </w:rPr>
        <w:t>milkings</w:t>
      </w:r>
      <w:proofErr w:type="spellEnd"/>
      <w:r w:rsidRPr="004A6060">
        <w:rPr>
          <w:bCs/>
          <w:lang w:val="en-US"/>
        </w:rPr>
        <w:t xml:space="preserve"> </w:t>
      </w:r>
      <w:proofErr w:type="gramStart"/>
      <w:r w:rsidRPr="004A6060">
        <w:rPr>
          <w:bCs/>
          <w:lang w:val="en-US"/>
        </w:rPr>
        <w:t>were collected</w:t>
      </w:r>
      <w:proofErr w:type="gramEnd"/>
      <w:r w:rsidRPr="004A6060">
        <w:rPr>
          <w:bCs/>
          <w:lang w:val="en-US"/>
        </w:rPr>
        <w:t xml:space="preserve"> and </w:t>
      </w:r>
      <w:proofErr w:type="spellStart"/>
      <w:r w:rsidRPr="004A6060">
        <w:rPr>
          <w:bCs/>
          <w:lang w:val="en-US"/>
        </w:rPr>
        <w:t>analysed</w:t>
      </w:r>
      <w:proofErr w:type="spellEnd"/>
      <w:r w:rsidRPr="004A6060">
        <w:rPr>
          <w:bCs/>
          <w:lang w:val="en-US"/>
        </w:rPr>
        <w:t xml:space="preserve"> using a </w:t>
      </w:r>
      <w:proofErr w:type="spellStart"/>
      <w:r w:rsidRPr="004A6060">
        <w:rPr>
          <w:bCs/>
          <w:lang w:val="en-US"/>
        </w:rPr>
        <w:t>Milkoscan</w:t>
      </w:r>
      <w:proofErr w:type="spellEnd"/>
      <w:r w:rsidRPr="004A6060">
        <w:rPr>
          <w:bCs/>
          <w:lang w:val="en-US"/>
        </w:rPr>
        <w:t xml:space="preserve"> 7. Weekly milk solids yields (fat yield + protein yield) were then calculated. Data were </w:t>
      </w:r>
      <w:proofErr w:type="spellStart"/>
      <w:r w:rsidRPr="004A6060">
        <w:rPr>
          <w:bCs/>
          <w:lang w:val="en-US"/>
        </w:rPr>
        <w:t>analysed</w:t>
      </w:r>
      <w:proofErr w:type="spellEnd"/>
      <w:r w:rsidRPr="004A6060">
        <w:rPr>
          <w:bCs/>
          <w:lang w:val="en-US"/>
        </w:rPr>
        <w:t xml:space="preserve"> using a mixed model in R. The fixed effects included in the model were silage species, silage feeding rate, week, their interaction, parity and breed. Cow was included in the model as a random effect and a covariate adjustment </w:t>
      </w:r>
      <w:proofErr w:type="gramStart"/>
      <w:r w:rsidRPr="004A6060">
        <w:rPr>
          <w:bCs/>
          <w:lang w:val="en-US"/>
        </w:rPr>
        <w:t>was applied</w:t>
      </w:r>
      <w:proofErr w:type="gramEnd"/>
      <w:r w:rsidRPr="004A6060">
        <w:rPr>
          <w:bCs/>
          <w:lang w:val="en-US"/>
        </w:rPr>
        <w:t xml:space="preserve"> for each cow. The repeated effect of the model </w:t>
      </w:r>
      <w:proofErr w:type="gramStart"/>
      <w:r w:rsidRPr="004A6060">
        <w:rPr>
          <w:bCs/>
          <w:lang w:val="en-US"/>
        </w:rPr>
        <w:t>was based</w:t>
      </w:r>
      <w:proofErr w:type="gramEnd"/>
      <w:r w:rsidRPr="004A6060">
        <w:rPr>
          <w:bCs/>
          <w:lang w:val="en-US"/>
        </w:rPr>
        <w:t xml:space="preserve"> on week. Statistical significance was considered at P ≤ 0.05 and statistical trends at 0.05 &lt; P ≤ 0.10.</w:t>
      </w:r>
    </w:p>
    <w:p w14:paraId="35CAF992" w14:textId="43ABAA1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4938CEA9" w14:textId="77777777" w:rsidR="004A6060" w:rsidRPr="004A6060" w:rsidRDefault="004A6060" w:rsidP="004A6060">
      <w:pPr>
        <w:rPr>
          <w:bCs/>
          <w:lang w:val="en-US"/>
        </w:rPr>
      </w:pPr>
      <w:r w:rsidRPr="004A6060">
        <w:rPr>
          <w:bCs/>
          <w:lang w:val="en-US"/>
        </w:rPr>
        <w:t>Cows fed GRCS tended to have higher milk yield than cows fed GS (P = 0.07; Table 1). Cows fed GS had higher milk protein and fat concentrations when compared with cows fed GRCS (P &lt; 0.01), leading to similar milk solids yield among treatments (P = 0.57). Cows fed H silage rates had higher milk protein concentration, when compared to cows fed L silage rates (P = 0.03). There was no effect of silage feeding rate on milk yield, milk fat concentration and milk solids yield (P = 0.48, P = 0.30 and P = 0.89, respectively). There was no interaction between silage species and silage feeding rate.</w:t>
      </w:r>
    </w:p>
    <w:p w14:paraId="235CF3F3" w14:textId="3B0AFF09" w:rsidR="004A6060" w:rsidRDefault="004A6060" w:rsidP="004A6060">
      <w:pPr>
        <w:rPr>
          <w:bCs/>
          <w:lang w:val="en-US"/>
        </w:rPr>
      </w:pPr>
    </w:p>
    <w:p w14:paraId="2FE6CE3E" w14:textId="77777777" w:rsidR="004A6060" w:rsidRPr="004A6060" w:rsidRDefault="004A6060" w:rsidP="004A6060">
      <w:pPr>
        <w:rPr>
          <w:bCs/>
          <w:lang w:val="en-US"/>
        </w:rPr>
      </w:pPr>
    </w:p>
    <w:p w14:paraId="400780DA" w14:textId="77777777" w:rsidR="004A6060" w:rsidRPr="004A6060" w:rsidRDefault="004A6060" w:rsidP="004A6060">
      <w:pPr>
        <w:rPr>
          <w:bCs/>
          <w:lang w:val="en-US"/>
        </w:rPr>
      </w:pPr>
      <w:r w:rsidRPr="004A6060">
        <w:rPr>
          <w:bCs/>
          <w:lang w:val="en-US"/>
        </w:rPr>
        <w:t>Table 1. Effect of silage species and silage feeding rate on the milk production and milk composition of grazing dairy cows in late lactation</w:t>
      </w:r>
    </w:p>
    <w:tbl>
      <w:tblPr>
        <w:tblW w:w="9026" w:type="dxa"/>
        <w:jc w:val="center"/>
        <w:tblBorders>
          <w:top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5"/>
        <w:gridCol w:w="850"/>
        <w:gridCol w:w="851"/>
        <w:gridCol w:w="850"/>
        <w:gridCol w:w="851"/>
        <w:gridCol w:w="850"/>
        <w:gridCol w:w="851"/>
        <w:gridCol w:w="931"/>
        <w:gridCol w:w="1007"/>
      </w:tblGrid>
      <w:tr w:rsidR="004A6060" w:rsidRPr="008945E4" w14:paraId="1C2BF999" w14:textId="77777777" w:rsidTr="00CA2A63">
        <w:trPr>
          <w:trHeight w:val="489"/>
          <w:jc w:val="center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70149" w14:textId="77777777" w:rsidR="004A6060" w:rsidRPr="008945E4" w:rsidRDefault="004A6060" w:rsidP="00CA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29426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45E4">
              <w:rPr>
                <w:rFonts w:ascii="Times New Roman" w:hAnsi="Times New Roman" w:cs="Times New Roman"/>
                <w:bCs/>
                <w:sz w:val="20"/>
                <w:szCs w:val="20"/>
              </w:rPr>
              <w:t>Diet</w:t>
            </w:r>
            <w:r w:rsidRPr="008945E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48E57768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tcBorders>
              <w:bottom w:val="single" w:sz="4" w:space="0" w:color="auto"/>
            </w:tcBorders>
            <w:vAlign w:val="center"/>
          </w:tcPr>
          <w:p w14:paraId="2622B2A4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P</w:t>
            </w: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-value</w:t>
            </w:r>
          </w:p>
        </w:tc>
      </w:tr>
      <w:tr w:rsidR="004A6060" w:rsidRPr="008945E4" w14:paraId="37A9F626" w14:textId="77777777" w:rsidTr="00CA2A63">
        <w:trPr>
          <w:trHeight w:val="489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E132903" w14:textId="77777777" w:rsidR="004A6060" w:rsidRPr="008945E4" w:rsidRDefault="004A6060" w:rsidP="00CA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194E67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bCs/>
                <w:sz w:val="20"/>
                <w:szCs w:val="20"/>
              </w:rPr>
              <w:t>H-GS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E197FE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bCs/>
                <w:sz w:val="20"/>
                <w:szCs w:val="20"/>
              </w:rPr>
              <w:t>L-GS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A90A532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bCs/>
                <w:sz w:val="20"/>
                <w:szCs w:val="20"/>
              </w:rPr>
              <w:t>H-GRCS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A1E324C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L-GRCS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37C8438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r w:rsidRPr="008945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AE946C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iCs/>
                <w:sz w:val="20"/>
                <w:szCs w:val="20"/>
              </w:rPr>
              <w:t>Silage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124D832F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Rate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AE66C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Silage*Rate</w:t>
            </w:r>
          </w:p>
        </w:tc>
      </w:tr>
      <w:tr w:rsidR="004A6060" w:rsidRPr="008945E4" w14:paraId="41DD26DB" w14:textId="77777777" w:rsidTr="00CA2A63">
        <w:trPr>
          <w:cantSplit/>
          <w:trHeight w:val="23"/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E54F470" w14:textId="77777777" w:rsidR="004A6060" w:rsidRPr="008945E4" w:rsidRDefault="004A6060" w:rsidP="00CA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Milk yield, kg/d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321DFD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B560AE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13.7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4AD11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44766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7F7B2D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A54FCE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14:paraId="39F35F3D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9972FD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</w:tr>
      <w:tr w:rsidR="004A6060" w:rsidRPr="008945E4" w14:paraId="6EBA94ED" w14:textId="77777777" w:rsidTr="00CA2A63">
        <w:trPr>
          <w:cantSplit/>
          <w:trHeight w:val="23"/>
          <w:jc w:val="center"/>
        </w:trPr>
        <w:tc>
          <w:tcPr>
            <w:tcW w:w="198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287C52" w14:textId="77777777" w:rsidR="004A6060" w:rsidRPr="008945E4" w:rsidRDefault="004A6060" w:rsidP="00CA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Protein, g/kg</w:t>
            </w:r>
          </w:p>
        </w:tc>
        <w:tc>
          <w:tcPr>
            <w:tcW w:w="85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362AB0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44.9</w:t>
            </w:r>
          </w:p>
        </w:tc>
        <w:tc>
          <w:tcPr>
            <w:tcW w:w="851" w:type="dxa"/>
          </w:tcPr>
          <w:p w14:paraId="71104DB1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44.4</w:t>
            </w:r>
          </w:p>
        </w:tc>
        <w:tc>
          <w:tcPr>
            <w:tcW w:w="85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818281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85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784471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850" w:type="dxa"/>
          </w:tcPr>
          <w:p w14:paraId="58E651A8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0.27</w:t>
            </w:r>
          </w:p>
        </w:tc>
        <w:tc>
          <w:tcPr>
            <w:tcW w:w="851" w:type="dxa"/>
          </w:tcPr>
          <w:p w14:paraId="16D77320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&lt; 0.01</w:t>
            </w:r>
          </w:p>
        </w:tc>
        <w:tc>
          <w:tcPr>
            <w:tcW w:w="931" w:type="dxa"/>
          </w:tcPr>
          <w:p w14:paraId="626844FA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007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2B070E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4A6060" w:rsidRPr="008945E4" w14:paraId="08E444D3" w14:textId="77777777" w:rsidTr="00CA2A63">
        <w:trPr>
          <w:cantSplit/>
          <w:trHeight w:val="23"/>
          <w:jc w:val="center"/>
        </w:trPr>
        <w:tc>
          <w:tcPr>
            <w:tcW w:w="198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F03712" w14:textId="77777777" w:rsidR="004A6060" w:rsidRPr="008945E4" w:rsidRDefault="004A6060" w:rsidP="00CA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Fat, g/kg</w:t>
            </w:r>
            <w:r w:rsidRPr="008945E4" w:rsidDel="0029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7D6177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62.3</w:t>
            </w:r>
          </w:p>
        </w:tc>
        <w:tc>
          <w:tcPr>
            <w:tcW w:w="851" w:type="dxa"/>
          </w:tcPr>
          <w:p w14:paraId="0D10E75A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60.8</w:t>
            </w:r>
          </w:p>
        </w:tc>
        <w:tc>
          <w:tcPr>
            <w:tcW w:w="85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88285B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85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8121E4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850" w:type="dxa"/>
          </w:tcPr>
          <w:p w14:paraId="6AFE2B2D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0.70</w:t>
            </w:r>
          </w:p>
        </w:tc>
        <w:tc>
          <w:tcPr>
            <w:tcW w:w="851" w:type="dxa"/>
          </w:tcPr>
          <w:p w14:paraId="33CB473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&lt; 0.01</w:t>
            </w:r>
          </w:p>
        </w:tc>
        <w:tc>
          <w:tcPr>
            <w:tcW w:w="931" w:type="dxa"/>
          </w:tcPr>
          <w:p w14:paraId="18782283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007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D0B608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4A6060" w:rsidRPr="008945E4" w14:paraId="13676139" w14:textId="77777777" w:rsidTr="00CA2A63">
        <w:trPr>
          <w:cantSplit/>
          <w:trHeight w:val="23"/>
          <w:jc w:val="center"/>
        </w:trPr>
        <w:tc>
          <w:tcPr>
            <w:tcW w:w="198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31060E" w14:textId="77777777" w:rsidR="004A6060" w:rsidRPr="008945E4" w:rsidRDefault="004A6060" w:rsidP="00CA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Protein yield, kg/d</w:t>
            </w:r>
          </w:p>
        </w:tc>
        <w:tc>
          <w:tcPr>
            <w:tcW w:w="85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C211CA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851" w:type="dxa"/>
          </w:tcPr>
          <w:p w14:paraId="6F314FE4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0.60</w:t>
            </w:r>
          </w:p>
        </w:tc>
        <w:tc>
          <w:tcPr>
            <w:tcW w:w="85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D2D20B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85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D0BF5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850" w:type="dxa"/>
          </w:tcPr>
          <w:p w14:paraId="26497A86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0.01</w:t>
            </w:r>
          </w:p>
        </w:tc>
        <w:tc>
          <w:tcPr>
            <w:tcW w:w="851" w:type="dxa"/>
          </w:tcPr>
          <w:p w14:paraId="6BEE1B34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931" w:type="dxa"/>
          </w:tcPr>
          <w:p w14:paraId="28968065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007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C868C0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</w:tr>
      <w:tr w:rsidR="004A6060" w:rsidRPr="008945E4" w14:paraId="38B51AF3" w14:textId="77777777" w:rsidTr="00CA2A63">
        <w:trPr>
          <w:cantSplit/>
          <w:trHeight w:val="23"/>
          <w:jc w:val="center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0098886" w14:textId="77777777" w:rsidR="004A6060" w:rsidRPr="008945E4" w:rsidRDefault="004A6060" w:rsidP="00CA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Fat yield, kg/d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C734BB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851" w:type="dxa"/>
            <w:tcBorders>
              <w:bottom w:val="nil"/>
            </w:tcBorders>
          </w:tcPr>
          <w:p w14:paraId="5D3E9850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0.81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662D44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E3692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850" w:type="dxa"/>
            <w:tcBorders>
              <w:bottom w:val="nil"/>
            </w:tcBorders>
          </w:tcPr>
          <w:p w14:paraId="5E463378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0.02</w:t>
            </w:r>
          </w:p>
        </w:tc>
        <w:tc>
          <w:tcPr>
            <w:tcW w:w="851" w:type="dxa"/>
            <w:tcBorders>
              <w:bottom w:val="nil"/>
            </w:tcBorders>
          </w:tcPr>
          <w:p w14:paraId="463159E3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931" w:type="dxa"/>
            <w:tcBorders>
              <w:bottom w:val="nil"/>
            </w:tcBorders>
          </w:tcPr>
          <w:p w14:paraId="6E522464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4B02BE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4A6060" w:rsidRPr="008945E4" w14:paraId="6208B5C9" w14:textId="77777777" w:rsidTr="00CA2A63">
        <w:trPr>
          <w:cantSplit/>
          <w:trHeight w:val="23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D7B3A6" w14:textId="77777777" w:rsidR="004A6060" w:rsidRPr="008945E4" w:rsidRDefault="004A6060" w:rsidP="00CA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Milk solids yield, kg/d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1392D6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5F50A09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8EE37E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BA4C03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E02F6DD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2C56C14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14:paraId="7AD01567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D1FDF7" w14:textId="77777777" w:rsidR="004A6060" w:rsidRPr="008945E4" w:rsidRDefault="004A6060" w:rsidP="00CA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4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</w:tr>
    </w:tbl>
    <w:p w14:paraId="0332BDAF" w14:textId="77777777" w:rsidR="004A6060" w:rsidRPr="008945E4" w:rsidRDefault="004A6060" w:rsidP="004A6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5E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945E4">
        <w:rPr>
          <w:rFonts w:ascii="Times New Roman" w:hAnsi="Times New Roman" w:cs="Times New Roman"/>
          <w:sz w:val="20"/>
          <w:szCs w:val="20"/>
        </w:rPr>
        <w:t xml:space="preserve">H = </w:t>
      </w:r>
      <w:r w:rsidRPr="008945E4">
        <w:rPr>
          <w:rFonts w:ascii="Times New Roman" w:hAnsi="Times New Roman" w:cs="Times New Roman"/>
          <w:i/>
          <w:sz w:val="20"/>
          <w:szCs w:val="20"/>
        </w:rPr>
        <w:t>ad libitum</w:t>
      </w:r>
      <w:r w:rsidRPr="008945E4">
        <w:rPr>
          <w:rFonts w:ascii="Times New Roman" w:hAnsi="Times New Roman" w:cs="Times New Roman"/>
          <w:sz w:val="20"/>
          <w:szCs w:val="20"/>
        </w:rPr>
        <w:t xml:space="preserve"> silage; L = 8 kg DM of silage</w:t>
      </w:r>
      <w:r>
        <w:rPr>
          <w:rFonts w:ascii="Times New Roman" w:hAnsi="Times New Roman" w:cs="Times New Roman"/>
          <w:sz w:val="20"/>
          <w:szCs w:val="20"/>
        </w:rPr>
        <w:t>/cow</w:t>
      </w:r>
      <w:r w:rsidRPr="008945E4">
        <w:rPr>
          <w:rFonts w:ascii="Times New Roman" w:hAnsi="Times New Roman" w:cs="Times New Roman"/>
          <w:sz w:val="20"/>
          <w:szCs w:val="20"/>
        </w:rPr>
        <w:t xml:space="preserve">; GS = grass silage; GRCS = grass-red clover silage; </w:t>
      </w:r>
    </w:p>
    <w:p w14:paraId="3D5C9672" w14:textId="4CA397FF" w:rsidR="007B30E3" w:rsidRDefault="004A6060" w:rsidP="004A6060">
      <w:pPr>
        <w:rPr>
          <w:b/>
          <w:bCs/>
          <w:lang w:val="en-US"/>
        </w:rPr>
      </w:pPr>
      <w:r w:rsidRPr="008945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945E4">
        <w:rPr>
          <w:rFonts w:ascii="Times New Roman" w:hAnsi="Times New Roman" w:cs="Times New Roman"/>
          <w:sz w:val="20"/>
          <w:szCs w:val="20"/>
        </w:rPr>
        <w:t>SEM = standard error of the mean.</w:t>
      </w:r>
    </w:p>
    <w:p w14:paraId="68E461EC" w14:textId="317E8356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41A3C7EB" w14:textId="0BBC64DC" w:rsidR="007B30E3" w:rsidRPr="00C638C3" w:rsidRDefault="004A6060">
      <w:pPr>
        <w:rPr>
          <w:bCs/>
          <w:lang w:val="en-US"/>
        </w:rPr>
      </w:pPr>
      <w:r w:rsidRPr="00C638C3">
        <w:rPr>
          <w:bCs/>
          <w:lang w:val="en-US"/>
        </w:rPr>
        <w:t xml:space="preserve">Feeding grass-red clover silage maintained animal performance, irrespective of the feeding rate. Future research should investigate the environmental impact of feeding red clover silage within a pasture-based system, along with a more in depth study of the physiological mechanisms occurring to explore the reduction in milk protein and fat concentrations from cows fed PRG-red </w:t>
      </w:r>
      <w:bookmarkStart w:id="0" w:name="_GoBack"/>
      <w:bookmarkEnd w:id="0"/>
      <w:r w:rsidRPr="00C638C3">
        <w:rPr>
          <w:bCs/>
          <w:lang w:val="en-US"/>
        </w:rPr>
        <w:t>clover silage.</w:t>
      </w:r>
    </w:p>
    <w:p w14:paraId="0ADB320F" w14:textId="2F21A2A2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0696E4AA" w14:textId="77777777" w:rsidR="004A6060" w:rsidRPr="004A6060" w:rsidRDefault="004A6060" w:rsidP="004A6060">
      <w:pPr>
        <w:rPr>
          <w:bCs/>
          <w:lang w:val="en-US"/>
        </w:rPr>
      </w:pPr>
      <w:proofErr w:type="spellStart"/>
      <w:r w:rsidRPr="004A6060">
        <w:rPr>
          <w:bCs/>
          <w:lang w:val="en-US"/>
        </w:rPr>
        <w:t>Clavin</w:t>
      </w:r>
      <w:proofErr w:type="spellEnd"/>
      <w:r w:rsidRPr="004A6060">
        <w:rPr>
          <w:bCs/>
          <w:lang w:val="en-US"/>
        </w:rPr>
        <w:t xml:space="preserve">, D., </w:t>
      </w:r>
      <w:proofErr w:type="spellStart"/>
      <w:r w:rsidRPr="004A6060">
        <w:rPr>
          <w:bCs/>
          <w:lang w:val="en-US"/>
        </w:rPr>
        <w:t>Crosson</w:t>
      </w:r>
      <w:proofErr w:type="spellEnd"/>
      <w:r w:rsidRPr="004A6060">
        <w:rPr>
          <w:bCs/>
          <w:lang w:val="en-US"/>
        </w:rPr>
        <w:t xml:space="preserve">, P., Grant, J., </w:t>
      </w:r>
      <w:proofErr w:type="spellStart"/>
      <w:r w:rsidRPr="004A6060">
        <w:rPr>
          <w:bCs/>
          <w:lang w:val="en-US"/>
        </w:rPr>
        <w:t>O'Kiely</w:t>
      </w:r>
      <w:proofErr w:type="spellEnd"/>
      <w:r w:rsidRPr="004A6060">
        <w:rPr>
          <w:bCs/>
          <w:lang w:val="en-US"/>
        </w:rPr>
        <w:t xml:space="preserve"> P., 2016. Red clover for silage: Management impacts on herbage yield, nutritive value, </w:t>
      </w:r>
      <w:proofErr w:type="spellStart"/>
      <w:r w:rsidRPr="004A6060">
        <w:rPr>
          <w:bCs/>
          <w:lang w:val="en-US"/>
        </w:rPr>
        <w:t>ensilability</w:t>
      </w:r>
      <w:proofErr w:type="spellEnd"/>
      <w:r w:rsidRPr="004A6060">
        <w:rPr>
          <w:bCs/>
          <w:lang w:val="en-US"/>
        </w:rPr>
        <w:t xml:space="preserve"> and persistence, and relativity to perennial ryegrass. Grass and Forage Science 72, 414-431.</w:t>
      </w:r>
    </w:p>
    <w:p w14:paraId="65CF0FEB" w14:textId="77777777" w:rsidR="004A6060" w:rsidRPr="004A6060" w:rsidRDefault="004A6060" w:rsidP="004A6060">
      <w:pPr>
        <w:rPr>
          <w:bCs/>
          <w:lang w:val="en-US"/>
        </w:rPr>
      </w:pPr>
      <w:r w:rsidRPr="004A6060">
        <w:rPr>
          <w:bCs/>
          <w:lang w:val="en-US"/>
        </w:rPr>
        <w:t xml:space="preserve">Dillon, P., Roche, J., </w:t>
      </w:r>
      <w:proofErr w:type="spellStart"/>
      <w:r w:rsidRPr="004A6060">
        <w:rPr>
          <w:bCs/>
          <w:lang w:val="en-US"/>
        </w:rPr>
        <w:t>Shalloo</w:t>
      </w:r>
      <w:proofErr w:type="spellEnd"/>
      <w:r w:rsidRPr="004A6060">
        <w:rPr>
          <w:bCs/>
          <w:lang w:val="en-US"/>
        </w:rPr>
        <w:t xml:space="preserve">, L., Horan, B., 2005. </w:t>
      </w:r>
      <w:proofErr w:type="spellStart"/>
      <w:r w:rsidRPr="004A6060">
        <w:rPr>
          <w:bCs/>
          <w:lang w:val="en-US"/>
        </w:rPr>
        <w:t>Optimising</w:t>
      </w:r>
      <w:proofErr w:type="spellEnd"/>
      <w:r w:rsidRPr="004A6060">
        <w:rPr>
          <w:bCs/>
          <w:lang w:val="en-US"/>
        </w:rPr>
        <w:t xml:space="preserve"> financial returns from grazing in temperate pastures. Proceedings of the Workshop of the </w:t>
      </w:r>
      <w:proofErr w:type="spellStart"/>
      <w:r w:rsidRPr="004A6060">
        <w:rPr>
          <w:bCs/>
          <w:lang w:val="en-US"/>
        </w:rPr>
        <w:t>XXth</w:t>
      </w:r>
      <w:proofErr w:type="spellEnd"/>
      <w:r w:rsidRPr="004A6060">
        <w:rPr>
          <w:bCs/>
          <w:lang w:val="en-US"/>
        </w:rPr>
        <w:t xml:space="preserve"> International Grassland Congress, 26 June 2005, Cork, Ireland. </w:t>
      </w:r>
      <w:proofErr w:type="spellStart"/>
      <w:r w:rsidRPr="004A6060">
        <w:rPr>
          <w:bCs/>
          <w:lang w:val="en-US"/>
        </w:rPr>
        <w:t>Wageningen</w:t>
      </w:r>
      <w:proofErr w:type="spellEnd"/>
      <w:r w:rsidRPr="004A6060">
        <w:rPr>
          <w:bCs/>
          <w:lang w:val="en-US"/>
        </w:rPr>
        <w:t xml:space="preserve"> Academic Publishers, </w:t>
      </w:r>
      <w:proofErr w:type="gramStart"/>
      <w:r w:rsidRPr="004A6060">
        <w:rPr>
          <w:bCs/>
          <w:lang w:val="en-US"/>
        </w:rPr>
        <w:t>The</w:t>
      </w:r>
      <w:proofErr w:type="gramEnd"/>
      <w:r w:rsidRPr="004A6060">
        <w:rPr>
          <w:bCs/>
          <w:lang w:val="en-US"/>
        </w:rPr>
        <w:t xml:space="preserve"> Netherlands, pp. 131-147.</w:t>
      </w:r>
    </w:p>
    <w:p w14:paraId="3868E556" w14:textId="53A2931F" w:rsidR="004A6060" w:rsidRPr="004A6060" w:rsidRDefault="004A6060" w:rsidP="004A6060">
      <w:pPr>
        <w:rPr>
          <w:bCs/>
          <w:lang w:val="en-US"/>
        </w:rPr>
      </w:pPr>
      <w:proofErr w:type="spellStart"/>
      <w:r w:rsidRPr="004A6060">
        <w:rPr>
          <w:bCs/>
          <w:lang w:val="en-US"/>
        </w:rPr>
        <w:t>Steinshamn</w:t>
      </w:r>
      <w:proofErr w:type="spellEnd"/>
      <w:r w:rsidRPr="004A6060">
        <w:rPr>
          <w:bCs/>
          <w:lang w:val="en-US"/>
        </w:rPr>
        <w:t>, H., 2010. Effect of forage legumes on feed intake, milk production and milk quality - a review. Animal Science Papers and Reports 28, 195-206.</w:t>
      </w:r>
    </w:p>
    <w:sectPr w:rsidR="004A6060" w:rsidRPr="004A6060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3"/>
    <w:rsid w:val="00383DCD"/>
    <w:rsid w:val="00397193"/>
    <w:rsid w:val="004A6060"/>
    <w:rsid w:val="00625B14"/>
    <w:rsid w:val="007B30E3"/>
    <w:rsid w:val="00933E8C"/>
    <w:rsid w:val="00B52E4E"/>
    <w:rsid w:val="00C53AE2"/>
    <w:rsid w:val="00C638C3"/>
    <w:rsid w:val="00C95030"/>
    <w:rsid w:val="00DD21B5"/>
    <w:rsid w:val="00E2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E998D-96EF-4A0A-B53A-07C2AB504375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563d7928-de39-40eb-aaef-3504eb7eef23"/>
    <ds:schemaRef ds:uri="http://schemas.microsoft.com/office/2006/metadata/properties"/>
    <ds:schemaRef ds:uri="http://purl.org/dc/terms/"/>
    <ds:schemaRef ds:uri="http://schemas.openxmlformats.org/package/2006/metadata/core-properties"/>
    <ds:schemaRef ds:uri="a6522d93-ccde-437d-a793-b289ee708a2f"/>
  </ds:schemaRefs>
</ds:datastoreItem>
</file>

<file path=customXml/itemProps2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Mathilde Chaize (Walsh Scholar)</cp:lastModifiedBy>
  <cp:revision>3</cp:revision>
  <dcterms:created xsi:type="dcterms:W3CDTF">2024-11-18T11:26:00Z</dcterms:created>
  <dcterms:modified xsi:type="dcterms:W3CDTF">2024-11-18T11:41:00Z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