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8" w:type="pct"/>
        <w:tblLayout w:type="fixed"/>
        <w:tblLook w:val="0000" w:firstRow="0" w:lastRow="0" w:firstColumn="0" w:lastColumn="0" w:noHBand="0" w:noVBand="0"/>
      </w:tblPr>
      <w:tblGrid>
        <w:gridCol w:w="9954"/>
      </w:tblGrid>
      <w:tr w:rsidR="00E14333" w:rsidRPr="00B157B9" w14:paraId="558FB2D5" w14:textId="77777777" w:rsidTr="00D41726">
        <w:trPr>
          <w:trHeight w:val="520"/>
        </w:trPr>
        <w:tc>
          <w:tcPr>
            <w:tcW w:w="5000" w:type="pct"/>
            <w:tcBorders>
              <w:bottom w:val="single" w:sz="4" w:space="0" w:color="auto"/>
            </w:tcBorders>
          </w:tcPr>
          <w:p w14:paraId="501876BB" w14:textId="77777777" w:rsidR="00E14333" w:rsidRPr="00F21046" w:rsidRDefault="00E14333" w:rsidP="003415AB">
            <w:pPr>
              <w:rPr>
                <w:b/>
                <w:bCs/>
              </w:rPr>
            </w:pPr>
            <w:r w:rsidRPr="00F21046">
              <w:rPr>
                <w:b/>
                <w:bCs/>
              </w:rPr>
              <w:t xml:space="preserve">Title: </w:t>
            </w:r>
            <w:r>
              <w:rPr>
                <w:bCs/>
                <w:i/>
                <w:sz w:val="20"/>
              </w:rPr>
              <w:t>(Use Normal style (Times New Roman 12)</w:t>
            </w:r>
            <w:r w:rsidRPr="00063C20">
              <w:rPr>
                <w:bCs/>
                <w:i/>
                <w:sz w:val="20"/>
              </w:rPr>
              <w:t xml:space="preserve">. </w:t>
            </w:r>
            <w:r w:rsidRPr="00063C20">
              <w:rPr>
                <w:i/>
                <w:sz w:val="20"/>
              </w:rPr>
              <w:t>Only capitalise the first letter of the first word.  No full stop at the end of the title</w:t>
            </w:r>
            <w:r w:rsidRPr="00063C20">
              <w:rPr>
                <w:bCs/>
                <w:i/>
                <w:sz w:val="20"/>
              </w:rPr>
              <w:t>)</w:t>
            </w:r>
          </w:p>
        </w:tc>
      </w:tr>
      <w:tr w:rsidR="00E14333" w:rsidRPr="00F76957" w14:paraId="335D574D" w14:textId="77777777" w:rsidTr="00D41726">
        <w:trPr>
          <w:trHeight w:val="5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4CC797D" w14:textId="5D5469DC" w:rsidR="00E14333" w:rsidRPr="007E1111" w:rsidRDefault="00EA62F6" w:rsidP="00C13825">
            <w:pPr>
              <w:spacing w:after="120"/>
            </w:pPr>
            <w:r w:rsidRPr="00EA62F6">
              <w:t xml:space="preserve">Effect of offering rapeseed-based diets differing in </w:t>
            </w:r>
            <w:r>
              <w:t>crude protein</w:t>
            </w:r>
            <w:r w:rsidRPr="00EA62F6">
              <w:t xml:space="preserve"> content on dairy cow performance</w:t>
            </w:r>
          </w:p>
        </w:tc>
      </w:tr>
      <w:tr w:rsidR="00E14333" w:rsidRPr="00B157B9" w14:paraId="340E1379" w14:textId="77777777" w:rsidTr="00D41726">
        <w:trPr>
          <w:trHeight w:val="28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EEAE2DE" w14:textId="77777777" w:rsidR="00E14333" w:rsidRPr="00F21046" w:rsidRDefault="00E14333" w:rsidP="003415AB">
            <w:pPr>
              <w:rPr>
                <w:szCs w:val="20"/>
              </w:rPr>
            </w:pPr>
            <w:r w:rsidRPr="00F21046">
              <w:rPr>
                <w:b/>
                <w:bCs/>
                <w:szCs w:val="20"/>
              </w:rPr>
              <w:t xml:space="preserve">Summary:  </w:t>
            </w:r>
            <w:r w:rsidRPr="00063C20">
              <w:rPr>
                <w:bCs/>
                <w:i/>
                <w:sz w:val="20"/>
              </w:rPr>
              <w:t>(Your summa</w:t>
            </w:r>
            <w:r>
              <w:rPr>
                <w:bCs/>
                <w:i/>
                <w:sz w:val="20"/>
              </w:rPr>
              <w:t>ry (Times New Roman 10)</w:t>
            </w:r>
            <w:r w:rsidRPr="00063C20">
              <w:rPr>
                <w:bCs/>
                <w:i/>
                <w:sz w:val="20"/>
              </w:rPr>
              <w:t xml:space="preserve"> must use </w:t>
            </w:r>
            <w:r>
              <w:rPr>
                <w:bCs/>
                <w:i/>
                <w:sz w:val="20"/>
              </w:rPr>
              <w:t xml:space="preserve">Body text </w:t>
            </w:r>
            <w:r w:rsidRPr="00063C20">
              <w:rPr>
                <w:bCs/>
                <w:i/>
                <w:sz w:val="20"/>
              </w:rPr>
              <w:t xml:space="preserve"> style and must not be longer than this box)</w:t>
            </w:r>
          </w:p>
        </w:tc>
      </w:tr>
      <w:tr w:rsidR="00E14333" w:rsidRPr="00AE32E3" w14:paraId="7F1BE3A7" w14:textId="77777777" w:rsidTr="00D41726">
        <w:trPr>
          <w:trHeight w:hRule="exact" w:val="126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F15DA07" w14:textId="4D3CFEEA" w:rsidR="00E73E8A" w:rsidRDefault="00AA3040" w:rsidP="00D425FD">
            <w:pPr>
              <w:ind w:left="37"/>
              <w:jc w:val="both"/>
              <w:rPr>
                <w:noProof/>
                <w:sz w:val="20"/>
                <w:szCs w:val="20"/>
                <w:lang w:val="en-US"/>
              </w:rPr>
            </w:pPr>
            <w:r w:rsidRPr="00AA3040">
              <w:rPr>
                <w:b/>
                <w:noProof/>
                <w:sz w:val="20"/>
                <w:szCs w:val="20"/>
                <w:lang w:val="en-US"/>
              </w:rPr>
              <w:t>Application</w:t>
            </w:r>
            <w:r w:rsidR="000F1CBA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2A6ED8">
              <w:rPr>
                <w:noProof/>
                <w:sz w:val="20"/>
                <w:szCs w:val="20"/>
                <w:lang w:val="en-US"/>
              </w:rPr>
              <w:t xml:space="preserve">Soya can be sucessfully replaced with rapeseed meal (RSM) in dairy cow diets. </w:t>
            </w:r>
          </w:p>
          <w:p w14:paraId="757173DA" w14:textId="77777777" w:rsidR="00EE0940" w:rsidRPr="00D41726" w:rsidRDefault="00EE0940" w:rsidP="00D425FD">
            <w:pPr>
              <w:ind w:left="37"/>
              <w:jc w:val="both"/>
              <w:rPr>
                <w:noProof/>
                <w:sz w:val="8"/>
                <w:szCs w:val="8"/>
                <w:lang w:val="en-US"/>
              </w:rPr>
            </w:pPr>
          </w:p>
          <w:p w14:paraId="67D0AC9E" w14:textId="3D2C602E" w:rsidR="004775A7" w:rsidRDefault="00AA3040" w:rsidP="0062478E">
            <w:pPr>
              <w:ind w:left="37"/>
              <w:jc w:val="both"/>
              <w:rPr>
                <w:noProof/>
                <w:sz w:val="20"/>
                <w:szCs w:val="20"/>
                <w:lang w:val="en-US"/>
              </w:rPr>
            </w:pPr>
            <w:r w:rsidRPr="00AA3040">
              <w:rPr>
                <w:b/>
                <w:noProof/>
                <w:sz w:val="20"/>
                <w:szCs w:val="20"/>
                <w:lang w:val="en-US"/>
              </w:rPr>
              <w:t>Introduction</w:t>
            </w:r>
            <w:r w:rsidR="00591816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1A3E59">
              <w:rPr>
                <w:noProof/>
                <w:sz w:val="20"/>
                <w:szCs w:val="20"/>
                <w:lang w:val="en-US"/>
              </w:rPr>
              <w:t xml:space="preserve">Reducing CP </w:t>
            </w:r>
            <w:r w:rsidR="00516695">
              <w:rPr>
                <w:noProof/>
                <w:sz w:val="20"/>
                <w:szCs w:val="20"/>
                <w:lang w:val="en-US"/>
              </w:rPr>
              <w:t xml:space="preserve">levels </w:t>
            </w:r>
            <w:r w:rsidR="001A3E59">
              <w:rPr>
                <w:noProof/>
                <w:sz w:val="20"/>
                <w:szCs w:val="20"/>
                <w:lang w:val="en-US"/>
              </w:rPr>
              <w:t xml:space="preserve">in dairy cow diets </w:t>
            </w:r>
            <w:r w:rsidR="00023E99">
              <w:rPr>
                <w:noProof/>
                <w:sz w:val="20"/>
                <w:szCs w:val="20"/>
                <w:lang w:val="en-US"/>
              </w:rPr>
              <w:t xml:space="preserve">can </w:t>
            </w:r>
            <w:r w:rsidR="00EA62F6">
              <w:rPr>
                <w:noProof/>
                <w:sz w:val="20"/>
                <w:szCs w:val="20"/>
                <w:lang w:val="en-US"/>
              </w:rPr>
              <w:t>improve nitrogen</w:t>
            </w:r>
            <w:r w:rsidR="00562240">
              <w:rPr>
                <w:noProof/>
                <w:sz w:val="20"/>
                <w:szCs w:val="20"/>
                <w:lang w:val="en-US"/>
              </w:rPr>
              <w:t xml:space="preserve"> (N)</w:t>
            </w:r>
            <w:r w:rsidR="00EA62F6">
              <w:rPr>
                <w:noProof/>
                <w:sz w:val="20"/>
                <w:szCs w:val="20"/>
                <w:lang w:val="en-US"/>
              </w:rPr>
              <w:t xml:space="preserve"> use efficiency (</w:t>
            </w:r>
            <w:r w:rsidR="00562240">
              <w:rPr>
                <w:noProof/>
                <w:sz w:val="20"/>
                <w:szCs w:val="20"/>
                <w:lang w:val="en-US"/>
              </w:rPr>
              <w:t>defined as N output</w:t>
            </w:r>
            <w:r w:rsidR="006C33D4">
              <w:rPr>
                <w:noProof/>
                <w:sz w:val="20"/>
                <w:szCs w:val="20"/>
                <w:lang w:val="en-US"/>
              </w:rPr>
              <w:t xml:space="preserve"> in milk</w:t>
            </w:r>
            <w:r w:rsidR="00562240">
              <w:rPr>
                <w:noProof/>
                <w:sz w:val="20"/>
                <w:szCs w:val="20"/>
                <w:lang w:val="en-US"/>
              </w:rPr>
              <w:t xml:space="preserve">/N input; </w:t>
            </w:r>
            <w:r w:rsidR="00EA62F6">
              <w:rPr>
                <w:noProof/>
                <w:sz w:val="20"/>
                <w:szCs w:val="20"/>
                <w:lang w:val="en-US"/>
              </w:rPr>
              <w:t>NUE)</w:t>
            </w:r>
            <w:r w:rsidR="00661720">
              <w:rPr>
                <w:noProof/>
                <w:sz w:val="20"/>
                <w:szCs w:val="20"/>
                <w:lang w:val="en-US"/>
              </w:rPr>
              <w:t>, and reduce N loss to the environment</w:t>
            </w:r>
            <w:r w:rsidR="00562240">
              <w:rPr>
                <w:noProof/>
                <w:sz w:val="20"/>
                <w:szCs w:val="20"/>
                <w:lang w:val="en-US"/>
              </w:rPr>
              <w:t xml:space="preserve">. </w:t>
            </w:r>
            <w:r w:rsidR="002844A0">
              <w:rPr>
                <w:noProof/>
                <w:sz w:val="20"/>
                <w:szCs w:val="20"/>
                <w:lang w:val="en-US"/>
              </w:rPr>
              <w:t>A t</w:t>
            </w:r>
            <w:r w:rsidR="00EA62F6" w:rsidRPr="00EA62F6">
              <w:rPr>
                <w:noProof/>
                <w:sz w:val="20"/>
                <w:szCs w:val="20"/>
                <w:lang w:val="en-US"/>
              </w:rPr>
              <w:t xml:space="preserve">otal diet CP level </w:t>
            </w:r>
            <w:r w:rsidR="002844A0">
              <w:rPr>
                <w:noProof/>
                <w:sz w:val="20"/>
                <w:szCs w:val="20"/>
                <w:lang w:val="en-US"/>
              </w:rPr>
              <w:t xml:space="preserve">of </w:t>
            </w:r>
            <w:r w:rsidR="00EA62F6" w:rsidRPr="00EA62F6">
              <w:rPr>
                <w:noProof/>
                <w:sz w:val="20"/>
                <w:szCs w:val="20"/>
                <w:lang w:val="en-US"/>
              </w:rPr>
              <w:t>between 15</w:t>
            </w:r>
            <w:r w:rsidR="002844A0">
              <w:rPr>
                <w:noProof/>
                <w:sz w:val="20"/>
                <w:szCs w:val="20"/>
                <w:lang w:val="en-US"/>
              </w:rPr>
              <w:t>-</w:t>
            </w:r>
            <w:r w:rsidR="00EA62F6" w:rsidRPr="00EA62F6">
              <w:rPr>
                <w:noProof/>
                <w:sz w:val="20"/>
                <w:szCs w:val="20"/>
                <w:lang w:val="en-US"/>
              </w:rPr>
              <w:t xml:space="preserve"> 16% </w:t>
            </w:r>
            <w:r w:rsidR="002844A0">
              <w:rPr>
                <w:noProof/>
                <w:sz w:val="20"/>
                <w:szCs w:val="20"/>
                <w:lang w:val="en-US"/>
              </w:rPr>
              <w:t>has been suggested as</w:t>
            </w:r>
            <w:r w:rsidR="002844A0" w:rsidRPr="00EA62F6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EA62F6" w:rsidRPr="00EA62F6">
              <w:rPr>
                <w:noProof/>
                <w:sz w:val="20"/>
                <w:szCs w:val="20"/>
                <w:lang w:val="en-US"/>
              </w:rPr>
              <w:t>optimal to maintain milk production while improving NUE (Barros et al., 2017; Lavery et al</w:t>
            </w:r>
            <w:r w:rsidR="00EA62F6">
              <w:rPr>
                <w:noProof/>
                <w:sz w:val="20"/>
                <w:szCs w:val="20"/>
                <w:lang w:val="en-US"/>
              </w:rPr>
              <w:t>., 2022</w:t>
            </w:r>
            <w:r w:rsidR="00EA62F6" w:rsidRPr="00EA62F6">
              <w:rPr>
                <w:noProof/>
                <w:sz w:val="20"/>
                <w:szCs w:val="20"/>
                <w:lang w:val="en-US"/>
              </w:rPr>
              <w:t xml:space="preserve">). </w:t>
            </w:r>
            <w:r w:rsidR="00661720">
              <w:rPr>
                <w:noProof/>
                <w:sz w:val="20"/>
                <w:szCs w:val="20"/>
                <w:lang w:val="en-US"/>
              </w:rPr>
              <w:t>Alongside</w:t>
            </w:r>
            <w:r w:rsidR="002844A0">
              <w:rPr>
                <w:noProof/>
                <w:sz w:val="20"/>
                <w:szCs w:val="20"/>
                <w:lang w:val="en-US"/>
              </w:rPr>
              <w:t xml:space="preserve"> environmental pressures to reduce diet CP levels, there is </w:t>
            </w:r>
            <w:r w:rsidR="006C33D4">
              <w:rPr>
                <w:noProof/>
                <w:sz w:val="20"/>
                <w:szCs w:val="20"/>
                <w:lang w:val="en-US"/>
              </w:rPr>
              <w:t>increasing</w:t>
            </w:r>
            <w:r w:rsidR="002844A0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6C33D4">
              <w:rPr>
                <w:noProof/>
                <w:sz w:val="20"/>
                <w:szCs w:val="20"/>
                <w:lang w:val="en-US"/>
              </w:rPr>
              <w:t xml:space="preserve">retailer and </w:t>
            </w:r>
            <w:r w:rsidR="00EA62F6" w:rsidRPr="00EA62F6">
              <w:rPr>
                <w:noProof/>
                <w:sz w:val="20"/>
                <w:szCs w:val="20"/>
                <w:lang w:val="en-US"/>
              </w:rPr>
              <w:t xml:space="preserve">societal pressure to </w:t>
            </w:r>
            <w:r w:rsidR="002844A0">
              <w:rPr>
                <w:noProof/>
                <w:sz w:val="20"/>
                <w:szCs w:val="20"/>
                <w:lang w:val="en-US"/>
              </w:rPr>
              <w:t>remove</w:t>
            </w:r>
            <w:r w:rsidR="00EA62F6" w:rsidRPr="00EA62F6">
              <w:rPr>
                <w:noProof/>
                <w:sz w:val="20"/>
                <w:szCs w:val="20"/>
                <w:lang w:val="en-US"/>
              </w:rPr>
              <w:t xml:space="preserve"> soybean meal (SBM) </w:t>
            </w:r>
            <w:r w:rsidR="002844A0">
              <w:rPr>
                <w:noProof/>
                <w:sz w:val="20"/>
                <w:szCs w:val="20"/>
                <w:lang w:val="en-US"/>
              </w:rPr>
              <w:t>from</w:t>
            </w:r>
            <w:r w:rsidR="002844A0" w:rsidRPr="00EA62F6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EA62F6" w:rsidRPr="00EA62F6">
              <w:rPr>
                <w:noProof/>
                <w:sz w:val="20"/>
                <w:szCs w:val="20"/>
                <w:lang w:val="en-US"/>
              </w:rPr>
              <w:t xml:space="preserve">dairy cow diets. </w:t>
            </w:r>
            <w:r w:rsidR="001A3E59">
              <w:rPr>
                <w:noProof/>
                <w:sz w:val="20"/>
                <w:szCs w:val="20"/>
                <w:lang w:val="en-US"/>
              </w:rPr>
              <w:t>Th</w:t>
            </w:r>
            <w:r w:rsidR="00516695">
              <w:rPr>
                <w:noProof/>
                <w:sz w:val="20"/>
                <w:szCs w:val="20"/>
                <w:lang w:val="en-US"/>
              </w:rPr>
              <w:t>e</w:t>
            </w:r>
            <w:r w:rsidR="00EA62F6">
              <w:rPr>
                <w:noProof/>
                <w:sz w:val="20"/>
                <w:szCs w:val="20"/>
                <w:lang w:val="en-US"/>
              </w:rPr>
              <w:t>refore, the</w:t>
            </w:r>
            <w:r w:rsidR="00516695">
              <w:rPr>
                <w:noProof/>
                <w:sz w:val="20"/>
                <w:szCs w:val="20"/>
                <w:lang w:val="en-US"/>
              </w:rPr>
              <w:t xml:space="preserve"> current </w:t>
            </w:r>
            <w:r w:rsidR="001A3E59">
              <w:rPr>
                <w:noProof/>
                <w:sz w:val="20"/>
                <w:szCs w:val="20"/>
                <w:lang w:val="en-US"/>
              </w:rPr>
              <w:t xml:space="preserve">study examined the </w:t>
            </w:r>
            <w:r w:rsidR="00661720">
              <w:rPr>
                <w:noProof/>
                <w:sz w:val="20"/>
                <w:szCs w:val="20"/>
                <w:lang w:val="en-US"/>
              </w:rPr>
              <w:t xml:space="preserve">impact on cow </w:t>
            </w:r>
            <w:r w:rsidR="00661720" w:rsidRPr="004775A7">
              <w:rPr>
                <w:noProof/>
                <w:sz w:val="20"/>
                <w:szCs w:val="20"/>
                <w:lang w:val="en-US"/>
              </w:rPr>
              <w:t>performance and NUE</w:t>
            </w:r>
            <w:r w:rsidR="00661720">
              <w:rPr>
                <w:noProof/>
                <w:sz w:val="20"/>
                <w:szCs w:val="20"/>
                <w:lang w:val="en-US"/>
              </w:rPr>
              <w:t xml:space="preserve"> of replacing SBM with </w:t>
            </w:r>
            <w:r w:rsidR="006C33D4">
              <w:rPr>
                <w:noProof/>
                <w:sz w:val="20"/>
                <w:szCs w:val="20"/>
                <w:lang w:val="en-US"/>
              </w:rPr>
              <w:t>rapeseed meal (</w:t>
            </w:r>
            <w:r w:rsidR="00562240">
              <w:rPr>
                <w:noProof/>
                <w:sz w:val="20"/>
                <w:szCs w:val="20"/>
                <w:lang w:val="en-US"/>
              </w:rPr>
              <w:t>RSM</w:t>
            </w:r>
            <w:r w:rsidR="006C33D4">
              <w:rPr>
                <w:noProof/>
                <w:sz w:val="20"/>
                <w:szCs w:val="20"/>
                <w:lang w:val="en-US"/>
              </w:rPr>
              <w:t>)</w:t>
            </w:r>
            <w:r w:rsidR="004775A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661720">
              <w:rPr>
                <w:noProof/>
                <w:sz w:val="20"/>
                <w:szCs w:val="20"/>
                <w:lang w:val="en-US"/>
              </w:rPr>
              <w:t>in diets differing in</w:t>
            </w:r>
            <w:r w:rsidR="004775A7" w:rsidRPr="004775A7">
              <w:rPr>
                <w:noProof/>
                <w:sz w:val="20"/>
                <w:szCs w:val="20"/>
                <w:lang w:val="en-US"/>
              </w:rPr>
              <w:t xml:space="preserve"> CP level</w:t>
            </w:r>
            <w:r w:rsidR="00661720">
              <w:rPr>
                <w:noProof/>
                <w:sz w:val="20"/>
                <w:szCs w:val="20"/>
                <w:lang w:val="en-US"/>
              </w:rPr>
              <w:t>s.</w:t>
            </w:r>
          </w:p>
          <w:p w14:paraId="71C2D0AD" w14:textId="77777777" w:rsidR="004775A7" w:rsidRPr="00D41726" w:rsidRDefault="004775A7" w:rsidP="0062478E">
            <w:pPr>
              <w:ind w:left="37"/>
              <w:jc w:val="both"/>
              <w:rPr>
                <w:noProof/>
                <w:sz w:val="8"/>
                <w:szCs w:val="8"/>
                <w:lang w:val="en-US"/>
              </w:rPr>
            </w:pPr>
          </w:p>
          <w:p w14:paraId="06DD5997" w14:textId="2FC9AB7D" w:rsidR="00872CD0" w:rsidRDefault="004775A7" w:rsidP="0062478E">
            <w:pPr>
              <w:ind w:left="3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2C3463">
              <w:rPr>
                <w:b/>
                <w:sz w:val="20"/>
                <w:szCs w:val="20"/>
              </w:rPr>
              <w:t>aterials and Methods</w:t>
            </w:r>
            <w:r w:rsidR="001A3F3B">
              <w:rPr>
                <w:b/>
                <w:sz w:val="20"/>
                <w:szCs w:val="20"/>
              </w:rPr>
              <w:t xml:space="preserve"> </w:t>
            </w:r>
            <w:r w:rsidR="00872CD0" w:rsidRPr="00872CD0">
              <w:rPr>
                <w:sz w:val="20"/>
                <w:szCs w:val="20"/>
              </w:rPr>
              <w:t>A continuous design</w:t>
            </w:r>
            <w:r w:rsidR="00872CD0">
              <w:rPr>
                <w:b/>
                <w:sz w:val="20"/>
                <w:szCs w:val="20"/>
              </w:rPr>
              <w:t xml:space="preserve"> </w:t>
            </w:r>
            <w:r w:rsidR="00872CD0">
              <w:rPr>
                <w:sz w:val="20"/>
                <w:szCs w:val="20"/>
              </w:rPr>
              <w:t xml:space="preserve">study using </w:t>
            </w:r>
            <w:r w:rsidR="00793607">
              <w:rPr>
                <w:sz w:val="20"/>
                <w:szCs w:val="20"/>
              </w:rPr>
              <w:t>88</w:t>
            </w:r>
            <w:r w:rsidR="002B2556">
              <w:rPr>
                <w:sz w:val="20"/>
                <w:szCs w:val="20"/>
              </w:rPr>
              <w:t xml:space="preserve"> </w:t>
            </w:r>
            <w:r w:rsidR="001A3E59">
              <w:rPr>
                <w:sz w:val="20"/>
                <w:szCs w:val="20"/>
              </w:rPr>
              <w:t xml:space="preserve">Holstein </w:t>
            </w:r>
            <w:r w:rsidR="00872CD0">
              <w:rPr>
                <w:sz w:val="20"/>
                <w:szCs w:val="20"/>
              </w:rPr>
              <w:t xml:space="preserve">dairy </w:t>
            </w:r>
            <w:r w:rsidR="001A3E59">
              <w:rPr>
                <w:sz w:val="20"/>
                <w:szCs w:val="20"/>
              </w:rPr>
              <w:t xml:space="preserve">cows </w:t>
            </w:r>
            <w:r w:rsidR="00872CD0">
              <w:rPr>
                <w:sz w:val="20"/>
                <w:szCs w:val="20"/>
              </w:rPr>
              <w:t>(2</w:t>
            </w:r>
            <w:r w:rsidR="00793607">
              <w:rPr>
                <w:sz w:val="20"/>
                <w:szCs w:val="20"/>
              </w:rPr>
              <w:t>8</w:t>
            </w:r>
            <w:r w:rsidR="00872CD0">
              <w:rPr>
                <w:sz w:val="20"/>
                <w:szCs w:val="20"/>
              </w:rPr>
              <w:t xml:space="preserve"> </w:t>
            </w:r>
            <w:r w:rsidR="007351E8">
              <w:rPr>
                <w:sz w:val="20"/>
                <w:szCs w:val="20"/>
              </w:rPr>
              <w:t>primiparous</w:t>
            </w:r>
            <w:r w:rsidR="00872CD0">
              <w:rPr>
                <w:sz w:val="20"/>
                <w:szCs w:val="20"/>
              </w:rPr>
              <w:t xml:space="preserve">) </w:t>
            </w:r>
            <w:r w:rsidR="00F67896">
              <w:rPr>
                <w:sz w:val="20"/>
                <w:szCs w:val="20"/>
              </w:rPr>
              <w:t xml:space="preserve">examined </w:t>
            </w:r>
            <w:r w:rsidR="006A4FDD">
              <w:rPr>
                <w:sz w:val="20"/>
                <w:szCs w:val="20"/>
              </w:rPr>
              <w:t xml:space="preserve">three </w:t>
            </w:r>
            <w:r w:rsidR="00793607">
              <w:rPr>
                <w:sz w:val="20"/>
                <w:szCs w:val="20"/>
              </w:rPr>
              <w:t>RSM</w:t>
            </w:r>
            <w:r>
              <w:rPr>
                <w:sz w:val="20"/>
                <w:szCs w:val="20"/>
              </w:rPr>
              <w:t xml:space="preserve"> </w:t>
            </w:r>
            <w:r w:rsidR="00F36AB6">
              <w:rPr>
                <w:sz w:val="20"/>
                <w:szCs w:val="20"/>
              </w:rPr>
              <w:t xml:space="preserve">based </w:t>
            </w:r>
            <w:r w:rsidR="00793607">
              <w:rPr>
                <w:sz w:val="20"/>
                <w:szCs w:val="20"/>
              </w:rPr>
              <w:t xml:space="preserve">diets </w:t>
            </w:r>
            <w:r w:rsidR="006C33D4">
              <w:rPr>
                <w:sz w:val="20"/>
                <w:szCs w:val="20"/>
              </w:rPr>
              <w:t xml:space="preserve">containing either </w:t>
            </w:r>
            <w:r w:rsidR="006A4FDD">
              <w:rPr>
                <w:sz w:val="20"/>
                <w:szCs w:val="20"/>
              </w:rPr>
              <w:t>1</w:t>
            </w:r>
            <w:r w:rsidR="00793607">
              <w:rPr>
                <w:sz w:val="20"/>
                <w:szCs w:val="20"/>
              </w:rPr>
              <w:t>4</w:t>
            </w:r>
            <w:r w:rsidR="006A4FDD">
              <w:rPr>
                <w:sz w:val="20"/>
                <w:szCs w:val="20"/>
              </w:rPr>
              <w:t>%</w:t>
            </w:r>
            <w:r w:rsidR="00D574E7">
              <w:rPr>
                <w:sz w:val="20"/>
                <w:szCs w:val="20"/>
              </w:rPr>
              <w:t xml:space="preserve"> (R140)</w:t>
            </w:r>
            <w:r w:rsidR="006A4FDD">
              <w:rPr>
                <w:sz w:val="20"/>
                <w:szCs w:val="20"/>
              </w:rPr>
              <w:t>, 1</w:t>
            </w:r>
            <w:r w:rsidR="00793607">
              <w:rPr>
                <w:sz w:val="20"/>
                <w:szCs w:val="20"/>
              </w:rPr>
              <w:t>5.5</w:t>
            </w:r>
            <w:r w:rsidR="006A4FDD">
              <w:rPr>
                <w:sz w:val="20"/>
                <w:szCs w:val="20"/>
              </w:rPr>
              <w:t xml:space="preserve">% </w:t>
            </w:r>
            <w:r w:rsidR="00D574E7">
              <w:rPr>
                <w:sz w:val="20"/>
                <w:szCs w:val="20"/>
              </w:rPr>
              <w:t>(R155)</w:t>
            </w:r>
            <w:r w:rsidR="00F36AB6">
              <w:rPr>
                <w:sz w:val="20"/>
                <w:szCs w:val="20"/>
              </w:rPr>
              <w:t xml:space="preserve"> </w:t>
            </w:r>
            <w:r w:rsidR="006C33D4">
              <w:rPr>
                <w:sz w:val="20"/>
                <w:szCs w:val="20"/>
              </w:rPr>
              <w:t xml:space="preserve">or </w:t>
            </w:r>
            <w:r w:rsidR="006A4FDD">
              <w:rPr>
                <w:sz w:val="20"/>
                <w:szCs w:val="20"/>
              </w:rPr>
              <w:t>1</w:t>
            </w:r>
            <w:r w:rsidR="00793607">
              <w:rPr>
                <w:sz w:val="20"/>
                <w:szCs w:val="20"/>
              </w:rPr>
              <w:t>7</w:t>
            </w:r>
            <w:r w:rsidR="006A4FDD">
              <w:rPr>
                <w:sz w:val="20"/>
                <w:szCs w:val="20"/>
              </w:rPr>
              <w:t>%</w:t>
            </w:r>
            <w:r w:rsidR="00793607">
              <w:rPr>
                <w:sz w:val="20"/>
                <w:szCs w:val="20"/>
              </w:rPr>
              <w:t xml:space="preserve"> </w:t>
            </w:r>
            <w:r w:rsidR="00D574E7">
              <w:rPr>
                <w:sz w:val="20"/>
                <w:szCs w:val="20"/>
              </w:rPr>
              <w:t>(R170)</w:t>
            </w:r>
            <w:r w:rsidR="006C33D4">
              <w:rPr>
                <w:sz w:val="20"/>
                <w:szCs w:val="20"/>
              </w:rPr>
              <w:t xml:space="preserve"> CP ((dry matter (DM) basis). A fourth</w:t>
            </w:r>
            <w:r w:rsidR="00793607">
              <w:rPr>
                <w:sz w:val="20"/>
                <w:szCs w:val="20"/>
              </w:rPr>
              <w:t xml:space="preserve"> </w:t>
            </w:r>
            <w:r w:rsidR="006C33D4">
              <w:rPr>
                <w:sz w:val="20"/>
                <w:szCs w:val="20"/>
              </w:rPr>
              <w:t>‘</w:t>
            </w:r>
            <w:r w:rsidR="00793607">
              <w:rPr>
                <w:sz w:val="20"/>
                <w:szCs w:val="20"/>
              </w:rPr>
              <w:t>conventional diet</w:t>
            </w:r>
            <w:r w:rsidR="006C33D4">
              <w:rPr>
                <w:sz w:val="20"/>
                <w:szCs w:val="20"/>
              </w:rPr>
              <w:t>’</w:t>
            </w:r>
            <w:r w:rsidR="00793607">
              <w:rPr>
                <w:sz w:val="20"/>
                <w:szCs w:val="20"/>
              </w:rPr>
              <w:t xml:space="preserve"> </w:t>
            </w:r>
            <w:r w:rsidR="006C33D4">
              <w:rPr>
                <w:sz w:val="20"/>
                <w:szCs w:val="20"/>
              </w:rPr>
              <w:t xml:space="preserve">containing </w:t>
            </w:r>
            <w:r w:rsidR="00793607">
              <w:rPr>
                <w:sz w:val="20"/>
                <w:szCs w:val="20"/>
              </w:rPr>
              <w:t xml:space="preserve">soya </w:t>
            </w:r>
            <w:r w:rsidR="006C33D4">
              <w:rPr>
                <w:sz w:val="20"/>
                <w:szCs w:val="20"/>
              </w:rPr>
              <w:t xml:space="preserve">had </w:t>
            </w:r>
            <w:r w:rsidR="007B7948">
              <w:rPr>
                <w:sz w:val="20"/>
                <w:szCs w:val="20"/>
              </w:rPr>
              <w:t>a t</w:t>
            </w:r>
            <w:r w:rsidR="00F36AB6">
              <w:rPr>
                <w:sz w:val="20"/>
                <w:szCs w:val="20"/>
              </w:rPr>
              <w:t xml:space="preserve">otal diet CP (DM basis) of </w:t>
            </w:r>
            <w:r w:rsidR="00793607">
              <w:rPr>
                <w:sz w:val="20"/>
                <w:szCs w:val="20"/>
              </w:rPr>
              <w:t>15.5%</w:t>
            </w:r>
            <w:r w:rsidR="00D574E7">
              <w:rPr>
                <w:sz w:val="20"/>
                <w:szCs w:val="20"/>
              </w:rPr>
              <w:t xml:space="preserve"> (C155).</w:t>
            </w:r>
            <w:r w:rsidR="00E94D43">
              <w:t xml:space="preserve"> </w:t>
            </w:r>
            <w:r w:rsidR="00E94D43" w:rsidRPr="00E94D43">
              <w:rPr>
                <w:sz w:val="20"/>
                <w:szCs w:val="20"/>
              </w:rPr>
              <w:t>Diets R140, R155, R170 and C155 supplied 9</w:t>
            </w:r>
            <w:r w:rsidR="00E94D43">
              <w:rPr>
                <w:sz w:val="20"/>
                <w:szCs w:val="20"/>
              </w:rPr>
              <w:t>3</w:t>
            </w:r>
            <w:r w:rsidR="00E94D43" w:rsidRPr="00E94D43">
              <w:rPr>
                <w:sz w:val="20"/>
                <w:szCs w:val="20"/>
              </w:rPr>
              <w:t>, 9</w:t>
            </w:r>
            <w:r w:rsidR="00E94D43">
              <w:rPr>
                <w:sz w:val="20"/>
                <w:szCs w:val="20"/>
              </w:rPr>
              <w:t>8</w:t>
            </w:r>
            <w:r w:rsidR="00E94D43" w:rsidRPr="00E94D43">
              <w:rPr>
                <w:sz w:val="20"/>
                <w:szCs w:val="20"/>
              </w:rPr>
              <w:t xml:space="preserve"> 10</w:t>
            </w:r>
            <w:r w:rsidR="00E94D43">
              <w:rPr>
                <w:sz w:val="20"/>
                <w:szCs w:val="20"/>
              </w:rPr>
              <w:t>3</w:t>
            </w:r>
            <w:r w:rsidR="00E94D43" w:rsidRPr="00E94D43">
              <w:rPr>
                <w:sz w:val="20"/>
                <w:szCs w:val="20"/>
              </w:rPr>
              <w:t xml:space="preserve"> And 10</w:t>
            </w:r>
            <w:r w:rsidR="00E94D43">
              <w:rPr>
                <w:sz w:val="20"/>
                <w:szCs w:val="20"/>
              </w:rPr>
              <w:t>6</w:t>
            </w:r>
            <w:r w:rsidR="00E94D43" w:rsidRPr="00E94D43">
              <w:rPr>
                <w:sz w:val="20"/>
                <w:szCs w:val="20"/>
              </w:rPr>
              <w:t xml:space="preserve">% of </w:t>
            </w:r>
            <w:proofErr w:type="spellStart"/>
            <w:r w:rsidR="00E94D43">
              <w:rPr>
                <w:sz w:val="20"/>
                <w:szCs w:val="20"/>
              </w:rPr>
              <w:t>m</w:t>
            </w:r>
            <w:r w:rsidR="00E94D43" w:rsidRPr="00E94D43">
              <w:rPr>
                <w:sz w:val="20"/>
                <w:szCs w:val="20"/>
              </w:rPr>
              <w:t>etabolisable</w:t>
            </w:r>
            <w:proofErr w:type="spellEnd"/>
            <w:r w:rsidR="00E94D43" w:rsidRPr="00E94D43">
              <w:rPr>
                <w:sz w:val="20"/>
                <w:szCs w:val="20"/>
              </w:rPr>
              <w:t xml:space="preserve"> </w:t>
            </w:r>
            <w:r w:rsidR="00E94D43">
              <w:rPr>
                <w:sz w:val="20"/>
                <w:szCs w:val="20"/>
              </w:rPr>
              <w:t>p</w:t>
            </w:r>
            <w:r w:rsidR="00E94D43" w:rsidRPr="00E94D43">
              <w:rPr>
                <w:sz w:val="20"/>
                <w:szCs w:val="20"/>
              </w:rPr>
              <w:t>rotein (MP-N) requirements, respectively</w:t>
            </w:r>
            <w:r w:rsidR="00E94D43">
              <w:rPr>
                <w:sz w:val="20"/>
                <w:szCs w:val="20"/>
              </w:rPr>
              <w:t>.</w:t>
            </w:r>
            <w:r w:rsidR="00793607">
              <w:rPr>
                <w:sz w:val="20"/>
                <w:szCs w:val="20"/>
              </w:rPr>
              <w:t xml:space="preserve"> </w:t>
            </w:r>
            <w:r w:rsidR="00180698">
              <w:rPr>
                <w:sz w:val="20"/>
                <w:szCs w:val="20"/>
              </w:rPr>
              <w:t xml:space="preserve">Cows were enrolled </w:t>
            </w:r>
            <w:r w:rsidR="00793607">
              <w:rPr>
                <w:sz w:val="20"/>
                <w:szCs w:val="20"/>
              </w:rPr>
              <w:t>post-</w:t>
            </w:r>
            <w:r w:rsidR="00180698">
              <w:rPr>
                <w:sz w:val="20"/>
                <w:szCs w:val="20"/>
              </w:rPr>
              <w:t>calving and remained on treatment</w:t>
            </w:r>
            <w:r w:rsidR="00F67896">
              <w:rPr>
                <w:sz w:val="20"/>
                <w:szCs w:val="20"/>
              </w:rPr>
              <w:t xml:space="preserve"> </w:t>
            </w:r>
            <w:r w:rsidR="00180698">
              <w:rPr>
                <w:sz w:val="20"/>
                <w:szCs w:val="20"/>
              </w:rPr>
              <w:t>until day</w:t>
            </w:r>
            <w:r w:rsidR="00B52D92">
              <w:rPr>
                <w:sz w:val="20"/>
                <w:szCs w:val="20"/>
              </w:rPr>
              <w:t xml:space="preserve"> </w:t>
            </w:r>
            <w:r w:rsidR="00793607">
              <w:rPr>
                <w:sz w:val="20"/>
                <w:szCs w:val="20"/>
              </w:rPr>
              <w:t>252</w:t>
            </w:r>
            <w:r w:rsidR="00180698">
              <w:rPr>
                <w:sz w:val="20"/>
                <w:szCs w:val="20"/>
              </w:rPr>
              <w:t xml:space="preserve"> of lactation. A common silage (</w:t>
            </w:r>
            <w:r w:rsidR="009F2002">
              <w:rPr>
                <w:sz w:val="20"/>
                <w:szCs w:val="20"/>
              </w:rPr>
              <w:t xml:space="preserve">mean </w:t>
            </w:r>
            <w:r w:rsidR="00180698">
              <w:rPr>
                <w:sz w:val="20"/>
                <w:szCs w:val="20"/>
              </w:rPr>
              <w:t>DM, 3</w:t>
            </w:r>
            <w:r w:rsidR="00793607">
              <w:rPr>
                <w:sz w:val="20"/>
                <w:szCs w:val="20"/>
              </w:rPr>
              <w:t>07</w:t>
            </w:r>
            <w:r w:rsidR="009F2002">
              <w:rPr>
                <w:sz w:val="20"/>
                <w:szCs w:val="20"/>
              </w:rPr>
              <w:t xml:space="preserve"> </w:t>
            </w:r>
            <w:r w:rsidR="00180698">
              <w:rPr>
                <w:sz w:val="20"/>
                <w:szCs w:val="20"/>
              </w:rPr>
              <w:t>g/kg; CP, 1</w:t>
            </w:r>
            <w:r w:rsidR="00793607">
              <w:rPr>
                <w:sz w:val="20"/>
                <w:szCs w:val="20"/>
              </w:rPr>
              <w:t>19</w:t>
            </w:r>
            <w:r w:rsidR="009F2002">
              <w:rPr>
                <w:sz w:val="20"/>
                <w:szCs w:val="20"/>
              </w:rPr>
              <w:t xml:space="preserve"> </w:t>
            </w:r>
            <w:r w:rsidR="00180698">
              <w:rPr>
                <w:sz w:val="20"/>
                <w:szCs w:val="20"/>
              </w:rPr>
              <w:t xml:space="preserve">g/kg DM; </w:t>
            </w:r>
            <w:proofErr w:type="spellStart"/>
            <w:r w:rsidR="00180698">
              <w:rPr>
                <w:sz w:val="20"/>
                <w:szCs w:val="20"/>
              </w:rPr>
              <w:t>metabolisable</w:t>
            </w:r>
            <w:proofErr w:type="spellEnd"/>
            <w:r w:rsidR="00180698">
              <w:rPr>
                <w:sz w:val="20"/>
                <w:szCs w:val="20"/>
              </w:rPr>
              <w:t xml:space="preserve"> energy, 11.</w:t>
            </w:r>
            <w:r w:rsidR="00793607">
              <w:rPr>
                <w:sz w:val="20"/>
                <w:szCs w:val="20"/>
              </w:rPr>
              <w:t>2</w:t>
            </w:r>
            <w:r w:rsidR="00180698">
              <w:rPr>
                <w:sz w:val="20"/>
                <w:szCs w:val="20"/>
              </w:rPr>
              <w:t xml:space="preserve"> MJ/kg DM) was </w:t>
            </w:r>
            <w:r w:rsidR="007351E8">
              <w:rPr>
                <w:sz w:val="20"/>
                <w:szCs w:val="20"/>
              </w:rPr>
              <w:t xml:space="preserve">offered </w:t>
            </w:r>
            <w:r w:rsidR="00F67896">
              <w:rPr>
                <w:sz w:val="20"/>
                <w:szCs w:val="20"/>
              </w:rPr>
              <w:t xml:space="preserve">across </w:t>
            </w:r>
            <w:r w:rsidR="007351E8">
              <w:rPr>
                <w:sz w:val="20"/>
                <w:szCs w:val="20"/>
              </w:rPr>
              <w:t xml:space="preserve">all treatments </w:t>
            </w:r>
            <w:r w:rsidR="00180698">
              <w:rPr>
                <w:sz w:val="20"/>
                <w:szCs w:val="20"/>
              </w:rPr>
              <w:t>throughout the study</w:t>
            </w:r>
            <w:r w:rsidR="00F67896">
              <w:rPr>
                <w:sz w:val="20"/>
                <w:szCs w:val="20"/>
              </w:rPr>
              <w:t xml:space="preserve">. </w:t>
            </w:r>
            <w:r w:rsidR="005E5060">
              <w:rPr>
                <w:sz w:val="20"/>
                <w:szCs w:val="20"/>
              </w:rPr>
              <w:t>Concentrates offered were isoenergetic, while differing in their ingredient composition</w:t>
            </w:r>
            <w:r w:rsidR="00180698">
              <w:rPr>
                <w:sz w:val="20"/>
                <w:szCs w:val="20"/>
              </w:rPr>
              <w:t xml:space="preserve">. Silage and concentrates were offered </w:t>
            </w:r>
            <w:r w:rsidR="002F54EE">
              <w:rPr>
                <w:sz w:val="20"/>
                <w:szCs w:val="20"/>
              </w:rPr>
              <w:t xml:space="preserve">in the form of </w:t>
            </w:r>
            <w:r w:rsidR="00180698">
              <w:rPr>
                <w:sz w:val="20"/>
                <w:szCs w:val="20"/>
              </w:rPr>
              <w:t xml:space="preserve">a </w:t>
            </w:r>
            <w:r w:rsidR="00793607">
              <w:rPr>
                <w:sz w:val="20"/>
                <w:szCs w:val="20"/>
              </w:rPr>
              <w:t>total mixed ration</w:t>
            </w:r>
            <w:r w:rsidR="00180698">
              <w:rPr>
                <w:sz w:val="20"/>
                <w:szCs w:val="20"/>
              </w:rPr>
              <w:t xml:space="preserve"> </w:t>
            </w:r>
            <w:r w:rsidR="002F54EE">
              <w:rPr>
                <w:sz w:val="20"/>
                <w:szCs w:val="20"/>
              </w:rPr>
              <w:t>(</w:t>
            </w:r>
            <w:r w:rsidR="00180698">
              <w:rPr>
                <w:sz w:val="20"/>
                <w:szCs w:val="20"/>
              </w:rPr>
              <w:t>50:50 DM basis</w:t>
            </w:r>
            <w:r w:rsidR="002F54EE">
              <w:rPr>
                <w:sz w:val="20"/>
                <w:szCs w:val="20"/>
              </w:rPr>
              <w:t>)</w:t>
            </w:r>
            <w:r w:rsidR="0036332E">
              <w:rPr>
                <w:sz w:val="20"/>
                <w:szCs w:val="20"/>
              </w:rPr>
              <w:t>.</w:t>
            </w:r>
            <w:r w:rsidR="00F55969">
              <w:rPr>
                <w:sz w:val="20"/>
                <w:szCs w:val="20"/>
              </w:rPr>
              <w:t xml:space="preserve"> </w:t>
            </w:r>
            <w:r w:rsidR="008D0B89">
              <w:rPr>
                <w:sz w:val="20"/>
                <w:szCs w:val="20"/>
              </w:rPr>
              <w:t>Blood samples</w:t>
            </w:r>
            <w:r w:rsidR="00902A9E">
              <w:rPr>
                <w:sz w:val="20"/>
                <w:szCs w:val="20"/>
              </w:rPr>
              <w:t xml:space="preserve"> were take</w:t>
            </w:r>
            <w:r w:rsidR="00B569FD">
              <w:rPr>
                <w:sz w:val="20"/>
                <w:szCs w:val="20"/>
              </w:rPr>
              <w:t>n at week</w:t>
            </w:r>
            <w:r w:rsidR="002F54EE">
              <w:rPr>
                <w:sz w:val="20"/>
                <w:szCs w:val="20"/>
              </w:rPr>
              <w:t>s</w:t>
            </w:r>
            <w:r w:rsidR="00B569FD">
              <w:rPr>
                <w:sz w:val="20"/>
                <w:szCs w:val="20"/>
              </w:rPr>
              <w:t xml:space="preserve"> </w:t>
            </w:r>
            <w:r w:rsidR="00793607">
              <w:rPr>
                <w:sz w:val="20"/>
                <w:szCs w:val="20"/>
              </w:rPr>
              <w:t>4,</w:t>
            </w:r>
            <w:r w:rsidR="006B7E6C">
              <w:rPr>
                <w:sz w:val="20"/>
                <w:szCs w:val="20"/>
              </w:rPr>
              <w:t xml:space="preserve"> </w:t>
            </w:r>
            <w:r w:rsidR="00B569FD">
              <w:rPr>
                <w:sz w:val="20"/>
                <w:szCs w:val="20"/>
              </w:rPr>
              <w:t>8,</w:t>
            </w:r>
            <w:r w:rsidR="00793607">
              <w:rPr>
                <w:sz w:val="20"/>
                <w:szCs w:val="20"/>
              </w:rPr>
              <w:t xml:space="preserve"> 12, 16</w:t>
            </w:r>
            <w:r w:rsidR="00B569FD">
              <w:rPr>
                <w:sz w:val="20"/>
                <w:szCs w:val="20"/>
              </w:rPr>
              <w:t>,</w:t>
            </w:r>
            <w:r w:rsidR="006B7E6C">
              <w:rPr>
                <w:sz w:val="20"/>
                <w:szCs w:val="20"/>
              </w:rPr>
              <w:t xml:space="preserve"> </w:t>
            </w:r>
            <w:r w:rsidR="00793607">
              <w:rPr>
                <w:sz w:val="20"/>
                <w:szCs w:val="20"/>
              </w:rPr>
              <w:t xml:space="preserve">20, 28 and 36 </w:t>
            </w:r>
            <w:r w:rsidR="00516695">
              <w:rPr>
                <w:sz w:val="20"/>
                <w:szCs w:val="20"/>
              </w:rPr>
              <w:t>post-calving</w:t>
            </w:r>
            <w:r w:rsidR="00B569FD">
              <w:rPr>
                <w:sz w:val="20"/>
                <w:szCs w:val="20"/>
              </w:rPr>
              <w:t>.</w:t>
            </w:r>
            <w:r w:rsidR="0036332E">
              <w:rPr>
                <w:sz w:val="20"/>
                <w:szCs w:val="20"/>
              </w:rPr>
              <w:t xml:space="preserve"> The weekly means of individual cow</w:t>
            </w:r>
            <w:r w:rsidR="008D0B89">
              <w:rPr>
                <w:sz w:val="20"/>
                <w:szCs w:val="20"/>
              </w:rPr>
              <w:t xml:space="preserve"> </w:t>
            </w:r>
            <w:r w:rsidR="007B7948">
              <w:rPr>
                <w:sz w:val="20"/>
                <w:szCs w:val="20"/>
              </w:rPr>
              <w:t xml:space="preserve">dry matter </w:t>
            </w:r>
            <w:r w:rsidR="00562240">
              <w:rPr>
                <w:sz w:val="20"/>
                <w:szCs w:val="20"/>
              </w:rPr>
              <w:t>intakes</w:t>
            </w:r>
            <w:r w:rsidR="007B7948">
              <w:rPr>
                <w:sz w:val="20"/>
                <w:szCs w:val="20"/>
              </w:rPr>
              <w:t xml:space="preserve"> (DMI)</w:t>
            </w:r>
            <w:r w:rsidR="00562240">
              <w:rPr>
                <w:sz w:val="20"/>
                <w:szCs w:val="20"/>
              </w:rPr>
              <w:t xml:space="preserve"> and </w:t>
            </w:r>
            <w:r w:rsidR="007B7948">
              <w:rPr>
                <w:sz w:val="20"/>
                <w:szCs w:val="20"/>
              </w:rPr>
              <w:t xml:space="preserve">performance data </w:t>
            </w:r>
            <w:r w:rsidR="008D0B89">
              <w:rPr>
                <w:sz w:val="20"/>
                <w:szCs w:val="20"/>
              </w:rPr>
              <w:t>were analysed using REML, with cow as the experimental unit and w</w:t>
            </w:r>
            <w:r w:rsidR="008D0B89" w:rsidRPr="00643E35">
              <w:rPr>
                <w:sz w:val="20"/>
                <w:szCs w:val="20"/>
              </w:rPr>
              <w:t>eek as the repeated measure</w:t>
            </w:r>
            <w:r w:rsidR="00F55969">
              <w:rPr>
                <w:sz w:val="20"/>
                <w:szCs w:val="20"/>
              </w:rPr>
              <w:t xml:space="preserve"> (</w:t>
            </w:r>
            <w:r w:rsidR="00F55969" w:rsidRPr="00F55969">
              <w:rPr>
                <w:sz w:val="20"/>
                <w:szCs w:val="20"/>
              </w:rPr>
              <w:t>GenStat 2</w:t>
            </w:r>
            <w:r w:rsidR="00EB6568">
              <w:rPr>
                <w:sz w:val="20"/>
                <w:szCs w:val="20"/>
              </w:rPr>
              <w:t>1st</w:t>
            </w:r>
            <w:r w:rsidR="00F55969" w:rsidRPr="00F55969">
              <w:rPr>
                <w:sz w:val="20"/>
                <w:szCs w:val="20"/>
              </w:rPr>
              <w:t xml:space="preserve"> ed</w:t>
            </w:r>
            <w:r w:rsidR="007B7948">
              <w:rPr>
                <w:sz w:val="20"/>
                <w:szCs w:val="20"/>
              </w:rPr>
              <w:t>.</w:t>
            </w:r>
            <w:r w:rsidR="00880D60">
              <w:rPr>
                <w:sz w:val="20"/>
                <w:szCs w:val="20"/>
              </w:rPr>
              <w:t>, VSN</w:t>
            </w:r>
            <w:r w:rsidR="007B7948">
              <w:rPr>
                <w:sz w:val="20"/>
                <w:szCs w:val="20"/>
              </w:rPr>
              <w:t xml:space="preserve">I </w:t>
            </w:r>
            <w:r w:rsidR="00880D60">
              <w:rPr>
                <w:sz w:val="20"/>
                <w:szCs w:val="20"/>
              </w:rPr>
              <w:t>Ltd</w:t>
            </w:r>
            <w:r w:rsidR="00F55969">
              <w:rPr>
                <w:sz w:val="20"/>
                <w:szCs w:val="20"/>
              </w:rPr>
              <w:t>)</w:t>
            </w:r>
            <w:r w:rsidR="008D0B89" w:rsidRPr="00643E35">
              <w:rPr>
                <w:sz w:val="20"/>
                <w:szCs w:val="20"/>
              </w:rPr>
              <w:t>.</w:t>
            </w:r>
          </w:p>
          <w:p w14:paraId="47F0A2FC" w14:textId="77777777" w:rsidR="008D0B89" w:rsidRPr="00D41726" w:rsidRDefault="008D0B89" w:rsidP="0062478E">
            <w:pPr>
              <w:ind w:left="37"/>
              <w:jc w:val="both"/>
              <w:rPr>
                <w:sz w:val="8"/>
                <w:szCs w:val="8"/>
              </w:rPr>
            </w:pPr>
          </w:p>
          <w:p w14:paraId="42A8FB92" w14:textId="54090C22" w:rsidR="00C555B0" w:rsidRPr="00D41726" w:rsidRDefault="002C3463" w:rsidP="00D41726">
            <w:pPr>
              <w:ind w:left="3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Results</w:t>
            </w:r>
            <w:r w:rsidR="00A444DC">
              <w:rPr>
                <w:b/>
                <w:sz w:val="20"/>
                <w:szCs w:val="20"/>
              </w:rPr>
              <w:t xml:space="preserve"> </w:t>
            </w:r>
            <w:r w:rsidR="00BD3592" w:rsidRPr="00BD3592">
              <w:rPr>
                <w:sz w:val="20"/>
                <w:szCs w:val="20"/>
              </w:rPr>
              <w:t>Within the RSM diets, DMI</w:t>
            </w:r>
            <w:r w:rsidR="00BD3592">
              <w:rPr>
                <w:sz w:val="20"/>
                <w:szCs w:val="20"/>
              </w:rPr>
              <w:t xml:space="preserve">, </w:t>
            </w:r>
            <w:r w:rsidR="00BD3592" w:rsidRPr="00BD3592">
              <w:rPr>
                <w:sz w:val="20"/>
                <w:szCs w:val="20"/>
              </w:rPr>
              <w:t>milk protein content, fat plus protein yield</w:t>
            </w:r>
            <w:r w:rsidR="00BD3592">
              <w:rPr>
                <w:sz w:val="20"/>
                <w:szCs w:val="20"/>
              </w:rPr>
              <w:t xml:space="preserve">, milk urea </w:t>
            </w:r>
            <w:r w:rsidR="00FE1F1C">
              <w:rPr>
                <w:sz w:val="20"/>
                <w:szCs w:val="20"/>
              </w:rPr>
              <w:t>and plasma urea content</w:t>
            </w:r>
            <w:r w:rsidR="00BD3592" w:rsidRPr="00BD3592">
              <w:rPr>
                <w:sz w:val="20"/>
                <w:szCs w:val="20"/>
              </w:rPr>
              <w:t xml:space="preserve"> </w:t>
            </w:r>
            <w:r w:rsidR="00067D82">
              <w:rPr>
                <w:sz w:val="20"/>
                <w:szCs w:val="20"/>
              </w:rPr>
              <w:t>increased with increased</w:t>
            </w:r>
            <w:r w:rsidR="00067D82" w:rsidRPr="00BD3592">
              <w:rPr>
                <w:sz w:val="20"/>
                <w:szCs w:val="20"/>
              </w:rPr>
              <w:t xml:space="preserve"> CP </w:t>
            </w:r>
            <w:r w:rsidR="00067D82">
              <w:rPr>
                <w:sz w:val="20"/>
                <w:szCs w:val="20"/>
              </w:rPr>
              <w:t>content</w:t>
            </w:r>
            <w:r w:rsidR="00067D82" w:rsidRPr="00BD3592">
              <w:rPr>
                <w:sz w:val="20"/>
                <w:szCs w:val="20"/>
              </w:rPr>
              <w:t xml:space="preserve"> </w:t>
            </w:r>
            <w:r w:rsidR="00BD3592" w:rsidRPr="00BD3592">
              <w:rPr>
                <w:sz w:val="20"/>
                <w:szCs w:val="20"/>
              </w:rPr>
              <w:t xml:space="preserve">(P &lt; 0.001; </w:t>
            </w:r>
            <w:r w:rsidR="00BD3592">
              <w:rPr>
                <w:sz w:val="20"/>
                <w:szCs w:val="20"/>
              </w:rPr>
              <w:t>Table 1</w:t>
            </w:r>
            <w:r w:rsidR="00BD3592" w:rsidRPr="00BD3592">
              <w:rPr>
                <w:sz w:val="20"/>
                <w:szCs w:val="20"/>
              </w:rPr>
              <w:t>)</w:t>
            </w:r>
            <w:r w:rsidR="00BD3592">
              <w:rPr>
                <w:sz w:val="20"/>
                <w:szCs w:val="20"/>
              </w:rPr>
              <w:t xml:space="preserve">. </w:t>
            </w:r>
            <w:r w:rsidR="00BD3592" w:rsidRPr="00BD3592">
              <w:rPr>
                <w:sz w:val="20"/>
                <w:szCs w:val="20"/>
              </w:rPr>
              <w:t xml:space="preserve">Compared to the other two RSM diets, milk yield (P &lt; 0.001) was increased </w:t>
            </w:r>
            <w:r w:rsidR="00851BCD">
              <w:rPr>
                <w:sz w:val="20"/>
                <w:szCs w:val="20"/>
              </w:rPr>
              <w:t xml:space="preserve">with </w:t>
            </w:r>
            <w:r w:rsidR="00D574E7">
              <w:rPr>
                <w:sz w:val="20"/>
                <w:szCs w:val="20"/>
              </w:rPr>
              <w:t>R170</w:t>
            </w:r>
            <w:r w:rsidR="00BD3592">
              <w:rPr>
                <w:sz w:val="20"/>
                <w:szCs w:val="20"/>
              </w:rPr>
              <w:t>, while</w:t>
            </w:r>
            <w:r w:rsidR="00BD3592" w:rsidRPr="00BD3592">
              <w:rPr>
                <w:sz w:val="20"/>
                <w:szCs w:val="20"/>
              </w:rPr>
              <w:t xml:space="preserve"> milk fat (P = 0.002) </w:t>
            </w:r>
            <w:r w:rsidR="00FC7240">
              <w:rPr>
                <w:sz w:val="20"/>
                <w:szCs w:val="20"/>
              </w:rPr>
              <w:t xml:space="preserve">was increased </w:t>
            </w:r>
            <w:r w:rsidR="00851BCD">
              <w:rPr>
                <w:sz w:val="20"/>
                <w:szCs w:val="20"/>
              </w:rPr>
              <w:t>with</w:t>
            </w:r>
            <w:r w:rsidR="00FC7240">
              <w:rPr>
                <w:sz w:val="20"/>
                <w:szCs w:val="20"/>
              </w:rPr>
              <w:t xml:space="preserve"> </w:t>
            </w:r>
            <w:r w:rsidR="00D574E7">
              <w:rPr>
                <w:sz w:val="20"/>
                <w:szCs w:val="20"/>
              </w:rPr>
              <w:t>R</w:t>
            </w:r>
            <w:r w:rsidR="00FC7240">
              <w:rPr>
                <w:sz w:val="20"/>
                <w:szCs w:val="20"/>
              </w:rPr>
              <w:t>14</w:t>
            </w:r>
            <w:r w:rsidR="00D574E7">
              <w:rPr>
                <w:sz w:val="20"/>
                <w:szCs w:val="20"/>
              </w:rPr>
              <w:t>0</w:t>
            </w:r>
            <w:r w:rsidR="00FC7240">
              <w:rPr>
                <w:sz w:val="20"/>
                <w:szCs w:val="20"/>
              </w:rPr>
              <w:t xml:space="preserve">. </w:t>
            </w:r>
            <w:r w:rsidR="007B7948">
              <w:rPr>
                <w:sz w:val="20"/>
                <w:szCs w:val="20"/>
              </w:rPr>
              <w:t xml:space="preserve">Compared to the RSM diets, </w:t>
            </w:r>
            <w:r w:rsidR="00067D82">
              <w:rPr>
                <w:sz w:val="20"/>
                <w:szCs w:val="20"/>
              </w:rPr>
              <w:t xml:space="preserve">DMI was higher </w:t>
            </w:r>
            <w:r w:rsidR="00851BCD">
              <w:rPr>
                <w:sz w:val="20"/>
                <w:szCs w:val="20"/>
              </w:rPr>
              <w:t>with</w:t>
            </w:r>
            <w:r w:rsidR="00067D82">
              <w:rPr>
                <w:sz w:val="20"/>
                <w:szCs w:val="20"/>
              </w:rPr>
              <w:t xml:space="preserve"> </w:t>
            </w:r>
            <w:r w:rsidR="00D574E7">
              <w:rPr>
                <w:sz w:val="20"/>
                <w:szCs w:val="20"/>
              </w:rPr>
              <w:t>C155</w:t>
            </w:r>
            <w:r w:rsidR="00FC7240">
              <w:rPr>
                <w:sz w:val="20"/>
                <w:szCs w:val="20"/>
              </w:rPr>
              <w:t xml:space="preserve"> </w:t>
            </w:r>
            <w:r w:rsidR="00BD3592" w:rsidRPr="00BD3592">
              <w:rPr>
                <w:sz w:val="20"/>
                <w:szCs w:val="20"/>
              </w:rPr>
              <w:t>(P &lt; 0.001)</w:t>
            </w:r>
            <w:r w:rsidR="00067D82">
              <w:rPr>
                <w:sz w:val="20"/>
                <w:szCs w:val="20"/>
              </w:rPr>
              <w:t xml:space="preserve">, while </w:t>
            </w:r>
            <w:r w:rsidR="00BD3592" w:rsidRPr="00BD3592">
              <w:rPr>
                <w:sz w:val="20"/>
                <w:szCs w:val="20"/>
              </w:rPr>
              <w:t xml:space="preserve">milk yield </w:t>
            </w:r>
            <w:r w:rsidR="00FC7240">
              <w:rPr>
                <w:sz w:val="20"/>
                <w:szCs w:val="20"/>
              </w:rPr>
              <w:t xml:space="preserve">and </w:t>
            </w:r>
            <w:r w:rsidR="00BD3592" w:rsidRPr="00BD3592">
              <w:rPr>
                <w:sz w:val="20"/>
                <w:szCs w:val="20"/>
              </w:rPr>
              <w:t xml:space="preserve">fat plus protein yield (P &lt; 0.001) </w:t>
            </w:r>
            <w:r w:rsidR="00851BCD">
              <w:rPr>
                <w:sz w:val="20"/>
                <w:szCs w:val="20"/>
              </w:rPr>
              <w:t>with</w:t>
            </w:r>
            <w:r w:rsidR="00067D82">
              <w:rPr>
                <w:sz w:val="20"/>
                <w:szCs w:val="20"/>
              </w:rPr>
              <w:t xml:space="preserve"> C155 did not differ from</w:t>
            </w:r>
            <w:r w:rsidR="00BD3592" w:rsidRPr="00BD3592">
              <w:rPr>
                <w:sz w:val="20"/>
                <w:szCs w:val="20"/>
              </w:rPr>
              <w:t xml:space="preserve"> R170. Milk fat content </w:t>
            </w:r>
            <w:r w:rsidR="00851BCD">
              <w:rPr>
                <w:sz w:val="20"/>
                <w:szCs w:val="20"/>
              </w:rPr>
              <w:t>with</w:t>
            </w:r>
            <w:r w:rsidR="00067D82">
              <w:rPr>
                <w:sz w:val="20"/>
                <w:szCs w:val="20"/>
              </w:rPr>
              <w:t xml:space="preserve"> </w:t>
            </w:r>
            <w:r w:rsidR="00F845AD">
              <w:rPr>
                <w:sz w:val="20"/>
                <w:szCs w:val="20"/>
              </w:rPr>
              <w:t xml:space="preserve">C155 </w:t>
            </w:r>
            <w:r w:rsidR="00851BCD">
              <w:rPr>
                <w:sz w:val="20"/>
                <w:szCs w:val="20"/>
              </w:rPr>
              <w:t>was</w:t>
            </w:r>
            <w:r w:rsidR="00067D82" w:rsidRPr="00BD3592">
              <w:rPr>
                <w:sz w:val="20"/>
                <w:szCs w:val="20"/>
              </w:rPr>
              <w:t xml:space="preserve"> </w:t>
            </w:r>
            <w:r w:rsidR="00BD3592" w:rsidRPr="00BD3592">
              <w:rPr>
                <w:sz w:val="20"/>
                <w:szCs w:val="20"/>
              </w:rPr>
              <w:t>not different from R140</w:t>
            </w:r>
            <w:r w:rsidR="00851BCD">
              <w:rPr>
                <w:sz w:val="20"/>
                <w:szCs w:val="20"/>
              </w:rPr>
              <w:t>, whi</w:t>
            </w:r>
            <w:r w:rsidR="00067D82">
              <w:rPr>
                <w:sz w:val="20"/>
                <w:szCs w:val="20"/>
              </w:rPr>
              <w:t>le m</w:t>
            </w:r>
            <w:r w:rsidR="00067D82" w:rsidRPr="00BD3592">
              <w:rPr>
                <w:sz w:val="20"/>
                <w:szCs w:val="20"/>
              </w:rPr>
              <w:t xml:space="preserve">ilk </w:t>
            </w:r>
            <w:r w:rsidR="00BD3592" w:rsidRPr="00BD3592">
              <w:rPr>
                <w:sz w:val="20"/>
                <w:szCs w:val="20"/>
              </w:rPr>
              <w:t xml:space="preserve">protein </w:t>
            </w:r>
            <w:r w:rsidR="00851BCD">
              <w:rPr>
                <w:sz w:val="20"/>
                <w:szCs w:val="20"/>
              </w:rPr>
              <w:t>with</w:t>
            </w:r>
            <w:r w:rsidR="00067D82">
              <w:rPr>
                <w:sz w:val="20"/>
                <w:szCs w:val="20"/>
              </w:rPr>
              <w:t xml:space="preserve"> </w:t>
            </w:r>
            <w:r w:rsidR="00F845AD">
              <w:rPr>
                <w:sz w:val="20"/>
                <w:szCs w:val="20"/>
              </w:rPr>
              <w:t xml:space="preserve">C155 </w:t>
            </w:r>
            <w:r w:rsidR="00BD3592" w:rsidRPr="00BD3592">
              <w:rPr>
                <w:sz w:val="20"/>
                <w:szCs w:val="20"/>
              </w:rPr>
              <w:t xml:space="preserve">was not different from R140 and R155. Milk urea </w:t>
            </w:r>
            <w:r w:rsidR="00FE1F1C">
              <w:rPr>
                <w:sz w:val="20"/>
                <w:szCs w:val="20"/>
              </w:rPr>
              <w:t xml:space="preserve">and plasma urea </w:t>
            </w:r>
            <w:r w:rsidR="00BD3592" w:rsidRPr="00BD3592">
              <w:rPr>
                <w:sz w:val="20"/>
                <w:szCs w:val="20"/>
              </w:rPr>
              <w:t xml:space="preserve">content </w:t>
            </w:r>
            <w:r w:rsidR="00FE1F1C">
              <w:rPr>
                <w:sz w:val="20"/>
                <w:szCs w:val="20"/>
              </w:rPr>
              <w:t xml:space="preserve">of C155 </w:t>
            </w:r>
            <w:r w:rsidR="00BD3592" w:rsidRPr="00BD3592">
              <w:rPr>
                <w:sz w:val="20"/>
                <w:szCs w:val="20"/>
              </w:rPr>
              <w:t xml:space="preserve">was intermediate between R155 and R170 (P &lt; 0.001). </w:t>
            </w:r>
            <w:r w:rsidR="00D574E7">
              <w:rPr>
                <w:sz w:val="20"/>
                <w:szCs w:val="20"/>
              </w:rPr>
              <w:t xml:space="preserve">Plasma </w:t>
            </w:r>
            <w:r w:rsidR="009847D7" w:rsidRPr="009847D7">
              <w:rPr>
                <w:sz w:val="20"/>
                <w:szCs w:val="20"/>
              </w:rPr>
              <w:t>β-hydroxybutyrate</w:t>
            </w:r>
            <w:r w:rsidR="00D574E7">
              <w:rPr>
                <w:sz w:val="20"/>
                <w:szCs w:val="20"/>
              </w:rPr>
              <w:t xml:space="preserve"> </w:t>
            </w:r>
            <w:r w:rsidR="0096165A">
              <w:rPr>
                <w:sz w:val="20"/>
                <w:szCs w:val="20"/>
              </w:rPr>
              <w:t xml:space="preserve">concentrations </w:t>
            </w:r>
            <w:r w:rsidR="00D574E7">
              <w:rPr>
                <w:sz w:val="20"/>
                <w:szCs w:val="20"/>
              </w:rPr>
              <w:t>w</w:t>
            </w:r>
            <w:r w:rsidR="009847D7">
              <w:rPr>
                <w:sz w:val="20"/>
                <w:szCs w:val="20"/>
              </w:rPr>
              <w:t>ere</w:t>
            </w:r>
            <w:r w:rsidR="00D574E7">
              <w:rPr>
                <w:sz w:val="20"/>
                <w:szCs w:val="20"/>
              </w:rPr>
              <w:t xml:space="preserve"> greater in C155 </w:t>
            </w:r>
            <w:r w:rsidR="00FE1F1C">
              <w:rPr>
                <w:sz w:val="20"/>
                <w:szCs w:val="20"/>
              </w:rPr>
              <w:t xml:space="preserve">compared to the RSM treatments. </w:t>
            </w:r>
            <w:r w:rsidR="008E3F6B">
              <w:rPr>
                <w:sz w:val="20"/>
                <w:szCs w:val="20"/>
              </w:rPr>
              <w:t xml:space="preserve">Bodyweight and condition score were unaffected by treatment. </w:t>
            </w:r>
            <w:r w:rsidR="00FE1F1C">
              <w:rPr>
                <w:sz w:val="20"/>
                <w:szCs w:val="20"/>
              </w:rPr>
              <w:t xml:space="preserve">Compared to </w:t>
            </w:r>
            <w:r w:rsidR="009847D7">
              <w:rPr>
                <w:sz w:val="20"/>
                <w:szCs w:val="20"/>
              </w:rPr>
              <w:t>C155</w:t>
            </w:r>
            <w:r w:rsidR="00FE1F1C">
              <w:rPr>
                <w:sz w:val="20"/>
                <w:szCs w:val="20"/>
              </w:rPr>
              <w:t xml:space="preserve">, </w:t>
            </w:r>
            <w:r w:rsidR="0096165A">
              <w:rPr>
                <w:sz w:val="20"/>
                <w:szCs w:val="20"/>
              </w:rPr>
              <w:t xml:space="preserve">NUE was greater with the </w:t>
            </w:r>
            <w:r w:rsidR="00FE1F1C">
              <w:rPr>
                <w:sz w:val="20"/>
                <w:szCs w:val="20"/>
              </w:rPr>
              <w:t>RSM treatments, with R140 having the greatest NUE</w:t>
            </w:r>
            <w:r w:rsidR="0096165A">
              <w:rPr>
                <w:sz w:val="20"/>
                <w:szCs w:val="20"/>
              </w:rPr>
              <w:t xml:space="preserve"> (0.36)</w:t>
            </w:r>
            <w:r w:rsidR="00FE1F1C">
              <w:rPr>
                <w:sz w:val="20"/>
                <w:szCs w:val="20"/>
              </w:rPr>
              <w:t xml:space="preserve">. </w:t>
            </w:r>
          </w:p>
          <w:p w14:paraId="77A77E8F" w14:textId="04D94941" w:rsidR="00CF343D" w:rsidRPr="00A47B6D" w:rsidRDefault="00CF343D" w:rsidP="00D70503">
            <w:pPr>
              <w:ind w:left="37"/>
              <w:jc w:val="both"/>
              <w:rPr>
                <w:sz w:val="20"/>
                <w:szCs w:val="20"/>
              </w:rPr>
            </w:pPr>
            <w:r w:rsidRPr="00CF343D">
              <w:rPr>
                <w:b/>
                <w:sz w:val="20"/>
                <w:szCs w:val="20"/>
              </w:rPr>
              <w:t xml:space="preserve">Table 1 </w:t>
            </w:r>
            <w:r w:rsidR="009017F8">
              <w:rPr>
                <w:sz w:val="20"/>
                <w:szCs w:val="20"/>
              </w:rPr>
              <w:t>P</w:t>
            </w:r>
            <w:r w:rsidR="009F2002">
              <w:rPr>
                <w:sz w:val="20"/>
                <w:szCs w:val="20"/>
              </w:rPr>
              <w:t xml:space="preserve">erformance </w:t>
            </w:r>
            <w:r w:rsidR="009017F8">
              <w:rPr>
                <w:sz w:val="20"/>
                <w:szCs w:val="20"/>
              </w:rPr>
              <w:t xml:space="preserve">of cows </w:t>
            </w:r>
            <w:r w:rsidR="009F2002">
              <w:rPr>
                <w:sz w:val="20"/>
                <w:szCs w:val="20"/>
              </w:rPr>
              <w:t xml:space="preserve">offered </w:t>
            </w:r>
            <w:r w:rsidR="009017F8">
              <w:rPr>
                <w:sz w:val="20"/>
                <w:szCs w:val="20"/>
              </w:rPr>
              <w:t xml:space="preserve">either </w:t>
            </w:r>
            <w:r w:rsidR="009847D7">
              <w:rPr>
                <w:sz w:val="20"/>
                <w:szCs w:val="20"/>
              </w:rPr>
              <w:t xml:space="preserve">rapeseed-based diets differing in crude protein content </w:t>
            </w:r>
            <w:r w:rsidR="009017F8">
              <w:rPr>
                <w:sz w:val="20"/>
                <w:szCs w:val="20"/>
              </w:rPr>
              <w:t>or</w:t>
            </w:r>
            <w:r w:rsidR="009F2002">
              <w:rPr>
                <w:sz w:val="20"/>
                <w:szCs w:val="20"/>
              </w:rPr>
              <w:t xml:space="preserve"> a conventional diet</w:t>
            </w:r>
            <w:r w:rsidR="00E94D43">
              <w:rPr>
                <w:sz w:val="20"/>
                <w:szCs w:val="20"/>
              </w:rPr>
              <w:t>.</w:t>
            </w:r>
          </w:p>
          <w:tbl>
            <w:tblPr>
              <w:tblW w:w="9734" w:type="dxa"/>
              <w:tblLayout w:type="fixed"/>
              <w:tblLook w:val="04A0" w:firstRow="1" w:lastRow="0" w:firstColumn="1" w:lastColumn="0" w:noHBand="0" w:noVBand="1"/>
            </w:tblPr>
            <w:tblGrid>
              <w:gridCol w:w="2360"/>
              <w:gridCol w:w="917"/>
              <w:gridCol w:w="917"/>
              <w:gridCol w:w="538"/>
              <w:gridCol w:w="379"/>
              <w:gridCol w:w="917"/>
              <w:gridCol w:w="709"/>
              <w:gridCol w:w="109"/>
              <w:gridCol w:w="852"/>
              <w:gridCol w:w="1082"/>
              <w:gridCol w:w="954"/>
            </w:tblGrid>
            <w:tr w:rsidR="00EB6568" w:rsidRPr="00262D1C" w14:paraId="18444C29" w14:textId="77777777" w:rsidTr="00D41726">
              <w:trPr>
                <w:trHeight w:val="256"/>
              </w:trPr>
              <w:tc>
                <w:tcPr>
                  <w:tcW w:w="2369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21E53E" w14:textId="77777777" w:rsidR="00EB6568" w:rsidRPr="00CF343D" w:rsidRDefault="00EB6568" w:rsidP="00E22B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7" w:type="dxa"/>
                  <w:gridSpan w:val="3"/>
                  <w:tcBorders>
                    <w:top w:val="single" w:sz="4" w:space="0" w:color="auto"/>
                  </w:tcBorders>
                </w:tcPr>
                <w:p w14:paraId="495F636E" w14:textId="097CDF21" w:rsidR="00EB6568" w:rsidRDefault="00EB6568" w:rsidP="00FE1F1C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2" w:type="dxa"/>
                  <w:gridSpan w:val="2"/>
                  <w:tcBorders>
                    <w:top w:val="single" w:sz="4" w:space="0" w:color="auto"/>
                  </w:tcBorders>
                </w:tcPr>
                <w:p w14:paraId="2DC0F994" w14:textId="0DC8CB0A" w:rsidR="00EB6568" w:rsidRPr="00EB6568" w:rsidRDefault="00EB6568" w:rsidP="00017C7C">
                  <w:pPr>
                    <w:jc w:val="center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6B764588" w14:textId="22FBB7A5" w:rsidR="00EB6568" w:rsidRDefault="00EB6568" w:rsidP="00017C7C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005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</w:tcPr>
                <w:p w14:paraId="048C5FCF" w14:textId="2BC730D3" w:rsidR="00EB6568" w:rsidRDefault="00EB6568" w:rsidP="00E22B1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P-Value</w:t>
                  </w:r>
                </w:p>
              </w:tc>
            </w:tr>
            <w:tr w:rsidR="00EB6568" w:rsidRPr="00262D1C" w14:paraId="7415E4FA" w14:textId="4544EA79" w:rsidTr="00D41726">
              <w:trPr>
                <w:trHeight w:val="256"/>
              </w:trPr>
              <w:tc>
                <w:tcPr>
                  <w:tcW w:w="2369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B0382" w14:textId="75A9719D" w:rsidR="00EB6568" w:rsidRPr="00CF343D" w:rsidRDefault="00EB6568" w:rsidP="00E22B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bottom w:val="single" w:sz="4" w:space="0" w:color="auto"/>
                  </w:tcBorders>
                </w:tcPr>
                <w:p w14:paraId="1685D6D4" w14:textId="3D00F50F" w:rsidR="00EB6568" w:rsidRPr="008D0B89" w:rsidRDefault="00FE1F1C" w:rsidP="00017C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R140</w:t>
                  </w:r>
                  <w:r w:rsidR="00EB656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19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E26B9E" w14:textId="0EA11F6E" w:rsidR="00EB6568" w:rsidRPr="008D0B89" w:rsidRDefault="00FE1F1C" w:rsidP="00017C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R155</w:t>
                  </w:r>
                </w:p>
              </w:tc>
              <w:tc>
                <w:tcPr>
                  <w:tcW w:w="919" w:type="dxa"/>
                  <w:gridSpan w:val="2"/>
                  <w:tcBorders>
                    <w:bottom w:val="single" w:sz="4" w:space="0" w:color="auto"/>
                  </w:tcBorders>
                </w:tcPr>
                <w:p w14:paraId="25475AA0" w14:textId="1E44BB0E" w:rsidR="00EB6568" w:rsidRPr="008D0B89" w:rsidRDefault="00FE1F1C" w:rsidP="00017C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R170</w:t>
                  </w:r>
                </w:p>
              </w:tc>
              <w:tc>
                <w:tcPr>
                  <w:tcW w:w="919" w:type="dxa"/>
                  <w:tcBorders>
                    <w:bottom w:val="single" w:sz="4" w:space="0" w:color="auto"/>
                  </w:tcBorders>
                </w:tcPr>
                <w:p w14:paraId="51B3C0D9" w14:textId="59400FE3" w:rsidR="00EB6568" w:rsidRPr="008D0B89" w:rsidRDefault="00FE1F1C" w:rsidP="00017C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C155</w:t>
                  </w:r>
                </w:p>
              </w:tc>
              <w:tc>
                <w:tcPr>
                  <w:tcW w:w="82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6C77E1" w14:textId="5F3364ED" w:rsidR="00EB6568" w:rsidRPr="008D0B89" w:rsidRDefault="00EB6568" w:rsidP="00017C7C">
                  <w:pPr>
                    <w:jc w:val="center"/>
                    <w:rPr>
                      <w:sz w:val="20"/>
                      <w:szCs w:val="20"/>
                    </w:rPr>
                  </w:pPr>
                  <w:r w:rsidRPr="008D0B89">
                    <w:rPr>
                      <w:sz w:val="20"/>
                      <w:szCs w:val="20"/>
                    </w:rPr>
                    <w:t>SED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3FBEB8" w14:textId="38B202DB" w:rsidR="00EB6568" w:rsidRPr="008D0B89" w:rsidRDefault="00EB6568" w:rsidP="00017C7C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Trt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(T)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84535C" w14:textId="218E3D6E" w:rsidR="00EB6568" w:rsidRPr="008D0B89" w:rsidRDefault="00EB6568" w:rsidP="00017C7C">
                  <w:pPr>
                    <w:jc w:val="center"/>
                    <w:rPr>
                      <w:sz w:val="20"/>
                      <w:szCs w:val="20"/>
                    </w:rPr>
                  </w:pPr>
                  <w:r w:rsidRPr="008D0B89">
                    <w:rPr>
                      <w:sz w:val="20"/>
                      <w:szCs w:val="20"/>
                    </w:rPr>
                    <w:t>Week</w:t>
                  </w:r>
                  <w:r>
                    <w:rPr>
                      <w:sz w:val="20"/>
                      <w:szCs w:val="20"/>
                    </w:rPr>
                    <w:t xml:space="preserve"> (W)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60C967B" w14:textId="36536516" w:rsidR="00EB6568" w:rsidRPr="008D0B89" w:rsidRDefault="00EB6568" w:rsidP="00FA4A4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(T × W)</w:t>
                  </w:r>
                </w:p>
              </w:tc>
            </w:tr>
            <w:tr w:rsidR="00EB6568" w14:paraId="3C03429B" w14:textId="77777777" w:rsidTr="00D41726">
              <w:trPr>
                <w:trHeight w:val="256"/>
              </w:trPr>
              <w:tc>
                <w:tcPr>
                  <w:tcW w:w="23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502CA3" w14:textId="05194304" w:rsidR="00EB6568" w:rsidRPr="0046271C" w:rsidRDefault="00EB6568" w:rsidP="009F200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Total DMI (kg/d)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BCD5351" w14:textId="56ED21C0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21.2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91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F0205B1" w14:textId="1B39728F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22.0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919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A14B25" w14:textId="6159C77D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22.9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c</w:t>
                  </w:r>
                </w:p>
              </w:tc>
              <w:tc>
                <w:tcPr>
                  <w:tcW w:w="919" w:type="dxa"/>
                  <w:tcBorders>
                    <w:left w:val="nil"/>
                    <w:bottom w:val="nil"/>
                    <w:right w:val="nil"/>
                  </w:tcBorders>
                </w:tcPr>
                <w:p w14:paraId="5115C28D" w14:textId="4C46F06F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23.5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d</w:t>
                  </w:r>
                </w:p>
              </w:tc>
              <w:tc>
                <w:tcPr>
                  <w:tcW w:w="820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5CC7706" w14:textId="28333782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0.28</w:t>
                  </w:r>
                </w:p>
              </w:tc>
              <w:tc>
                <w:tcPr>
                  <w:tcW w:w="854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</w:tcPr>
                <w:p w14:paraId="4FFEFDF1" w14:textId="2A20DAA7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085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</w:tcPr>
                <w:p w14:paraId="0460DB73" w14:textId="0FB50FDD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93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2CF768A" w14:textId="7875B101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0.318</w:t>
                  </w:r>
                </w:p>
              </w:tc>
            </w:tr>
            <w:tr w:rsidR="00EB6568" w14:paraId="0669EECF" w14:textId="77777777" w:rsidTr="00D41726">
              <w:trPr>
                <w:trHeight w:val="256"/>
              </w:trPr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00182" w14:textId="402F308F" w:rsidR="00EB6568" w:rsidRPr="0046271C" w:rsidRDefault="00EB6568" w:rsidP="009F200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Milk yield (kg/d</w:t>
                  </w:r>
                  <w:r w:rsidRPr="0046271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1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06C04C" w14:textId="65E51E90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31.5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91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0C2F47" w14:textId="1DA845B2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32.7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919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7E8073" w14:textId="50F41523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34.8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919" w:type="dxa"/>
                  <w:tcBorders>
                    <w:left w:val="nil"/>
                    <w:bottom w:val="nil"/>
                    <w:right w:val="nil"/>
                  </w:tcBorders>
                </w:tcPr>
                <w:p w14:paraId="7DA78E10" w14:textId="3EDBB3C9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34.4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820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128476" w14:textId="741B39C8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0.81</w:t>
                  </w:r>
                </w:p>
              </w:tc>
              <w:tc>
                <w:tcPr>
                  <w:tcW w:w="854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705DAF" w14:textId="23BE264B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085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C6F2F8" w14:textId="4DDA251C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163E6E4" w14:textId="41D7FFAA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0.573</w:t>
                  </w:r>
                </w:p>
              </w:tc>
            </w:tr>
            <w:tr w:rsidR="00EB6568" w14:paraId="626576FC" w14:textId="77777777" w:rsidTr="00D41726">
              <w:trPr>
                <w:trHeight w:val="256"/>
              </w:trPr>
              <w:tc>
                <w:tcPr>
                  <w:tcW w:w="2369" w:type="dxa"/>
                  <w:shd w:val="clear" w:color="auto" w:fill="auto"/>
                  <w:noWrap/>
                  <w:vAlign w:val="center"/>
                  <w:hideMark/>
                </w:tcPr>
                <w:p w14:paraId="536A0812" w14:textId="63ACBD9D" w:rsidR="00EB6568" w:rsidRPr="0046271C" w:rsidRDefault="00EB6568" w:rsidP="009F200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Fat (g/kg</w:t>
                  </w:r>
                  <w:r w:rsidRPr="0046271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5C48E28" w14:textId="14D72AC3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49.8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8E526D" w14:textId="42E86196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48.4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FCD46B" w14:textId="29A0FC46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48.6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3C780" w14:textId="1FFAC347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49.8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hideMark/>
                </w:tcPr>
                <w:p w14:paraId="746E0F3F" w14:textId="25A34FBD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0.46</w:t>
                  </w:r>
                </w:p>
              </w:tc>
              <w:tc>
                <w:tcPr>
                  <w:tcW w:w="854" w:type="dxa"/>
                  <w:shd w:val="clear" w:color="auto" w:fill="auto"/>
                  <w:noWrap/>
                  <w:hideMark/>
                </w:tcPr>
                <w:p w14:paraId="3D4BCB5D" w14:textId="22772236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0.002</w:t>
                  </w:r>
                </w:p>
              </w:tc>
              <w:tc>
                <w:tcPr>
                  <w:tcW w:w="1085" w:type="dxa"/>
                  <w:shd w:val="clear" w:color="auto" w:fill="auto"/>
                  <w:noWrap/>
                  <w:hideMark/>
                </w:tcPr>
                <w:p w14:paraId="1FC582C8" w14:textId="6DD0686F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FDE2" w14:textId="066C250A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0.999</w:t>
                  </w:r>
                </w:p>
              </w:tc>
            </w:tr>
            <w:tr w:rsidR="00EB6568" w:rsidRPr="00BB31F9" w14:paraId="27099221" w14:textId="77777777" w:rsidTr="00D41726">
              <w:trPr>
                <w:trHeight w:val="256"/>
              </w:trPr>
              <w:tc>
                <w:tcPr>
                  <w:tcW w:w="2369" w:type="dxa"/>
                  <w:shd w:val="clear" w:color="auto" w:fill="auto"/>
                  <w:noWrap/>
                  <w:vAlign w:val="center"/>
                </w:tcPr>
                <w:p w14:paraId="69927A69" w14:textId="0B7CC1E2" w:rsidR="00EB6568" w:rsidRPr="0046271C" w:rsidRDefault="00EB6568" w:rsidP="009F200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Protein (g/kg</w:t>
                  </w:r>
                  <w:r w:rsidRPr="0046271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36EF852" w14:textId="06002F20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34.7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3392407" w14:textId="7500AB63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35.8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27E9E7" w14:textId="06630840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36.6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c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1D3805" w14:textId="204041CA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35.1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ab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044EFB9" w14:textId="1DBED6F0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0.36</w:t>
                  </w:r>
                </w:p>
              </w:tc>
              <w:tc>
                <w:tcPr>
                  <w:tcW w:w="85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FAD7DDF" w14:textId="21AFA7B8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08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DC2D9E9" w14:textId="313BFB75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2E89E5" w14:textId="2AD208C4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0.131</w:t>
                  </w:r>
                </w:p>
              </w:tc>
            </w:tr>
            <w:tr w:rsidR="00EB6568" w:rsidRPr="00262D1C" w14:paraId="77134C16" w14:textId="77777777" w:rsidTr="00D41726">
              <w:trPr>
                <w:trHeight w:val="256"/>
              </w:trPr>
              <w:tc>
                <w:tcPr>
                  <w:tcW w:w="236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DF6229" w14:textId="4732DC59" w:rsidR="00EB6568" w:rsidRPr="0046271C" w:rsidRDefault="00EB6568" w:rsidP="009F200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Fat </w:t>
                  </w:r>
                  <w:r w:rsidR="00BD3592">
                    <w:rPr>
                      <w:sz w:val="20"/>
                      <w:szCs w:val="20"/>
                    </w:rPr>
                    <w:t>+</w:t>
                  </w:r>
                  <w:r>
                    <w:rPr>
                      <w:sz w:val="20"/>
                      <w:szCs w:val="20"/>
                    </w:rPr>
                    <w:t xml:space="preserve"> protein yield (kg/d</w:t>
                  </w:r>
                  <w:r w:rsidRPr="0046271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DC590CA" w14:textId="22D728A7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2.64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5083AD" w14:textId="1FF8732A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2.75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ED86C12" w14:textId="177486B2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2.94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c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7491DDE" w14:textId="6C60127C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2.91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c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B6E1C8" w14:textId="148038CD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0.054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007712" w14:textId="7761217D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E4B6F8" w14:textId="381932B8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34C223C" w14:textId="6DF21956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0.987</w:t>
                  </w:r>
                </w:p>
              </w:tc>
            </w:tr>
            <w:tr w:rsidR="00EB6568" w:rsidRPr="00BF3F1B" w14:paraId="72D7A151" w14:textId="77777777" w:rsidTr="00D41726">
              <w:trPr>
                <w:trHeight w:val="256"/>
              </w:trPr>
              <w:tc>
                <w:tcPr>
                  <w:tcW w:w="236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A6BDF2" w14:textId="300824C0" w:rsidR="00EB6568" w:rsidRPr="0046271C" w:rsidRDefault="00EB6568" w:rsidP="009F200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Milk urea (mg/kg)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5D1EAF2" w14:textId="5815F01D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74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2F0D53" w14:textId="6C4098E0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86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51EE09A" w14:textId="79E7F6EE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114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d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63CB994" w14:textId="52F8EFB6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97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c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9B374F" w14:textId="2E05DE81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1.9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A59BFD" w14:textId="51C14204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5DFBA8" w14:textId="0C4F933B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0.218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D8C114F" w14:textId="3A60D640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</w:tr>
            <w:tr w:rsidR="00EB6568" w:rsidRPr="00571FDB" w14:paraId="43BAE45A" w14:textId="77777777" w:rsidTr="00D41726">
              <w:trPr>
                <w:trHeight w:val="256"/>
              </w:trPr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B6E7F56" w14:textId="0D438C7E" w:rsidR="00EB6568" w:rsidRPr="0046271C" w:rsidRDefault="00EB6568" w:rsidP="009F2002">
                  <w:pPr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Plasma βHB (mmol/L)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917F24A" w14:textId="60E7835F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0.52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6B6D807" w14:textId="38A39C81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0.49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8A4189" w14:textId="631A3F63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0.49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388A94" w14:textId="00FEB62D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0.58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600F910" w14:textId="6F9D2302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0.025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E5FC1EA" w14:textId="283FED55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A9F0573" w14:textId="5E24400D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A0E5A4" w14:textId="201209E3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0.27</w:t>
                  </w:r>
                  <w:r w:rsidR="00D574E7">
                    <w:rPr>
                      <w:sz w:val="20"/>
                      <w:szCs w:val="20"/>
                    </w:rPr>
                    <w:t>9</w:t>
                  </w:r>
                </w:p>
              </w:tc>
            </w:tr>
            <w:tr w:rsidR="00EB6568" w:rsidRPr="00571FDB" w14:paraId="6A6508C7" w14:textId="77777777" w:rsidTr="00D41726">
              <w:trPr>
                <w:trHeight w:val="256"/>
              </w:trPr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B5E09A0" w14:textId="163B9AA4" w:rsidR="00EB6568" w:rsidRDefault="00EB6568" w:rsidP="009F2002">
                  <w:pPr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Plasma NEFA (mmol/L)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A40A48" w14:textId="5CEF10C1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0.21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D2B26C1" w14:textId="1627A066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0.22</w:t>
                  </w:r>
                </w:p>
              </w:tc>
              <w:tc>
                <w:tcPr>
                  <w:tcW w:w="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7A6F3D" w14:textId="21D9601D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0.24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008C95" w14:textId="2B490C88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0.21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30A542F" w14:textId="40F096C7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0.016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E4C6924" w14:textId="27F2E724" w:rsidR="00EB6568" w:rsidRDefault="00D574E7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0.160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46A4A4B" w14:textId="02B8885E" w:rsidR="00EB6568" w:rsidRDefault="00D574E7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CB0EC46" w14:textId="241DED50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0.31</w:t>
                  </w:r>
                  <w:r w:rsidR="00D574E7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EB6568" w:rsidRPr="00571FDB" w14:paraId="2A47D4CA" w14:textId="77777777" w:rsidTr="00D41726">
              <w:trPr>
                <w:trHeight w:val="256"/>
              </w:trPr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4AB101F" w14:textId="0C2FCF01" w:rsidR="00EB6568" w:rsidRDefault="00EB6568" w:rsidP="009F2002">
                  <w:pPr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Plasma urea (mmol/L)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964609" w14:textId="23289FC6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2.22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D0999C5" w14:textId="00387B0C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2.68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5CCD85" w14:textId="3AEE33DB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3.78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d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176AE" w14:textId="5F482890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3.00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c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7452E93" w14:textId="013A5AC8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0.091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4188D46" w14:textId="012C06B8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CF0A865" w14:textId="568AFD14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7790F2B" w14:textId="41FB5B97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0.20</w:t>
                  </w:r>
                  <w:r w:rsidR="00D574E7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EB6568" w:rsidRPr="00571FDB" w14:paraId="7F76C26D" w14:textId="77777777" w:rsidTr="00D41726">
              <w:trPr>
                <w:trHeight w:val="256"/>
              </w:trPr>
              <w:tc>
                <w:tcPr>
                  <w:tcW w:w="23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D44893" w14:textId="32E3939B" w:rsidR="00EB6568" w:rsidRDefault="005E5060" w:rsidP="009F200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Milk N/N intake (</w:t>
                  </w:r>
                  <w:r w:rsidR="00EB6568">
                    <w:rPr>
                      <w:sz w:val="20"/>
                      <w:szCs w:val="20"/>
                    </w:rPr>
                    <w:t>NUE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6F13287" w14:textId="12FA9615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0.36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c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14:paraId="0E2C3A17" w14:textId="1CEAE872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0.34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9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1BD3E0D" w14:textId="1E3FE046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0.34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359D43" w14:textId="138B9A80" w:rsidR="00EB6568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0.33</w:t>
                  </w:r>
                  <w:r w:rsidRPr="00BD3592">
                    <w:rPr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14:paraId="64024D51" w14:textId="00B18D0A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0.004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14:paraId="475CF909" w14:textId="5E018335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14:paraId="54CABB97" w14:textId="321CDF17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08B6A39" w14:textId="63349E40" w:rsidR="00EB6568" w:rsidRPr="0046271C" w:rsidRDefault="00EB6568" w:rsidP="00BD3592">
                  <w:pPr>
                    <w:jc w:val="center"/>
                    <w:rPr>
                      <w:sz w:val="20"/>
                      <w:szCs w:val="20"/>
                    </w:rPr>
                  </w:pPr>
                  <w:r w:rsidRPr="00EB6568">
                    <w:rPr>
                      <w:sz w:val="20"/>
                      <w:szCs w:val="20"/>
                    </w:rPr>
                    <w:t>0.684</w:t>
                  </w:r>
                </w:p>
              </w:tc>
            </w:tr>
          </w:tbl>
          <w:p w14:paraId="253E6B1D" w14:textId="3A02E466" w:rsidR="00BA740B" w:rsidRDefault="002D6391" w:rsidP="00B0764E">
            <w:pPr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DMI; dry matter intake</w:t>
            </w:r>
            <w:r w:rsidR="00B569FD">
              <w:rPr>
                <w:i/>
                <w:sz w:val="14"/>
                <w:szCs w:val="16"/>
              </w:rPr>
              <w:t>,</w:t>
            </w:r>
            <w:r w:rsidR="00DB3502">
              <w:rPr>
                <w:i/>
                <w:sz w:val="14"/>
                <w:szCs w:val="16"/>
              </w:rPr>
              <w:t xml:space="preserve"> </w:t>
            </w:r>
            <w:r w:rsidR="00CB77E9">
              <w:rPr>
                <w:i/>
                <w:sz w:val="14"/>
                <w:szCs w:val="16"/>
              </w:rPr>
              <w:t>NEFA</w:t>
            </w:r>
            <w:r w:rsidR="00B569FD">
              <w:rPr>
                <w:i/>
                <w:sz w:val="14"/>
                <w:szCs w:val="16"/>
              </w:rPr>
              <w:t>;</w:t>
            </w:r>
            <w:r w:rsidR="00CB77E9">
              <w:rPr>
                <w:i/>
                <w:sz w:val="14"/>
                <w:szCs w:val="16"/>
              </w:rPr>
              <w:t xml:space="preserve"> </w:t>
            </w:r>
            <w:r w:rsidR="00B569FD">
              <w:rPr>
                <w:i/>
                <w:sz w:val="14"/>
                <w:szCs w:val="16"/>
              </w:rPr>
              <w:t xml:space="preserve">non-esterified fatty acids, </w:t>
            </w:r>
            <w:r w:rsidR="009847D7" w:rsidRPr="009847D7">
              <w:rPr>
                <w:i/>
                <w:sz w:val="14"/>
                <w:szCs w:val="16"/>
              </w:rPr>
              <w:t>βHB; β-hydroxybutyrate</w:t>
            </w:r>
            <w:r w:rsidR="009847D7">
              <w:rPr>
                <w:i/>
                <w:sz w:val="14"/>
                <w:szCs w:val="16"/>
              </w:rPr>
              <w:t>,</w:t>
            </w:r>
            <w:r w:rsidR="009847D7" w:rsidRPr="009847D7">
              <w:rPr>
                <w:i/>
                <w:sz w:val="14"/>
                <w:szCs w:val="16"/>
              </w:rPr>
              <w:t xml:space="preserve"> </w:t>
            </w:r>
            <w:r w:rsidR="0028447F" w:rsidRPr="009847D7">
              <w:rPr>
                <w:i/>
                <w:sz w:val="14"/>
                <w:szCs w:val="16"/>
              </w:rPr>
              <w:t>N</w:t>
            </w:r>
            <w:r w:rsidR="0028447F">
              <w:rPr>
                <w:i/>
                <w:sz w:val="14"/>
                <w:szCs w:val="16"/>
              </w:rPr>
              <w:t>UE; nitrogen use efficiency</w:t>
            </w:r>
          </w:p>
          <w:p w14:paraId="0658984B" w14:textId="77777777" w:rsidR="006171B4" w:rsidRPr="00D41726" w:rsidRDefault="006171B4" w:rsidP="00B0764E">
            <w:pPr>
              <w:rPr>
                <w:i/>
                <w:sz w:val="10"/>
                <w:szCs w:val="12"/>
              </w:rPr>
            </w:pPr>
          </w:p>
          <w:p w14:paraId="32E5C741" w14:textId="4345D1FD" w:rsidR="006255B5" w:rsidRDefault="001A3F3B" w:rsidP="006255B5">
            <w:pPr>
              <w:ind w:left="3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Conclusions</w:t>
            </w:r>
            <w:r w:rsidR="00FA2783">
              <w:rPr>
                <w:sz w:val="20"/>
                <w:szCs w:val="20"/>
              </w:rPr>
              <w:t xml:space="preserve"> </w:t>
            </w:r>
            <w:r w:rsidR="0096165A">
              <w:rPr>
                <w:sz w:val="20"/>
                <w:szCs w:val="20"/>
              </w:rPr>
              <w:t xml:space="preserve">There was a positive production response to increasing levels of total diet CP with the </w:t>
            </w:r>
            <w:r w:rsidR="00E94D43">
              <w:rPr>
                <w:sz w:val="20"/>
                <w:szCs w:val="20"/>
              </w:rPr>
              <w:t>RSM</w:t>
            </w:r>
            <w:r w:rsidR="0096165A">
              <w:rPr>
                <w:sz w:val="20"/>
                <w:szCs w:val="20"/>
              </w:rPr>
              <w:t xml:space="preserve"> diets, reflecting an undersupply of </w:t>
            </w:r>
            <w:r w:rsidR="00E94D43">
              <w:rPr>
                <w:sz w:val="20"/>
                <w:szCs w:val="20"/>
              </w:rPr>
              <w:t>MP</w:t>
            </w:r>
            <w:r w:rsidR="00D41726">
              <w:rPr>
                <w:sz w:val="20"/>
                <w:szCs w:val="20"/>
              </w:rPr>
              <w:t>-N</w:t>
            </w:r>
            <w:r w:rsidR="0096165A">
              <w:rPr>
                <w:sz w:val="20"/>
                <w:szCs w:val="20"/>
              </w:rPr>
              <w:t xml:space="preserve"> with R140 and R155. </w:t>
            </w:r>
            <w:r w:rsidR="00D9073B">
              <w:rPr>
                <w:sz w:val="20"/>
                <w:szCs w:val="20"/>
              </w:rPr>
              <w:t xml:space="preserve">Soya-bean meal can be removed from diets with no loss in </w:t>
            </w:r>
            <w:r w:rsidR="00E94D43">
              <w:rPr>
                <w:sz w:val="20"/>
                <w:szCs w:val="20"/>
              </w:rPr>
              <w:t>p</w:t>
            </w:r>
            <w:r w:rsidR="00D9073B">
              <w:rPr>
                <w:sz w:val="20"/>
                <w:szCs w:val="20"/>
              </w:rPr>
              <w:t>erformance.</w:t>
            </w:r>
          </w:p>
          <w:p w14:paraId="5CF511A2" w14:textId="77777777" w:rsidR="006255B5" w:rsidRPr="00D41726" w:rsidRDefault="006255B5" w:rsidP="006255B5">
            <w:pPr>
              <w:ind w:left="37"/>
              <w:rPr>
                <w:b/>
                <w:sz w:val="8"/>
                <w:szCs w:val="18"/>
              </w:rPr>
            </w:pPr>
          </w:p>
          <w:p w14:paraId="3C514205" w14:textId="172846BF" w:rsidR="006255B5" w:rsidRDefault="001A3F3B" w:rsidP="00AD2D12">
            <w:pPr>
              <w:ind w:left="3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Acknowledgments</w:t>
            </w:r>
            <w:r w:rsidR="00973066">
              <w:t xml:space="preserve"> </w:t>
            </w:r>
            <w:r w:rsidR="00D92CD7" w:rsidRPr="0062478E">
              <w:rPr>
                <w:sz w:val="20"/>
                <w:szCs w:val="20"/>
              </w:rPr>
              <w:t>This project was funded by Department of Agriculture, Enviro</w:t>
            </w:r>
            <w:r w:rsidR="00D92CD7">
              <w:rPr>
                <w:sz w:val="20"/>
                <w:szCs w:val="20"/>
              </w:rPr>
              <w:t>nment and Rural Affairs (DAERA)</w:t>
            </w:r>
            <w:r w:rsidR="002E5D0B">
              <w:rPr>
                <w:sz w:val="20"/>
                <w:szCs w:val="20"/>
              </w:rPr>
              <w:t xml:space="preserve">, </w:t>
            </w:r>
            <w:proofErr w:type="spellStart"/>
            <w:r w:rsidR="002E5D0B">
              <w:rPr>
                <w:sz w:val="20"/>
                <w:szCs w:val="20"/>
              </w:rPr>
              <w:t>Trouw</w:t>
            </w:r>
            <w:proofErr w:type="spellEnd"/>
            <w:r w:rsidR="002E5D0B">
              <w:rPr>
                <w:sz w:val="20"/>
                <w:szCs w:val="20"/>
              </w:rPr>
              <w:t xml:space="preserve"> Nutrition, and John Thompsons and Son</w:t>
            </w:r>
            <w:r w:rsidR="000B1E88">
              <w:rPr>
                <w:sz w:val="20"/>
                <w:szCs w:val="20"/>
              </w:rPr>
              <w:t>s Ltd</w:t>
            </w:r>
            <w:r w:rsidR="002E5D0B">
              <w:rPr>
                <w:sz w:val="20"/>
                <w:szCs w:val="20"/>
              </w:rPr>
              <w:t>.</w:t>
            </w:r>
          </w:p>
          <w:p w14:paraId="067E0BAB" w14:textId="77777777" w:rsidR="00D92CD7" w:rsidRPr="00D41726" w:rsidRDefault="00D92CD7" w:rsidP="00AD2D12">
            <w:pPr>
              <w:ind w:left="37"/>
              <w:rPr>
                <w:sz w:val="8"/>
                <w:szCs w:val="16"/>
              </w:rPr>
            </w:pPr>
          </w:p>
          <w:p w14:paraId="2D3AC286" w14:textId="468499F6" w:rsidR="001A3F3B" w:rsidRDefault="001A3F3B" w:rsidP="001A3F3B">
            <w:pPr>
              <w:ind w:left="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</w:t>
            </w:r>
            <w:r w:rsidR="0062478E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nces</w:t>
            </w:r>
          </w:p>
          <w:p w14:paraId="7537F57C" w14:textId="14EDEC78" w:rsidR="00D92CD7" w:rsidRDefault="003C014D" w:rsidP="003C01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Lavery, A., </w:t>
            </w:r>
            <w:r w:rsidR="002A6ED8">
              <w:rPr>
                <w:sz w:val="20"/>
                <w:szCs w:val="20"/>
              </w:rPr>
              <w:t xml:space="preserve">Craig, A., Gordon, A. </w:t>
            </w:r>
            <w:r w:rsidR="00D41726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Ferris, C.P. </w:t>
            </w:r>
            <w:r w:rsidR="00E94D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202</w:t>
            </w:r>
            <w:r w:rsidR="002A6ED8">
              <w:rPr>
                <w:sz w:val="20"/>
                <w:szCs w:val="20"/>
              </w:rPr>
              <w:t>2</w:t>
            </w:r>
            <w:r w:rsidR="00E94D4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</w:t>
            </w:r>
            <w:r w:rsidR="002A6ED8">
              <w:rPr>
                <w:sz w:val="20"/>
                <w:szCs w:val="20"/>
              </w:rPr>
              <w:t>Proceedings of the BSAS Annual Conference, Nottingham. Abstract 38.</w:t>
            </w:r>
          </w:p>
          <w:p w14:paraId="278002EF" w14:textId="2F196D9D" w:rsidR="002A6ED8" w:rsidRDefault="002A6ED8" w:rsidP="002A6E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ED8">
              <w:rPr>
                <w:sz w:val="20"/>
                <w:szCs w:val="20"/>
              </w:rPr>
              <w:t>Barros, T.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2A6ED8">
              <w:rPr>
                <w:sz w:val="20"/>
                <w:szCs w:val="20"/>
              </w:rPr>
              <w:t>Quaassdorff</w:t>
            </w:r>
            <w:proofErr w:type="spellEnd"/>
            <w:r w:rsidRPr="002A6ED8">
              <w:rPr>
                <w:sz w:val="20"/>
                <w:szCs w:val="20"/>
              </w:rPr>
              <w:t>, M.</w:t>
            </w:r>
            <w:r>
              <w:rPr>
                <w:sz w:val="20"/>
                <w:szCs w:val="20"/>
              </w:rPr>
              <w:t xml:space="preserve">, </w:t>
            </w:r>
            <w:r w:rsidRPr="002A6ED8">
              <w:rPr>
                <w:sz w:val="20"/>
                <w:szCs w:val="20"/>
              </w:rPr>
              <w:t>Aguerre, M.</w:t>
            </w:r>
            <w:r>
              <w:rPr>
                <w:sz w:val="20"/>
                <w:szCs w:val="20"/>
              </w:rPr>
              <w:t xml:space="preserve">, </w:t>
            </w:r>
            <w:r w:rsidRPr="002A6ED8">
              <w:rPr>
                <w:sz w:val="20"/>
                <w:szCs w:val="20"/>
              </w:rPr>
              <w:t>Colmenero, J.</w:t>
            </w:r>
            <w:r>
              <w:rPr>
                <w:sz w:val="20"/>
                <w:szCs w:val="20"/>
              </w:rPr>
              <w:t xml:space="preserve">, </w:t>
            </w:r>
            <w:r w:rsidRPr="002A6ED8">
              <w:rPr>
                <w:sz w:val="20"/>
                <w:szCs w:val="20"/>
              </w:rPr>
              <w:t>Bertics, S.</w:t>
            </w:r>
            <w:r>
              <w:rPr>
                <w:sz w:val="20"/>
                <w:szCs w:val="20"/>
              </w:rPr>
              <w:t xml:space="preserve">, </w:t>
            </w:r>
            <w:r w:rsidRPr="002A6ED8">
              <w:rPr>
                <w:sz w:val="20"/>
                <w:szCs w:val="20"/>
              </w:rPr>
              <w:t>Crump, P</w:t>
            </w:r>
            <w:r>
              <w:rPr>
                <w:sz w:val="20"/>
                <w:szCs w:val="20"/>
              </w:rPr>
              <w:t xml:space="preserve">., </w:t>
            </w:r>
            <w:r w:rsidR="00D41726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A6ED8">
              <w:rPr>
                <w:sz w:val="20"/>
                <w:szCs w:val="20"/>
              </w:rPr>
              <w:t>Wattiaux</w:t>
            </w:r>
            <w:proofErr w:type="spellEnd"/>
            <w:r w:rsidRPr="002A6ED8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. </w:t>
            </w:r>
            <w:r w:rsidR="00E94D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2017</w:t>
            </w:r>
            <w:r w:rsidR="00E94D4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 Journal of Dairy Science</w:t>
            </w:r>
            <w:r w:rsidR="00E94D4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100(7)</w:t>
            </w:r>
            <w:r w:rsidR="00D417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5434-5448.</w:t>
            </w:r>
          </w:p>
          <w:p w14:paraId="2B80968A" w14:textId="3B2C02AD" w:rsidR="003C014D" w:rsidRPr="002C3463" w:rsidRDefault="003C014D" w:rsidP="009B3C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BF96E5C" w14:textId="2C9240B1" w:rsidR="00631EB0" w:rsidRDefault="00631EB0" w:rsidP="0018687D"/>
    <w:sectPr w:rsidR="00631EB0" w:rsidSect="00E14333">
      <w:headerReference w:type="default" r:id="rId8"/>
      <w:pgSz w:w="11906" w:h="16838" w:code="9"/>
      <w:pgMar w:top="284" w:right="964" w:bottom="567" w:left="96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4CF5" w14:textId="77777777" w:rsidR="002C73D2" w:rsidRDefault="002C73D2" w:rsidP="00E14333">
      <w:r>
        <w:separator/>
      </w:r>
    </w:p>
  </w:endnote>
  <w:endnote w:type="continuationSeparator" w:id="0">
    <w:p w14:paraId="577CE38C" w14:textId="77777777" w:rsidR="002C73D2" w:rsidRDefault="002C73D2" w:rsidP="00E1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7263" w14:textId="77777777" w:rsidR="002C73D2" w:rsidRDefault="002C73D2" w:rsidP="00E14333">
      <w:r>
        <w:separator/>
      </w:r>
    </w:p>
  </w:footnote>
  <w:footnote w:type="continuationSeparator" w:id="0">
    <w:p w14:paraId="6E0BD6FB" w14:textId="77777777" w:rsidR="002C73D2" w:rsidRDefault="002C73D2" w:rsidP="00E1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BFCC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DB49E8">
      <w:rPr>
        <w:color w:val="FF0000"/>
        <w:u w:val="single"/>
      </w:rPr>
      <w:t>I</w:t>
    </w:r>
    <w:r w:rsidRPr="000F31AE">
      <w:rPr>
        <w:color w:val="FF0000"/>
        <w:sz w:val="20"/>
        <w:szCs w:val="20"/>
        <w:u w:val="single"/>
      </w:rPr>
      <w:t>mportant notes</w:t>
    </w:r>
    <w:r w:rsidRPr="000F31AE">
      <w:rPr>
        <w:color w:val="FF0000"/>
        <w:sz w:val="20"/>
        <w:szCs w:val="20"/>
      </w:rPr>
      <w:t>:</w:t>
    </w:r>
  </w:p>
  <w:p w14:paraId="4079EF18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>Do NOT enter author and affiliation information on this document. You will be able to enter this information online when you submit the abstract.</w:t>
    </w:r>
  </w:p>
  <w:p w14:paraId="20D63A78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 xml:space="preserve">Do NOT write outside the boxes. Any text or images outside the boxes </w:t>
    </w:r>
    <w:r w:rsidRPr="000F31AE">
      <w:rPr>
        <w:b/>
        <w:color w:val="FF0000"/>
        <w:sz w:val="20"/>
        <w:szCs w:val="20"/>
        <w:u w:val="single"/>
      </w:rPr>
      <w:t>will be deleted</w:t>
    </w:r>
    <w:r w:rsidRPr="000F31AE">
      <w:rPr>
        <w:color w:val="FF0000"/>
        <w:sz w:val="20"/>
        <w:szCs w:val="20"/>
      </w:rPr>
      <w:t>.</w:t>
    </w:r>
  </w:p>
  <w:p w14:paraId="558DE3C3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 xml:space="preserve">Do NOT alter the structure of this document. Simply enter your title and abstract in the </w:t>
    </w:r>
    <w:proofErr w:type="spellStart"/>
    <w:r w:rsidRPr="000F31AE">
      <w:rPr>
        <w:color w:val="FF0000"/>
        <w:sz w:val="20"/>
        <w:szCs w:val="20"/>
      </w:rPr>
      <w:t>gray</w:t>
    </w:r>
    <w:proofErr w:type="spellEnd"/>
    <w:r w:rsidRPr="000F31AE">
      <w:rPr>
        <w:color w:val="FF0000"/>
        <w:sz w:val="20"/>
        <w:szCs w:val="20"/>
      </w:rPr>
      <w:t xml:space="preserve"> boxes. The document will be automatically processed – if you alter its structure your submission will not be processed correctly.</w:t>
    </w:r>
  </w:p>
  <w:p w14:paraId="3F678555" w14:textId="77777777" w:rsidR="00E14333" w:rsidRDefault="00E14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1F68"/>
    <w:multiLevelType w:val="hybridMultilevel"/>
    <w:tmpl w:val="FBDE12AE"/>
    <w:lvl w:ilvl="0" w:tplc="167626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E817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41677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DA92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5FA96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768E44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6ACCE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952104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0A87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22A01"/>
    <w:multiLevelType w:val="hybridMultilevel"/>
    <w:tmpl w:val="01E6286C"/>
    <w:lvl w:ilvl="0" w:tplc="74287C40">
      <w:start w:val="3"/>
      <w:numFmt w:val="bullet"/>
      <w:lvlText w:val=""/>
      <w:lvlJc w:val="left"/>
      <w:pPr>
        <w:ind w:left="39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76CE1068"/>
    <w:multiLevelType w:val="hybridMultilevel"/>
    <w:tmpl w:val="5088ED86"/>
    <w:lvl w:ilvl="0" w:tplc="B952FD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482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4C3A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2CD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1200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3239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E82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B0E8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067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9614713">
    <w:abstractNumId w:val="2"/>
  </w:num>
  <w:num w:numId="2" w16cid:durableId="1134912003">
    <w:abstractNumId w:val="0"/>
  </w:num>
  <w:num w:numId="3" w16cid:durableId="111393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33"/>
    <w:rsid w:val="0000373E"/>
    <w:rsid w:val="000141BF"/>
    <w:rsid w:val="00017C7C"/>
    <w:rsid w:val="0002096C"/>
    <w:rsid w:val="00023E99"/>
    <w:rsid w:val="00025C53"/>
    <w:rsid w:val="00027412"/>
    <w:rsid w:val="000306DE"/>
    <w:rsid w:val="00030CE2"/>
    <w:rsid w:val="00044BDB"/>
    <w:rsid w:val="0005535F"/>
    <w:rsid w:val="0005642A"/>
    <w:rsid w:val="00057287"/>
    <w:rsid w:val="00060112"/>
    <w:rsid w:val="00067D82"/>
    <w:rsid w:val="00070E58"/>
    <w:rsid w:val="00071B7B"/>
    <w:rsid w:val="000A6FB9"/>
    <w:rsid w:val="000B09D2"/>
    <w:rsid w:val="000B1E88"/>
    <w:rsid w:val="000B39DE"/>
    <w:rsid w:val="000B69D7"/>
    <w:rsid w:val="000C3920"/>
    <w:rsid w:val="000C5A54"/>
    <w:rsid w:val="000E36EC"/>
    <w:rsid w:val="000E4FB3"/>
    <w:rsid w:val="000E73E4"/>
    <w:rsid w:val="000F1CBA"/>
    <w:rsid w:val="000F58D4"/>
    <w:rsid w:val="00101F3B"/>
    <w:rsid w:val="00110B17"/>
    <w:rsid w:val="001147C1"/>
    <w:rsid w:val="001416D4"/>
    <w:rsid w:val="00145941"/>
    <w:rsid w:val="00156EF6"/>
    <w:rsid w:val="0017176C"/>
    <w:rsid w:val="00177F4C"/>
    <w:rsid w:val="001804F3"/>
    <w:rsid w:val="00180698"/>
    <w:rsid w:val="001807C4"/>
    <w:rsid w:val="00183C81"/>
    <w:rsid w:val="0018687D"/>
    <w:rsid w:val="00195178"/>
    <w:rsid w:val="00195279"/>
    <w:rsid w:val="001A3E59"/>
    <w:rsid w:val="001A3F3B"/>
    <w:rsid w:val="001A497F"/>
    <w:rsid w:val="001D0AE5"/>
    <w:rsid w:val="001D6CFF"/>
    <w:rsid w:val="001E0EA8"/>
    <w:rsid w:val="001E4B33"/>
    <w:rsid w:val="00213FBA"/>
    <w:rsid w:val="002468E6"/>
    <w:rsid w:val="00260801"/>
    <w:rsid w:val="00270ABA"/>
    <w:rsid w:val="00270B9B"/>
    <w:rsid w:val="0027428D"/>
    <w:rsid w:val="00282159"/>
    <w:rsid w:val="002832FB"/>
    <w:rsid w:val="0028447F"/>
    <w:rsid w:val="002844A0"/>
    <w:rsid w:val="002A6ED8"/>
    <w:rsid w:val="002B0331"/>
    <w:rsid w:val="002B2556"/>
    <w:rsid w:val="002B3660"/>
    <w:rsid w:val="002B584C"/>
    <w:rsid w:val="002C1940"/>
    <w:rsid w:val="002C340D"/>
    <w:rsid w:val="002C3463"/>
    <w:rsid w:val="002C73D2"/>
    <w:rsid w:val="002D6391"/>
    <w:rsid w:val="002E268D"/>
    <w:rsid w:val="002E5D0B"/>
    <w:rsid w:val="002F54EE"/>
    <w:rsid w:val="002F68A3"/>
    <w:rsid w:val="002F6ECE"/>
    <w:rsid w:val="002F7164"/>
    <w:rsid w:val="00310EA8"/>
    <w:rsid w:val="003166DF"/>
    <w:rsid w:val="00323A1D"/>
    <w:rsid w:val="003300A8"/>
    <w:rsid w:val="00341FE4"/>
    <w:rsid w:val="0036332E"/>
    <w:rsid w:val="00374BE5"/>
    <w:rsid w:val="003758EF"/>
    <w:rsid w:val="0037628A"/>
    <w:rsid w:val="00390A36"/>
    <w:rsid w:val="003A556F"/>
    <w:rsid w:val="003C014D"/>
    <w:rsid w:val="003C3A2D"/>
    <w:rsid w:val="003F59CC"/>
    <w:rsid w:val="003F75F3"/>
    <w:rsid w:val="004013D9"/>
    <w:rsid w:val="00401E95"/>
    <w:rsid w:val="00403BC6"/>
    <w:rsid w:val="00405B53"/>
    <w:rsid w:val="00406B58"/>
    <w:rsid w:val="004170BC"/>
    <w:rsid w:val="00420A44"/>
    <w:rsid w:val="00434111"/>
    <w:rsid w:val="00436001"/>
    <w:rsid w:val="00445707"/>
    <w:rsid w:val="00447905"/>
    <w:rsid w:val="0046271C"/>
    <w:rsid w:val="00465AF8"/>
    <w:rsid w:val="00465E99"/>
    <w:rsid w:val="00466865"/>
    <w:rsid w:val="004775A7"/>
    <w:rsid w:val="004A1B53"/>
    <w:rsid w:val="004B20E6"/>
    <w:rsid w:val="004B3381"/>
    <w:rsid w:val="004C5FF1"/>
    <w:rsid w:val="004F0B1F"/>
    <w:rsid w:val="004F4C03"/>
    <w:rsid w:val="00501853"/>
    <w:rsid w:val="00513176"/>
    <w:rsid w:val="00516695"/>
    <w:rsid w:val="005211E6"/>
    <w:rsid w:val="005262B6"/>
    <w:rsid w:val="005316FF"/>
    <w:rsid w:val="00534310"/>
    <w:rsid w:val="0053613A"/>
    <w:rsid w:val="00562240"/>
    <w:rsid w:val="00571FDB"/>
    <w:rsid w:val="00581556"/>
    <w:rsid w:val="005879FE"/>
    <w:rsid w:val="00591816"/>
    <w:rsid w:val="00597F60"/>
    <w:rsid w:val="005A13D2"/>
    <w:rsid w:val="005A3C33"/>
    <w:rsid w:val="005A4E43"/>
    <w:rsid w:val="005B3011"/>
    <w:rsid w:val="005C039B"/>
    <w:rsid w:val="005D15CB"/>
    <w:rsid w:val="005D2C1F"/>
    <w:rsid w:val="005D35CF"/>
    <w:rsid w:val="005E21B3"/>
    <w:rsid w:val="005E33F6"/>
    <w:rsid w:val="005E5060"/>
    <w:rsid w:val="005E70AF"/>
    <w:rsid w:val="005F363D"/>
    <w:rsid w:val="00601008"/>
    <w:rsid w:val="00602FC4"/>
    <w:rsid w:val="0060631C"/>
    <w:rsid w:val="0061518B"/>
    <w:rsid w:val="006171B4"/>
    <w:rsid w:val="00620324"/>
    <w:rsid w:val="0062478E"/>
    <w:rsid w:val="006255B5"/>
    <w:rsid w:val="00631EB0"/>
    <w:rsid w:val="00635AEF"/>
    <w:rsid w:val="00641E88"/>
    <w:rsid w:val="00661720"/>
    <w:rsid w:val="00661E6D"/>
    <w:rsid w:val="00675805"/>
    <w:rsid w:val="0068382E"/>
    <w:rsid w:val="006912D2"/>
    <w:rsid w:val="0069563E"/>
    <w:rsid w:val="006A0721"/>
    <w:rsid w:val="006A278D"/>
    <w:rsid w:val="006A396D"/>
    <w:rsid w:val="006A4FDD"/>
    <w:rsid w:val="006B4EE6"/>
    <w:rsid w:val="006B7E6C"/>
    <w:rsid w:val="006C32D4"/>
    <w:rsid w:val="006C33D4"/>
    <w:rsid w:val="006C7344"/>
    <w:rsid w:val="006D51FD"/>
    <w:rsid w:val="006D5F88"/>
    <w:rsid w:val="006E58EE"/>
    <w:rsid w:val="006F0B92"/>
    <w:rsid w:val="006F4F49"/>
    <w:rsid w:val="00713856"/>
    <w:rsid w:val="007351E8"/>
    <w:rsid w:val="007408F9"/>
    <w:rsid w:val="00747C6C"/>
    <w:rsid w:val="00753E74"/>
    <w:rsid w:val="0075734E"/>
    <w:rsid w:val="0075766D"/>
    <w:rsid w:val="00770130"/>
    <w:rsid w:val="00771C2E"/>
    <w:rsid w:val="0077624A"/>
    <w:rsid w:val="00793607"/>
    <w:rsid w:val="00795D4B"/>
    <w:rsid w:val="007A08B8"/>
    <w:rsid w:val="007A7CD3"/>
    <w:rsid w:val="007B2614"/>
    <w:rsid w:val="007B7616"/>
    <w:rsid w:val="007B7948"/>
    <w:rsid w:val="007C0F25"/>
    <w:rsid w:val="007C2503"/>
    <w:rsid w:val="007C26D7"/>
    <w:rsid w:val="007D251F"/>
    <w:rsid w:val="007D76E8"/>
    <w:rsid w:val="007E1111"/>
    <w:rsid w:val="008107F1"/>
    <w:rsid w:val="008122B2"/>
    <w:rsid w:val="00812DE2"/>
    <w:rsid w:val="008157B7"/>
    <w:rsid w:val="00821A60"/>
    <w:rsid w:val="00831085"/>
    <w:rsid w:val="00851BCD"/>
    <w:rsid w:val="00863C8A"/>
    <w:rsid w:val="00872CD0"/>
    <w:rsid w:val="008738E7"/>
    <w:rsid w:val="00880D60"/>
    <w:rsid w:val="008921B8"/>
    <w:rsid w:val="00892EC8"/>
    <w:rsid w:val="00893E63"/>
    <w:rsid w:val="008A7245"/>
    <w:rsid w:val="008D0B89"/>
    <w:rsid w:val="008E3F6B"/>
    <w:rsid w:val="009001C2"/>
    <w:rsid w:val="009004F9"/>
    <w:rsid w:val="009017F8"/>
    <w:rsid w:val="0090191D"/>
    <w:rsid w:val="00902A9E"/>
    <w:rsid w:val="009064E0"/>
    <w:rsid w:val="00911C32"/>
    <w:rsid w:val="00912098"/>
    <w:rsid w:val="00912ABD"/>
    <w:rsid w:val="00920198"/>
    <w:rsid w:val="00921F95"/>
    <w:rsid w:val="009413BA"/>
    <w:rsid w:val="00953DA5"/>
    <w:rsid w:val="0095590F"/>
    <w:rsid w:val="00955CD7"/>
    <w:rsid w:val="0096165A"/>
    <w:rsid w:val="00962E37"/>
    <w:rsid w:val="00972819"/>
    <w:rsid w:val="00973066"/>
    <w:rsid w:val="0097597E"/>
    <w:rsid w:val="00977849"/>
    <w:rsid w:val="009847D7"/>
    <w:rsid w:val="00997420"/>
    <w:rsid w:val="009A060D"/>
    <w:rsid w:val="009A2D2E"/>
    <w:rsid w:val="009B3C81"/>
    <w:rsid w:val="009C567C"/>
    <w:rsid w:val="009C6060"/>
    <w:rsid w:val="009C6B91"/>
    <w:rsid w:val="009D6BE5"/>
    <w:rsid w:val="009F14D8"/>
    <w:rsid w:val="009F2002"/>
    <w:rsid w:val="009F3027"/>
    <w:rsid w:val="009F4D9D"/>
    <w:rsid w:val="009F525C"/>
    <w:rsid w:val="00A14E38"/>
    <w:rsid w:val="00A22129"/>
    <w:rsid w:val="00A330D6"/>
    <w:rsid w:val="00A4193C"/>
    <w:rsid w:val="00A444DC"/>
    <w:rsid w:val="00A47B6D"/>
    <w:rsid w:val="00A5364C"/>
    <w:rsid w:val="00A864E5"/>
    <w:rsid w:val="00A95C34"/>
    <w:rsid w:val="00AA07F6"/>
    <w:rsid w:val="00AA3040"/>
    <w:rsid w:val="00AA3745"/>
    <w:rsid w:val="00AA77BD"/>
    <w:rsid w:val="00AB1C68"/>
    <w:rsid w:val="00AB58BF"/>
    <w:rsid w:val="00AC194C"/>
    <w:rsid w:val="00AC2704"/>
    <w:rsid w:val="00AC44ED"/>
    <w:rsid w:val="00AD1246"/>
    <w:rsid w:val="00AD180D"/>
    <w:rsid w:val="00AD2D12"/>
    <w:rsid w:val="00AF4B79"/>
    <w:rsid w:val="00B0764E"/>
    <w:rsid w:val="00B14833"/>
    <w:rsid w:val="00B22ECD"/>
    <w:rsid w:val="00B23F80"/>
    <w:rsid w:val="00B25926"/>
    <w:rsid w:val="00B3693F"/>
    <w:rsid w:val="00B40369"/>
    <w:rsid w:val="00B52D92"/>
    <w:rsid w:val="00B569FD"/>
    <w:rsid w:val="00B669E4"/>
    <w:rsid w:val="00B70AC9"/>
    <w:rsid w:val="00B73201"/>
    <w:rsid w:val="00B83E13"/>
    <w:rsid w:val="00BA740B"/>
    <w:rsid w:val="00BB31F9"/>
    <w:rsid w:val="00BC489F"/>
    <w:rsid w:val="00BD3592"/>
    <w:rsid w:val="00BD3EFF"/>
    <w:rsid w:val="00BD6461"/>
    <w:rsid w:val="00BE1335"/>
    <w:rsid w:val="00BF3F1B"/>
    <w:rsid w:val="00BF7EEE"/>
    <w:rsid w:val="00C04D70"/>
    <w:rsid w:val="00C13825"/>
    <w:rsid w:val="00C213D4"/>
    <w:rsid w:val="00C31336"/>
    <w:rsid w:val="00C315B7"/>
    <w:rsid w:val="00C348C7"/>
    <w:rsid w:val="00C415CD"/>
    <w:rsid w:val="00C46BE8"/>
    <w:rsid w:val="00C46DE9"/>
    <w:rsid w:val="00C4791D"/>
    <w:rsid w:val="00C53831"/>
    <w:rsid w:val="00C555B0"/>
    <w:rsid w:val="00C61204"/>
    <w:rsid w:val="00C612E5"/>
    <w:rsid w:val="00C70EDB"/>
    <w:rsid w:val="00C908A6"/>
    <w:rsid w:val="00C96618"/>
    <w:rsid w:val="00CA2199"/>
    <w:rsid w:val="00CA6645"/>
    <w:rsid w:val="00CB3D8B"/>
    <w:rsid w:val="00CB5E83"/>
    <w:rsid w:val="00CB77E9"/>
    <w:rsid w:val="00CD5AEA"/>
    <w:rsid w:val="00CE1A14"/>
    <w:rsid w:val="00CF1045"/>
    <w:rsid w:val="00CF17C4"/>
    <w:rsid w:val="00CF343D"/>
    <w:rsid w:val="00CF39CA"/>
    <w:rsid w:val="00D27F9C"/>
    <w:rsid w:val="00D303B2"/>
    <w:rsid w:val="00D3204D"/>
    <w:rsid w:val="00D41726"/>
    <w:rsid w:val="00D425FD"/>
    <w:rsid w:val="00D450CB"/>
    <w:rsid w:val="00D468BF"/>
    <w:rsid w:val="00D574E7"/>
    <w:rsid w:val="00D609A0"/>
    <w:rsid w:val="00D62E06"/>
    <w:rsid w:val="00D676BC"/>
    <w:rsid w:val="00D70503"/>
    <w:rsid w:val="00D72212"/>
    <w:rsid w:val="00D85300"/>
    <w:rsid w:val="00D86DA7"/>
    <w:rsid w:val="00D9073B"/>
    <w:rsid w:val="00D92CD7"/>
    <w:rsid w:val="00D96957"/>
    <w:rsid w:val="00DA05B4"/>
    <w:rsid w:val="00DB3502"/>
    <w:rsid w:val="00DB7070"/>
    <w:rsid w:val="00DB71D5"/>
    <w:rsid w:val="00DD6A1F"/>
    <w:rsid w:val="00DE63C9"/>
    <w:rsid w:val="00E063CB"/>
    <w:rsid w:val="00E110AD"/>
    <w:rsid w:val="00E14333"/>
    <w:rsid w:val="00E22B1E"/>
    <w:rsid w:val="00E349E0"/>
    <w:rsid w:val="00E41BBC"/>
    <w:rsid w:val="00E43570"/>
    <w:rsid w:val="00E51341"/>
    <w:rsid w:val="00E540E3"/>
    <w:rsid w:val="00E5640E"/>
    <w:rsid w:val="00E64141"/>
    <w:rsid w:val="00E678D2"/>
    <w:rsid w:val="00E73E8A"/>
    <w:rsid w:val="00E86C82"/>
    <w:rsid w:val="00E87FD7"/>
    <w:rsid w:val="00E9275E"/>
    <w:rsid w:val="00E94D43"/>
    <w:rsid w:val="00E95D2C"/>
    <w:rsid w:val="00EA0F26"/>
    <w:rsid w:val="00EA62F6"/>
    <w:rsid w:val="00EA7C8E"/>
    <w:rsid w:val="00EB398A"/>
    <w:rsid w:val="00EB6568"/>
    <w:rsid w:val="00EC3579"/>
    <w:rsid w:val="00EC78A7"/>
    <w:rsid w:val="00EE0940"/>
    <w:rsid w:val="00F04945"/>
    <w:rsid w:val="00F055DF"/>
    <w:rsid w:val="00F16411"/>
    <w:rsid w:val="00F31D5C"/>
    <w:rsid w:val="00F36AB6"/>
    <w:rsid w:val="00F41B13"/>
    <w:rsid w:val="00F55969"/>
    <w:rsid w:val="00F648BD"/>
    <w:rsid w:val="00F67896"/>
    <w:rsid w:val="00F74774"/>
    <w:rsid w:val="00F7616B"/>
    <w:rsid w:val="00F8260E"/>
    <w:rsid w:val="00F845AD"/>
    <w:rsid w:val="00F900E3"/>
    <w:rsid w:val="00F970EA"/>
    <w:rsid w:val="00FA1EAD"/>
    <w:rsid w:val="00FA2783"/>
    <w:rsid w:val="00FA4A4D"/>
    <w:rsid w:val="00FA5C7A"/>
    <w:rsid w:val="00FA7B57"/>
    <w:rsid w:val="00FB6C8A"/>
    <w:rsid w:val="00FC3ADB"/>
    <w:rsid w:val="00FC7240"/>
    <w:rsid w:val="00FE1F1C"/>
    <w:rsid w:val="00FE7200"/>
    <w:rsid w:val="00FF60ED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93E3D"/>
  <w15:docId w15:val="{B102C03F-5FE2-4991-9A68-ECB4C436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43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4333"/>
  </w:style>
  <w:style w:type="paragraph" w:styleId="Footer">
    <w:name w:val="footer"/>
    <w:basedOn w:val="Normal"/>
    <w:link w:val="FooterChar"/>
    <w:uiPriority w:val="99"/>
    <w:unhideWhenUsed/>
    <w:rsid w:val="00E143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4333"/>
  </w:style>
  <w:style w:type="paragraph" w:styleId="BalloonText">
    <w:name w:val="Balloon Text"/>
    <w:basedOn w:val="Normal"/>
    <w:link w:val="BalloonTextChar"/>
    <w:uiPriority w:val="99"/>
    <w:semiHidden/>
    <w:unhideWhenUsed/>
    <w:rsid w:val="00E14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3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13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st">
    <w:name w:val="st"/>
    <w:basedOn w:val="DefaultParagraphFont"/>
    <w:rsid w:val="000F58D4"/>
  </w:style>
  <w:style w:type="character" w:styleId="Emphasis">
    <w:name w:val="Emphasis"/>
    <w:basedOn w:val="DefaultParagraphFont"/>
    <w:uiPriority w:val="20"/>
    <w:qFormat/>
    <w:rsid w:val="000F58D4"/>
    <w:rPr>
      <w:i/>
      <w:iCs/>
    </w:rPr>
  </w:style>
  <w:style w:type="character" w:styleId="Hyperlink">
    <w:name w:val="Hyperlink"/>
    <w:basedOn w:val="DefaultParagraphFont"/>
    <w:uiPriority w:val="99"/>
    <w:unhideWhenUsed/>
    <w:rsid w:val="0053431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2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2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2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AC2704"/>
    <w:pPr>
      <w:spacing w:after="160"/>
    </w:pPr>
    <w:rPr>
      <w:rFonts w:ascii="Calibri" w:eastAsiaTheme="minorHAnsi" w:hAnsi="Calibri" w:cstheme="minorBidi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C2704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4B3381"/>
    <w:pPr>
      <w:ind w:left="720"/>
      <w:contextualSpacing/>
    </w:pPr>
  </w:style>
  <w:style w:type="paragraph" w:styleId="Revision">
    <w:name w:val="Revision"/>
    <w:hidden/>
    <w:uiPriority w:val="99"/>
    <w:semiHidden/>
    <w:rsid w:val="0002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1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8FB2-DEAB-4E3B-A841-5767CD0B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720</Words>
  <Characters>4096</Characters>
  <Application>Microsoft Office Word</Application>
  <DocSecurity>0</DocSecurity>
  <Lines>124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BSAS</dc:creator>
  <cp:lastModifiedBy>Craig, Aimee</cp:lastModifiedBy>
  <cp:revision>3</cp:revision>
  <dcterms:created xsi:type="dcterms:W3CDTF">2023-10-30T09:13:00Z</dcterms:created>
  <dcterms:modified xsi:type="dcterms:W3CDTF">2024-01-04T10:29:00Z</dcterms:modified>
</cp:coreProperties>
</file>