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2065" w14:textId="5FD1F306" w:rsidR="00D5489B" w:rsidRDefault="00254E8D" w:rsidP="00F245EC">
      <w:pPr>
        <w:spacing w:after="0" w:line="240" w:lineRule="auto"/>
        <w:rPr>
          <w:rFonts w:ascii="Times New Roman" w:hAnsi="Times New Roman" w:cs="Times New Roman"/>
          <w:b/>
          <w:bCs/>
          <w:color w:val="000000" w:themeColor="text1"/>
          <w:sz w:val="18"/>
          <w:szCs w:val="18"/>
        </w:rPr>
      </w:pPr>
      <w:r w:rsidRPr="00DE22C3">
        <w:rPr>
          <w:rFonts w:ascii="Times New Roman" w:hAnsi="Times New Roman" w:cs="Times New Roman"/>
          <w:b/>
          <w:bCs/>
          <w:color w:val="000000" w:themeColor="text1"/>
          <w:sz w:val="18"/>
          <w:szCs w:val="18"/>
        </w:rPr>
        <w:t>Using</w:t>
      </w:r>
      <w:r w:rsidR="00F345D1">
        <w:rPr>
          <w:rFonts w:ascii="Times New Roman" w:hAnsi="Times New Roman" w:cs="Times New Roman"/>
          <w:b/>
          <w:bCs/>
          <w:color w:val="000000" w:themeColor="text1"/>
          <w:sz w:val="18"/>
          <w:szCs w:val="18"/>
        </w:rPr>
        <w:t xml:space="preserve"> machine learning for</w:t>
      </w:r>
      <w:r w:rsidRPr="00DE22C3">
        <w:rPr>
          <w:rFonts w:ascii="Times New Roman" w:hAnsi="Times New Roman" w:cs="Times New Roman"/>
          <w:b/>
          <w:bCs/>
          <w:color w:val="000000" w:themeColor="text1"/>
          <w:sz w:val="18"/>
          <w:szCs w:val="18"/>
        </w:rPr>
        <w:t xml:space="preserve"> </w:t>
      </w:r>
      <w:r w:rsidR="00485A36" w:rsidRPr="00DE22C3">
        <w:rPr>
          <w:rFonts w:ascii="Times New Roman" w:hAnsi="Times New Roman" w:cs="Times New Roman"/>
          <w:b/>
          <w:bCs/>
          <w:color w:val="000000" w:themeColor="text1"/>
          <w:sz w:val="18"/>
          <w:szCs w:val="18"/>
        </w:rPr>
        <w:t xml:space="preserve">imputation </w:t>
      </w:r>
      <w:r w:rsidR="00F345D1">
        <w:rPr>
          <w:rFonts w:ascii="Times New Roman" w:hAnsi="Times New Roman" w:cs="Times New Roman"/>
          <w:b/>
          <w:bCs/>
          <w:color w:val="000000" w:themeColor="text1"/>
          <w:sz w:val="18"/>
          <w:szCs w:val="18"/>
        </w:rPr>
        <w:t>and</w:t>
      </w:r>
      <w:r w:rsidRPr="00DE22C3">
        <w:rPr>
          <w:rFonts w:ascii="Times New Roman" w:hAnsi="Times New Roman" w:cs="Times New Roman"/>
          <w:b/>
          <w:bCs/>
          <w:color w:val="000000" w:themeColor="text1"/>
          <w:sz w:val="18"/>
          <w:szCs w:val="18"/>
        </w:rPr>
        <w:t xml:space="preserve"> </w:t>
      </w:r>
      <w:r w:rsidR="00B8074F">
        <w:rPr>
          <w:rFonts w:ascii="Times New Roman" w:hAnsi="Times New Roman" w:cs="Times New Roman"/>
          <w:b/>
          <w:bCs/>
          <w:color w:val="000000" w:themeColor="text1"/>
          <w:sz w:val="18"/>
          <w:szCs w:val="18"/>
        </w:rPr>
        <w:t xml:space="preserve">predicting </w:t>
      </w:r>
      <w:r w:rsidRPr="00DE22C3">
        <w:rPr>
          <w:rFonts w:ascii="Times New Roman" w:hAnsi="Times New Roman" w:cs="Times New Roman"/>
          <w:b/>
          <w:bCs/>
          <w:color w:val="000000" w:themeColor="text1"/>
          <w:sz w:val="18"/>
          <w:szCs w:val="18"/>
        </w:rPr>
        <w:t>finisher performance in commercial pig production</w:t>
      </w:r>
    </w:p>
    <w:p w14:paraId="5F03487B" w14:textId="77777777" w:rsidR="00AE1880" w:rsidRPr="00AE1880" w:rsidRDefault="00AE1880" w:rsidP="00F245EC">
      <w:pPr>
        <w:spacing w:after="0" w:line="240" w:lineRule="auto"/>
        <w:rPr>
          <w:rFonts w:ascii="Times New Roman" w:hAnsi="Times New Roman" w:cs="Times New Roman"/>
          <w:b/>
          <w:bCs/>
          <w:color w:val="000000" w:themeColor="text1"/>
          <w:sz w:val="4"/>
          <w:szCs w:val="4"/>
        </w:rPr>
      </w:pPr>
    </w:p>
    <w:p w14:paraId="7EC0222A" w14:textId="77777777" w:rsidR="00AE1880" w:rsidRPr="00AE1880" w:rsidRDefault="00AE1880" w:rsidP="00FF1332">
      <w:pPr>
        <w:autoSpaceDE w:val="0"/>
        <w:autoSpaceDN w:val="0"/>
        <w:adjustRightInd w:val="0"/>
        <w:spacing w:after="0" w:line="240" w:lineRule="auto"/>
        <w:rPr>
          <w:rFonts w:ascii="Times New Roman" w:hAnsi="Times New Roman" w:cs="Times New Roman"/>
          <w:color w:val="000000" w:themeColor="text1"/>
          <w:sz w:val="4"/>
          <w:szCs w:val="4"/>
        </w:rPr>
      </w:pPr>
    </w:p>
    <w:p w14:paraId="208AD9E3" w14:textId="77777777" w:rsidR="00F45042" w:rsidRDefault="00F245EC" w:rsidP="003E27C8">
      <w:pPr>
        <w:shd w:val="clear" w:color="auto" w:fill="FFFFFF"/>
        <w:spacing w:after="0" w:line="240" w:lineRule="auto"/>
        <w:textAlignment w:val="baseline"/>
        <w:rPr>
          <w:rFonts w:ascii="Times New Roman" w:hAnsi="Times New Roman" w:cs="Times New Roman"/>
          <w:color w:val="000000" w:themeColor="text1"/>
          <w:sz w:val="18"/>
          <w:szCs w:val="18"/>
        </w:rPr>
      </w:pPr>
      <w:r w:rsidRPr="00DE22C3">
        <w:rPr>
          <w:rFonts w:ascii="Times New Roman" w:hAnsi="Times New Roman" w:cs="Times New Roman"/>
          <w:b/>
          <w:bCs/>
          <w:color w:val="000000" w:themeColor="text1"/>
          <w:sz w:val="18"/>
          <w:szCs w:val="18"/>
        </w:rPr>
        <w:t>Application</w:t>
      </w:r>
      <w:r w:rsidR="00B80F40" w:rsidRPr="00DE22C3">
        <w:rPr>
          <w:rFonts w:ascii="Times New Roman" w:hAnsi="Times New Roman" w:cs="Times New Roman"/>
          <w:b/>
          <w:bCs/>
          <w:color w:val="000000" w:themeColor="text1"/>
          <w:sz w:val="18"/>
          <w:szCs w:val="18"/>
        </w:rPr>
        <w:t xml:space="preserve">: </w:t>
      </w:r>
      <w:r w:rsidR="00254E8D" w:rsidRPr="00DE22C3">
        <w:rPr>
          <w:rFonts w:ascii="Times New Roman" w:hAnsi="Times New Roman" w:cs="Times New Roman"/>
          <w:color w:val="000000" w:themeColor="text1"/>
          <w:sz w:val="18"/>
          <w:szCs w:val="18"/>
        </w:rPr>
        <w:t xml:space="preserve">The application of this research is to modernise and optimise pig production by harnessing data, technology, and advanced machine learning techniques for monitoring and prediction purposes. This enables farmers to efficiently allocate resources such as feed and labour while minimising wastage. </w:t>
      </w:r>
      <w:r w:rsidRPr="00DE22C3">
        <w:rPr>
          <w:rFonts w:ascii="Times New Roman" w:hAnsi="Times New Roman" w:cs="Times New Roman"/>
          <w:color w:val="000000" w:themeColor="text1"/>
          <w:sz w:val="18"/>
          <w:szCs w:val="18"/>
        </w:rPr>
        <w:t xml:space="preserve"> </w:t>
      </w:r>
    </w:p>
    <w:p w14:paraId="0AE10A10" w14:textId="77777777" w:rsidR="00AE1880" w:rsidRPr="00AE1880" w:rsidRDefault="00AE1880" w:rsidP="00164DEA">
      <w:pPr>
        <w:shd w:val="clear" w:color="auto" w:fill="FFFFFF"/>
        <w:spacing w:after="0"/>
        <w:textAlignment w:val="baseline"/>
        <w:rPr>
          <w:rFonts w:ascii="Times New Roman" w:hAnsi="Times New Roman" w:cs="Times New Roman"/>
          <w:color w:val="000000" w:themeColor="text1"/>
          <w:sz w:val="4"/>
          <w:szCs w:val="4"/>
        </w:rPr>
      </w:pPr>
    </w:p>
    <w:p w14:paraId="30BBC192" w14:textId="337DE6C2" w:rsidR="00461F9C" w:rsidRDefault="00B80F40" w:rsidP="0017515A">
      <w:pPr>
        <w:shd w:val="clear" w:color="auto" w:fill="FFFFFF"/>
        <w:spacing w:after="0" w:line="240" w:lineRule="auto"/>
        <w:jc w:val="both"/>
        <w:textAlignment w:val="baseline"/>
        <w:rPr>
          <w:rFonts w:ascii="Times New Roman" w:hAnsi="Times New Roman" w:cs="Times New Roman"/>
          <w:color w:val="000000" w:themeColor="text1"/>
          <w:sz w:val="18"/>
          <w:szCs w:val="18"/>
        </w:rPr>
      </w:pPr>
      <w:r w:rsidRPr="00DE22C3">
        <w:rPr>
          <w:rFonts w:ascii="Times New Roman" w:hAnsi="Times New Roman" w:cs="Times New Roman"/>
          <w:b/>
          <w:bCs/>
          <w:color w:val="000000" w:themeColor="text1"/>
          <w:sz w:val="18"/>
          <w:szCs w:val="18"/>
        </w:rPr>
        <w:t xml:space="preserve">Introduction: </w:t>
      </w:r>
      <w:r w:rsidR="007C4C79">
        <w:rPr>
          <w:rFonts w:ascii="Times New Roman" w:hAnsi="Times New Roman" w:cs="Times New Roman"/>
          <w:color w:val="000000" w:themeColor="text1"/>
          <w:sz w:val="18"/>
          <w:szCs w:val="18"/>
        </w:rPr>
        <w:t xml:space="preserve">The </w:t>
      </w:r>
      <w:r w:rsidR="0017515A">
        <w:rPr>
          <w:rFonts w:ascii="Times New Roman" w:hAnsi="Times New Roman" w:cs="Times New Roman"/>
          <w:color w:val="000000" w:themeColor="text1"/>
          <w:sz w:val="18"/>
          <w:szCs w:val="18"/>
        </w:rPr>
        <w:t>growing</w:t>
      </w:r>
      <w:r w:rsidR="007C4C79">
        <w:rPr>
          <w:rFonts w:ascii="Times New Roman" w:hAnsi="Times New Roman" w:cs="Times New Roman"/>
          <w:color w:val="000000" w:themeColor="text1"/>
          <w:sz w:val="18"/>
          <w:szCs w:val="18"/>
        </w:rPr>
        <w:t xml:space="preserve"> global population and climate challenges require livestock production systems to </w:t>
      </w:r>
      <w:r w:rsidR="0017515A">
        <w:rPr>
          <w:rFonts w:ascii="Times New Roman" w:hAnsi="Times New Roman" w:cs="Times New Roman"/>
          <w:color w:val="000000" w:themeColor="text1"/>
          <w:sz w:val="18"/>
          <w:szCs w:val="18"/>
        </w:rPr>
        <w:t xml:space="preserve">increase yields whilst also maintaining acceptable welfare standards. </w:t>
      </w:r>
      <w:r w:rsidR="00254E8D" w:rsidRPr="00DE22C3">
        <w:rPr>
          <w:rFonts w:ascii="Times New Roman" w:hAnsi="Times New Roman" w:cs="Times New Roman"/>
          <w:color w:val="000000" w:themeColor="text1"/>
          <w:sz w:val="18"/>
          <w:szCs w:val="18"/>
        </w:rPr>
        <w:t>Therefore, accurately allocating resources such as feed and labour whilst minimising waste will be a top priority for livestock farmers. To achieve this, the collect</w:t>
      </w:r>
      <w:r w:rsidR="00761C44" w:rsidRPr="00DE22C3">
        <w:rPr>
          <w:rFonts w:ascii="Times New Roman" w:hAnsi="Times New Roman" w:cs="Times New Roman"/>
          <w:color w:val="000000" w:themeColor="text1"/>
          <w:sz w:val="18"/>
          <w:szCs w:val="18"/>
        </w:rPr>
        <w:t>ion</w:t>
      </w:r>
      <w:r w:rsidR="00254E8D" w:rsidRPr="00DE22C3">
        <w:rPr>
          <w:rFonts w:ascii="Times New Roman" w:hAnsi="Times New Roman" w:cs="Times New Roman"/>
          <w:color w:val="000000" w:themeColor="text1"/>
          <w:sz w:val="18"/>
          <w:szCs w:val="18"/>
        </w:rPr>
        <w:t xml:space="preserve"> and utilisation of</w:t>
      </w:r>
      <w:r w:rsidR="0027221E" w:rsidRPr="00DE22C3">
        <w:rPr>
          <w:rFonts w:ascii="Times New Roman" w:hAnsi="Times New Roman" w:cs="Times New Roman"/>
          <w:color w:val="000000" w:themeColor="text1"/>
          <w:sz w:val="18"/>
          <w:szCs w:val="18"/>
        </w:rPr>
        <w:t xml:space="preserve"> high-quality</w:t>
      </w:r>
      <w:r w:rsidR="00254E8D" w:rsidRPr="00DE22C3">
        <w:rPr>
          <w:rFonts w:ascii="Times New Roman" w:hAnsi="Times New Roman" w:cs="Times New Roman"/>
          <w:color w:val="000000" w:themeColor="text1"/>
          <w:sz w:val="18"/>
          <w:szCs w:val="18"/>
        </w:rPr>
        <w:t xml:space="preserve"> quantitative data for monitoring and prediction purposes are imperative. Traditionally, predictive analytics in pig production have relied on general linear models to predict performance, using multiple predictor variables. However, these models often struggle to handle complex relationships between factors and non-linear data that often arise when multiple predictor variables are used (Comrie 1997). Recently, machine learning (ML) algorithms have emerged as an alternative to address these issues. </w:t>
      </w:r>
      <w:r w:rsidR="00C67C87" w:rsidRPr="00DE22C3">
        <w:rPr>
          <w:rFonts w:ascii="Times New Roman" w:hAnsi="Times New Roman" w:cs="Times New Roman"/>
          <w:color w:val="000000" w:themeColor="text1"/>
          <w:sz w:val="18"/>
          <w:szCs w:val="18"/>
        </w:rPr>
        <w:t xml:space="preserve">Machine learning algorithms learn from historical data to make predictions, with their accuracy improving as more data is included. </w:t>
      </w:r>
      <w:r w:rsidR="00665908" w:rsidRPr="00DE22C3">
        <w:rPr>
          <w:rFonts w:ascii="Times New Roman" w:hAnsi="Times New Roman" w:cs="Times New Roman"/>
          <w:color w:val="000000" w:themeColor="text1"/>
          <w:sz w:val="18"/>
          <w:szCs w:val="18"/>
        </w:rPr>
        <w:t xml:space="preserve">The aim of this study is to use ML algorithms </w:t>
      </w:r>
      <w:r w:rsidR="0014358C">
        <w:rPr>
          <w:rFonts w:ascii="Times New Roman" w:hAnsi="Times New Roman" w:cs="Times New Roman"/>
          <w:color w:val="000000" w:themeColor="text1"/>
          <w:sz w:val="18"/>
          <w:szCs w:val="18"/>
        </w:rPr>
        <w:t xml:space="preserve">on </w:t>
      </w:r>
      <w:r w:rsidR="00665908" w:rsidRPr="00DE22C3">
        <w:rPr>
          <w:rFonts w:ascii="Times New Roman" w:hAnsi="Times New Roman" w:cs="Times New Roman"/>
          <w:color w:val="000000" w:themeColor="text1"/>
          <w:sz w:val="18"/>
          <w:szCs w:val="18"/>
        </w:rPr>
        <w:t xml:space="preserve">data collected from commercial farms </w:t>
      </w:r>
      <w:r w:rsidR="00BD1A62" w:rsidRPr="00DE22C3">
        <w:rPr>
          <w:rFonts w:ascii="Times New Roman" w:hAnsi="Times New Roman" w:cs="Times New Roman"/>
          <w:color w:val="000000" w:themeColor="text1"/>
          <w:sz w:val="18"/>
          <w:szCs w:val="18"/>
        </w:rPr>
        <w:t xml:space="preserve">to (1) address </w:t>
      </w:r>
      <w:r w:rsidR="00320C64" w:rsidRPr="00DE22C3">
        <w:rPr>
          <w:rFonts w:ascii="Times New Roman" w:hAnsi="Times New Roman" w:cs="Times New Roman"/>
          <w:color w:val="000000" w:themeColor="text1"/>
          <w:sz w:val="18"/>
          <w:szCs w:val="18"/>
        </w:rPr>
        <w:t>missing data issues, (2)</w:t>
      </w:r>
      <w:r w:rsidR="00604E5C">
        <w:rPr>
          <w:rFonts w:ascii="Times New Roman" w:hAnsi="Times New Roman" w:cs="Times New Roman"/>
          <w:color w:val="000000" w:themeColor="text1"/>
          <w:sz w:val="18"/>
          <w:szCs w:val="18"/>
        </w:rPr>
        <w:t xml:space="preserve"> obtain more accurate predictions compared to classic linear regression models and (3) identify the most important </w:t>
      </w:r>
      <w:r w:rsidR="0014358C">
        <w:rPr>
          <w:rFonts w:ascii="Times New Roman" w:hAnsi="Times New Roman" w:cs="Times New Roman"/>
          <w:color w:val="000000" w:themeColor="text1"/>
          <w:sz w:val="18"/>
          <w:szCs w:val="18"/>
        </w:rPr>
        <w:t xml:space="preserve">early-life </w:t>
      </w:r>
      <w:r w:rsidR="00604E5C">
        <w:rPr>
          <w:rFonts w:ascii="Times New Roman" w:hAnsi="Times New Roman" w:cs="Times New Roman"/>
          <w:color w:val="000000" w:themeColor="text1"/>
          <w:sz w:val="18"/>
          <w:szCs w:val="18"/>
        </w:rPr>
        <w:t xml:space="preserve">predictor variables to predict finisher performance. </w:t>
      </w:r>
    </w:p>
    <w:p w14:paraId="2C0CFC10" w14:textId="77777777" w:rsidR="00AE1880" w:rsidRPr="00AE1880" w:rsidRDefault="00AE1880" w:rsidP="00604E5C">
      <w:pPr>
        <w:shd w:val="clear" w:color="auto" w:fill="FFFFFF"/>
        <w:spacing w:after="0" w:line="240" w:lineRule="auto"/>
        <w:jc w:val="both"/>
        <w:textAlignment w:val="baseline"/>
        <w:rPr>
          <w:rFonts w:ascii="Times New Roman" w:hAnsi="Times New Roman" w:cs="Times New Roman"/>
          <w:color w:val="000000" w:themeColor="text1"/>
          <w:sz w:val="4"/>
          <w:szCs w:val="4"/>
        </w:rPr>
      </w:pPr>
    </w:p>
    <w:p w14:paraId="5270F6A6" w14:textId="77777777" w:rsidR="00AE1880" w:rsidRPr="00AE1880" w:rsidRDefault="00AE1880" w:rsidP="00604E5C">
      <w:pPr>
        <w:shd w:val="clear" w:color="auto" w:fill="FFFFFF"/>
        <w:spacing w:after="0" w:line="240" w:lineRule="auto"/>
        <w:jc w:val="both"/>
        <w:textAlignment w:val="baseline"/>
        <w:rPr>
          <w:rFonts w:ascii="Times New Roman" w:hAnsi="Times New Roman" w:cs="Times New Roman"/>
          <w:color w:val="000000" w:themeColor="text1"/>
          <w:sz w:val="4"/>
          <w:szCs w:val="4"/>
        </w:rPr>
      </w:pPr>
    </w:p>
    <w:p w14:paraId="0788E519" w14:textId="107D2025" w:rsidR="00F45042" w:rsidRDefault="00254E8D" w:rsidP="00164DEA">
      <w:pPr>
        <w:spacing w:after="0" w:line="240" w:lineRule="auto"/>
        <w:jc w:val="both"/>
        <w:rPr>
          <w:rFonts w:ascii="Times New Roman" w:hAnsi="Times New Roman" w:cs="Times New Roman"/>
          <w:color w:val="000000" w:themeColor="text1"/>
          <w:sz w:val="18"/>
          <w:szCs w:val="18"/>
        </w:rPr>
      </w:pPr>
      <w:r w:rsidRPr="00DE22C3">
        <w:rPr>
          <w:rFonts w:ascii="Times New Roman" w:hAnsi="Times New Roman" w:cs="Times New Roman"/>
          <w:b/>
          <w:bCs/>
          <w:color w:val="000000" w:themeColor="text1"/>
          <w:sz w:val="18"/>
          <w:szCs w:val="18"/>
        </w:rPr>
        <w:t>Materials and methods</w:t>
      </w:r>
      <w:r w:rsidRPr="00DE22C3">
        <w:rPr>
          <w:rFonts w:ascii="Times New Roman" w:hAnsi="Times New Roman" w:cs="Times New Roman"/>
          <w:color w:val="000000" w:themeColor="text1"/>
          <w:sz w:val="18"/>
          <w:szCs w:val="18"/>
        </w:rPr>
        <w:t xml:space="preserve">: </w:t>
      </w:r>
      <w:r w:rsidR="0001310B" w:rsidRPr="00DE22C3">
        <w:rPr>
          <w:rFonts w:ascii="Times New Roman" w:hAnsi="Times New Roman" w:cs="Times New Roman"/>
          <w:color w:val="000000" w:themeColor="text1"/>
          <w:sz w:val="18"/>
          <w:szCs w:val="18"/>
        </w:rPr>
        <w:t xml:space="preserve">Data were collected in four batches under commercial conditions at multiple sites of </w:t>
      </w:r>
      <w:proofErr w:type="spellStart"/>
      <w:r w:rsidR="0001310B" w:rsidRPr="00DE22C3">
        <w:rPr>
          <w:rFonts w:ascii="Times New Roman" w:hAnsi="Times New Roman" w:cs="Times New Roman"/>
          <w:color w:val="000000" w:themeColor="text1"/>
          <w:sz w:val="18"/>
          <w:szCs w:val="18"/>
        </w:rPr>
        <w:t>Karro</w:t>
      </w:r>
      <w:proofErr w:type="spellEnd"/>
      <w:r w:rsidR="0001310B" w:rsidRPr="00DE22C3">
        <w:rPr>
          <w:rFonts w:ascii="Times New Roman" w:hAnsi="Times New Roman" w:cs="Times New Roman"/>
          <w:color w:val="000000" w:themeColor="text1"/>
          <w:sz w:val="18"/>
          <w:szCs w:val="18"/>
        </w:rPr>
        <w:t xml:space="preserve"> Food Group Ltd. A total of 313 sows were balanced across parities 1 to 6 and were serviced with four different sire lines (A- </w:t>
      </w:r>
      <w:proofErr w:type="spellStart"/>
      <w:r w:rsidR="0001310B" w:rsidRPr="00DE22C3">
        <w:rPr>
          <w:rFonts w:ascii="Times New Roman" w:hAnsi="Times New Roman" w:cs="Times New Roman"/>
          <w:color w:val="000000" w:themeColor="text1"/>
          <w:sz w:val="18"/>
          <w:szCs w:val="18"/>
        </w:rPr>
        <w:t>Pietran</w:t>
      </w:r>
      <w:proofErr w:type="spellEnd"/>
      <w:r w:rsidR="0001310B" w:rsidRPr="00DE22C3">
        <w:rPr>
          <w:rFonts w:ascii="Times New Roman" w:hAnsi="Times New Roman" w:cs="Times New Roman"/>
          <w:color w:val="000000" w:themeColor="text1"/>
          <w:sz w:val="18"/>
          <w:szCs w:val="18"/>
        </w:rPr>
        <w:t xml:space="preserve"> synthetic terminal sire, B- Hampshire synthetic terminal sire, C-White synthetic terminal sire, and D-Hampshire synthetic terminal sire). A total of 5225 piglets were individually ear-tagged at birth. Individual birth weights (BWT) were collected from batches 2, 3 and 4, and individual weights were recorded for all batches at finishing entry (week 9; WK9) and finishing exit (week 23; WK23). Abattoir data</w:t>
      </w:r>
      <w:r w:rsidR="00D61904" w:rsidRPr="00DE22C3">
        <w:rPr>
          <w:rFonts w:ascii="Times New Roman" w:hAnsi="Times New Roman" w:cs="Times New Roman"/>
          <w:color w:val="000000" w:themeColor="text1"/>
          <w:sz w:val="18"/>
          <w:szCs w:val="18"/>
        </w:rPr>
        <w:t xml:space="preserve"> including, net cold weight (NCW)</w:t>
      </w:r>
      <w:r w:rsidR="00870945" w:rsidRPr="00DE22C3">
        <w:rPr>
          <w:rFonts w:ascii="Times New Roman" w:hAnsi="Times New Roman" w:cs="Times New Roman"/>
          <w:color w:val="000000" w:themeColor="text1"/>
          <w:sz w:val="18"/>
          <w:szCs w:val="18"/>
        </w:rPr>
        <w:t xml:space="preserve"> (kg) and carcass lean meat (LM) (kg), were collected. </w:t>
      </w:r>
      <w:r w:rsidR="00AB5927" w:rsidRPr="00DE22C3">
        <w:rPr>
          <w:rFonts w:ascii="Times New Roman" w:hAnsi="Times New Roman" w:cs="Times New Roman"/>
          <w:color w:val="000000" w:themeColor="text1"/>
          <w:sz w:val="18"/>
          <w:szCs w:val="18"/>
        </w:rPr>
        <w:t xml:space="preserve">Data underwent pre-processing, involving the encoding of categorical data, and </w:t>
      </w:r>
      <w:r w:rsidR="00C85076" w:rsidRPr="00DE22C3">
        <w:rPr>
          <w:rFonts w:ascii="Times New Roman" w:hAnsi="Times New Roman" w:cs="Times New Roman"/>
          <w:color w:val="000000" w:themeColor="text1"/>
          <w:sz w:val="18"/>
          <w:szCs w:val="18"/>
        </w:rPr>
        <w:t xml:space="preserve">outlier removal </w:t>
      </w:r>
      <w:r w:rsidR="00AB5927" w:rsidRPr="00DE22C3">
        <w:rPr>
          <w:rFonts w:ascii="Times New Roman" w:hAnsi="Times New Roman" w:cs="Times New Roman"/>
          <w:color w:val="000000" w:themeColor="text1"/>
          <w:sz w:val="18"/>
          <w:szCs w:val="18"/>
        </w:rPr>
        <w:t xml:space="preserve">using the </w:t>
      </w:r>
      <w:r w:rsidR="00AB5927" w:rsidRPr="00DE22C3">
        <w:rPr>
          <w:rFonts w:ascii="Times New Roman" w:hAnsi="Times New Roman" w:cs="Times New Roman"/>
          <w:i/>
          <w:iCs/>
          <w:color w:val="000000" w:themeColor="text1"/>
          <w:sz w:val="18"/>
          <w:szCs w:val="18"/>
        </w:rPr>
        <w:t>z</w:t>
      </w:r>
      <w:r w:rsidR="00AB5927" w:rsidRPr="00DE22C3">
        <w:rPr>
          <w:rFonts w:ascii="Times New Roman" w:hAnsi="Times New Roman" w:cs="Times New Roman"/>
          <w:color w:val="000000" w:themeColor="text1"/>
          <w:sz w:val="18"/>
          <w:szCs w:val="18"/>
        </w:rPr>
        <w:t>-score algorithm. Batch 1 BWT was not measured</w:t>
      </w:r>
      <w:r w:rsidR="0048540D">
        <w:rPr>
          <w:rFonts w:ascii="Times New Roman" w:hAnsi="Times New Roman" w:cs="Times New Roman"/>
          <w:color w:val="000000" w:themeColor="text1"/>
          <w:sz w:val="18"/>
          <w:szCs w:val="18"/>
        </w:rPr>
        <w:t>,</w:t>
      </w:r>
      <w:r w:rsidR="00AB5927" w:rsidRPr="00DE22C3">
        <w:rPr>
          <w:rFonts w:ascii="Times New Roman" w:hAnsi="Times New Roman" w:cs="Times New Roman"/>
          <w:color w:val="000000" w:themeColor="text1"/>
          <w:sz w:val="18"/>
          <w:szCs w:val="18"/>
        </w:rPr>
        <w:t xml:space="preserve"> and data was missing completely at random for WK9</w:t>
      </w:r>
      <w:r w:rsidR="0048540D">
        <w:rPr>
          <w:rFonts w:ascii="Times New Roman" w:hAnsi="Times New Roman" w:cs="Times New Roman"/>
          <w:color w:val="000000" w:themeColor="text1"/>
          <w:sz w:val="18"/>
          <w:szCs w:val="18"/>
        </w:rPr>
        <w:t xml:space="preserve">, </w:t>
      </w:r>
      <w:r w:rsidR="008A1F9B" w:rsidRPr="00DE22C3">
        <w:rPr>
          <w:rFonts w:ascii="Times New Roman" w:hAnsi="Times New Roman" w:cs="Times New Roman"/>
          <w:color w:val="000000" w:themeColor="text1"/>
          <w:sz w:val="18"/>
          <w:szCs w:val="18"/>
        </w:rPr>
        <w:t>WK23,</w:t>
      </w:r>
      <w:r w:rsidR="00CC30B5" w:rsidRPr="00DE22C3">
        <w:rPr>
          <w:rFonts w:ascii="Times New Roman" w:hAnsi="Times New Roman" w:cs="Times New Roman"/>
          <w:color w:val="000000" w:themeColor="text1"/>
          <w:sz w:val="18"/>
          <w:szCs w:val="18"/>
        </w:rPr>
        <w:t xml:space="preserve"> </w:t>
      </w:r>
      <w:r w:rsidR="008A1F9B" w:rsidRPr="00DE22C3">
        <w:rPr>
          <w:rFonts w:ascii="Times New Roman" w:hAnsi="Times New Roman" w:cs="Times New Roman"/>
          <w:color w:val="000000" w:themeColor="text1"/>
          <w:sz w:val="18"/>
          <w:szCs w:val="18"/>
        </w:rPr>
        <w:t xml:space="preserve">NCW </w:t>
      </w:r>
      <w:r w:rsidR="00CC30B5" w:rsidRPr="00DE22C3">
        <w:rPr>
          <w:rFonts w:ascii="Times New Roman" w:hAnsi="Times New Roman" w:cs="Times New Roman"/>
          <w:color w:val="000000" w:themeColor="text1"/>
          <w:sz w:val="18"/>
          <w:szCs w:val="18"/>
        </w:rPr>
        <w:t>and LM</w:t>
      </w:r>
      <w:r w:rsidR="0048540D">
        <w:rPr>
          <w:rFonts w:ascii="Times New Roman" w:hAnsi="Times New Roman" w:cs="Times New Roman"/>
          <w:color w:val="000000" w:themeColor="text1"/>
          <w:sz w:val="18"/>
          <w:szCs w:val="18"/>
        </w:rPr>
        <w:t xml:space="preserve">. </w:t>
      </w:r>
      <w:r w:rsidR="00C975E8" w:rsidRPr="00DE22C3">
        <w:rPr>
          <w:rFonts w:ascii="Times New Roman" w:hAnsi="Times New Roman" w:cs="Times New Roman"/>
          <w:color w:val="000000" w:themeColor="text1"/>
          <w:sz w:val="18"/>
          <w:szCs w:val="18"/>
        </w:rPr>
        <w:t>The level of missing data gathered under commercial conditions in this study mirrors authentic on-farm conditions, thereby presenting a dynamic real-world context for predictive analysis.</w:t>
      </w:r>
      <w:r w:rsidR="00F33A23" w:rsidRPr="00DE22C3">
        <w:rPr>
          <w:rFonts w:ascii="Times New Roman" w:hAnsi="Times New Roman" w:cs="Times New Roman"/>
          <w:color w:val="000000" w:themeColor="text1"/>
          <w:sz w:val="18"/>
          <w:szCs w:val="18"/>
        </w:rPr>
        <w:t xml:space="preserve"> </w:t>
      </w:r>
      <w:r w:rsidR="002176D4" w:rsidRPr="00DE22C3">
        <w:rPr>
          <w:rFonts w:ascii="Times New Roman" w:hAnsi="Times New Roman" w:cs="Times New Roman"/>
          <w:color w:val="000000" w:themeColor="text1"/>
          <w:sz w:val="18"/>
          <w:szCs w:val="18"/>
        </w:rPr>
        <w:t xml:space="preserve">To address </w:t>
      </w:r>
      <w:r w:rsidR="007E2808" w:rsidRPr="00DE22C3">
        <w:rPr>
          <w:rFonts w:ascii="Times New Roman" w:hAnsi="Times New Roman" w:cs="Times New Roman"/>
          <w:color w:val="000000" w:themeColor="text1"/>
          <w:sz w:val="18"/>
          <w:szCs w:val="18"/>
        </w:rPr>
        <w:t xml:space="preserve">missing data, </w:t>
      </w:r>
      <w:r w:rsidR="007B3A43" w:rsidRPr="00DE22C3">
        <w:rPr>
          <w:rFonts w:ascii="Times New Roman" w:hAnsi="Times New Roman" w:cs="Times New Roman"/>
          <w:color w:val="000000" w:themeColor="text1"/>
          <w:sz w:val="18"/>
          <w:szCs w:val="18"/>
        </w:rPr>
        <w:t>imputation was performed</w:t>
      </w:r>
      <w:r w:rsidR="005D33EA" w:rsidRPr="00DE22C3">
        <w:rPr>
          <w:rFonts w:ascii="Times New Roman" w:hAnsi="Times New Roman" w:cs="Times New Roman"/>
          <w:color w:val="000000" w:themeColor="text1"/>
          <w:sz w:val="18"/>
          <w:szCs w:val="18"/>
        </w:rPr>
        <w:t xml:space="preserve"> using </w:t>
      </w:r>
      <w:r w:rsidR="00184096" w:rsidRPr="00DE22C3">
        <w:rPr>
          <w:rFonts w:ascii="Times New Roman" w:hAnsi="Times New Roman" w:cs="Times New Roman"/>
          <w:color w:val="000000" w:themeColor="text1"/>
          <w:sz w:val="18"/>
          <w:szCs w:val="18"/>
        </w:rPr>
        <w:t xml:space="preserve">ML </w:t>
      </w:r>
      <w:r w:rsidR="00C15685" w:rsidRPr="00DE22C3">
        <w:rPr>
          <w:rFonts w:ascii="Times New Roman" w:hAnsi="Times New Roman" w:cs="Times New Roman"/>
          <w:color w:val="000000" w:themeColor="text1"/>
          <w:sz w:val="18"/>
          <w:szCs w:val="18"/>
        </w:rPr>
        <w:t>algorithms from the Python scikit-learn library, including</w:t>
      </w:r>
      <w:r w:rsidR="003267C8" w:rsidRPr="00DE22C3">
        <w:rPr>
          <w:rFonts w:ascii="Times New Roman" w:hAnsi="Times New Roman" w:cs="Times New Roman"/>
          <w:color w:val="000000" w:themeColor="text1"/>
          <w:sz w:val="18"/>
          <w:szCs w:val="18"/>
        </w:rPr>
        <w:t xml:space="preserve"> linear regression,</w:t>
      </w:r>
      <w:r w:rsidR="00C15685" w:rsidRPr="00DE22C3">
        <w:rPr>
          <w:rFonts w:ascii="Times New Roman" w:hAnsi="Times New Roman" w:cs="Times New Roman"/>
          <w:color w:val="000000" w:themeColor="text1"/>
          <w:sz w:val="18"/>
          <w:szCs w:val="18"/>
        </w:rPr>
        <w:t xml:space="preserve"> Decision tree regression (DT Regression), k-Nearest Neighbour regression (KNNR) and Support Vector (SV) regression, Random Forest Regression (RF</w:t>
      </w:r>
      <w:r w:rsidR="002E3FCE">
        <w:rPr>
          <w:rFonts w:ascii="Times New Roman" w:hAnsi="Times New Roman" w:cs="Times New Roman"/>
          <w:color w:val="000000" w:themeColor="text1"/>
          <w:sz w:val="18"/>
          <w:szCs w:val="18"/>
        </w:rPr>
        <w:t>R</w:t>
      </w:r>
      <w:r w:rsidR="00C15685" w:rsidRPr="00DE22C3">
        <w:rPr>
          <w:rFonts w:ascii="Times New Roman" w:hAnsi="Times New Roman" w:cs="Times New Roman"/>
          <w:color w:val="000000" w:themeColor="text1"/>
          <w:sz w:val="18"/>
          <w:szCs w:val="18"/>
        </w:rPr>
        <w:t>), Extreme Gradient Boosting (</w:t>
      </w:r>
      <w:proofErr w:type="spellStart"/>
      <w:r w:rsidR="00C15685" w:rsidRPr="00DE22C3">
        <w:rPr>
          <w:rFonts w:ascii="Times New Roman" w:hAnsi="Times New Roman" w:cs="Times New Roman"/>
          <w:color w:val="000000" w:themeColor="text1"/>
          <w:sz w:val="18"/>
          <w:szCs w:val="18"/>
        </w:rPr>
        <w:t>XGBoost</w:t>
      </w:r>
      <w:proofErr w:type="spellEnd"/>
      <w:r w:rsidR="00C15685" w:rsidRPr="00DE22C3">
        <w:rPr>
          <w:rFonts w:ascii="Times New Roman" w:hAnsi="Times New Roman" w:cs="Times New Roman"/>
          <w:color w:val="000000" w:themeColor="text1"/>
          <w:sz w:val="18"/>
          <w:szCs w:val="18"/>
        </w:rPr>
        <w:t>) regression, Light Gradient Boosting (LGBM) regression, Adaptive Boosting (AdaBoost) regression, Stacking Regression</w:t>
      </w:r>
      <w:r w:rsidR="00164DEA">
        <w:rPr>
          <w:rFonts w:ascii="Times New Roman" w:hAnsi="Times New Roman" w:cs="Times New Roman"/>
          <w:color w:val="000000" w:themeColor="text1"/>
          <w:sz w:val="18"/>
          <w:szCs w:val="18"/>
        </w:rPr>
        <w:t xml:space="preserve"> (SR)</w:t>
      </w:r>
      <w:r w:rsidR="00C15685" w:rsidRPr="00DE22C3">
        <w:rPr>
          <w:rFonts w:ascii="Times New Roman" w:hAnsi="Times New Roman" w:cs="Times New Roman"/>
          <w:color w:val="000000" w:themeColor="text1"/>
          <w:sz w:val="18"/>
          <w:szCs w:val="18"/>
        </w:rPr>
        <w:t xml:space="preserve"> and Voting Regression</w:t>
      </w:r>
      <w:r w:rsidR="00164DEA">
        <w:rPr>
          <w:rFonts w:ascii="Times New Roman" w:hAnsi="Times New Roman" w:cs="Times New Roman"/>
          <w:color w:val="000000" w:themeColor="text1"/>
          <w:sz w:val="18"/>
          <w:szCs w:val="18"/>
        </w:rPr>
        <w:t xml:space="preserve"> (VR)</w:t>
      </w:r>
      <w:r w:rsidR="00416DB0" w:rsidRPr="00DE22C3">
        <w:rPr>
          <w:rFonts w:ascii="Times New Roman" w:hAnsi="Times New Roman" w:cs="Times New Roman"/>
          <w:color w:val="000000" w:themeColor="text1"/>
          <w:sz w:val="18"/>
          <w:szCs w:val="18"/>
        </w:rPr>
        <w:t xml:space="preserve">. </w:t>
      </w:r>
      <w:r w:rsidR="00BA7DE4" w:rsidRPr="00DE22C3">
        <w:rPr>
          <w:rFonts w:ascii="Times New Roman" w:hAnsi="Times New Roman" w:cs="Times New Roman"/>
          <w:color w:val="000000" w:themeColor="text1"/>
          <w:sz w:val="18"/>
          <w:szCs w:val="18"/>
        </w:rPr>
        <w:t xml:space="preserve">A complete case dataset </w:t>
      </w:r>
      <w:r w:rsidR="007A734E" w:rsidRPr="00DE22C3">
        <w:rPr>
          <w:rFonts w:ascii="Times New Roman" w:hAnsi="Times New Roman" w:cs="Times New Roman"/>
          <w:color w:val="000000" w:themeColor="text1"/>
          <w:sz w:val="18"/>
          <w:szCs w:val="18"/>
        </w:rPr>
        <w:t>was randomly shuffled into</w:t>
      </w:r>
      <w:r w:rsidR="009F6F30" w:rsidRPr="00DE22C3">
        <w:rPr>
          <w:rFonts w:ascii="Times New Roman" w:hAnsi="Times New Roman" w:cs="Times New Roman"/>
          <w:color w:val="000000" w:themeColor="text1"/>
          <w:sz w:val="18"/>
          <w:szCs w:val="18"/>
        </w:rPr>
        <w:t xml:space="preserve"> 5</w:t>
      </w:r>
      <w:r w:rsidR="007A734E" w:rsidRPr="00DE22C3">
        <w:rPr>
          <w:rFonts w:ascii="Times New Roman" w:hAnsi="Times New Roman" w:cs="Times New Roman"/>
          <w:color w:val="000000" w:themeColor="text1"/>
          <w:sz w:val="18"/>
          <w:szCs w:val="18"/>
        </w:rPr>
        <w:t xml:space="preserve"> subsets</w:t>
      </w:r>
      <w:r w:rsidR="00797842" w:rsidRPr="00DE22C3">
        <w:rPr>
          <w:rFonts w:ascii="Times New Roman" w:hAnsi="Times New Roman" w:cs="Times New Roman"/>
          <w:color w:val="000000" w:themeColor="text1"/>
          <w:sz w:val="18"/>
          <w:szCs w:val="18"/>
        </w:rPr>
        <w:t xml:space="preserve"> w</w:t>
      </w:r>
      <w:r w:rsidR="00B25B03" w:rsidRPr="00DE22C3">
        <w:rPr>
          <w:rFonts w:ascii="Times New Roman" w:hAnsi="Times New Roman" w:cs="Times New Roman"/>
          <w:color w:val="000000" w:themeColor="text1"/>
          <w:sz w:val="18"/>
          <w:szCs w:val="18"/>
        </w:rPr>
        <w:t>ere</w:t>
      </w:r>
      <w:r w:rsidR="00797842" w:rsidRPr="00DE22C3">
        <w:rPr>
          <w:rFonts w:ascii="Times New Roman" w:hAnsi="Times New Roman" w:cs="Times New Roman"/>
          <w:color w:val="000000" w:themeColor="text1"/>
          <w:sz w:val="18"/>
          <w:szCs w:val="18"/>
        </w:rPr>
        <w:t xml:space="preserve"> used to train and test the algorithms</w:t>
      </w:r>
      <w:r w:rsidR="00B25B03" w:rsidRPr="00DE22C3">
        <w:rPr>
          <w:rFonts w:ascii="Times New Roman" w:hAnsi="Times New Roman" w:cs="Times New Roman"/>
          <w:color w:val="000000" w:themeColor="text1"/>
          <w:sz w:val="18"/>
          <w:szCs w:val="18"/>
        </w:rPr>
        <w:t xml:space="preserve"> with the most accurate imputation </w:t>
      </w:r>
      <w:r w:rsidR="00E674AD" w:rsidRPr="00DE22C3">
        <w:rPr>
          <w:rFonts w:ascii="Times New Roman" w:hAnsi="Times New Roman" w:cs="Times New Roman"/>
          <w:color w:val="000000" w:themeColor="text1"/>
          <w:sz w:val="18"/>
          <w:szCs w:val="18"/>
        </w:rPr>
        <w:t>algorithm selected using the relative root mean square prediction error</w:t>
      </w:r>
      <w:r w:rsidR="00CE4450">
        <w:rPr>
          <w:rFonts w:ascii="Times New Roman" w:hAnsi="Times New Roman" w:cs="Times New Roman"/>
          <w:color w:val="000000" w:themeColor="text1"/>
          <w:sz w:val="18"/>
          <w:szCs w:val="18"/>
        </w:rPr>
        <w:t xml:space="preserve"> and con</w:t>
      </w:r>
      <w:r w:rsidR="0096658F">
        <w:rPr>
          <w:rFonts w:ascii="Times New Roman" w:hAnsi="Times New Roman" w:cs="Times New Roman"/>
          <w:color w:val="000000" w:themeColor="text1"/>
          <w:sz w:val="18"/>
          <w:szCs w:val="18"/>
        </w:rPr>
        <w:t>cordance correlation coefficient (</w:t>
      </w:r>
      <w:r w:rsidR="000A4914">
        <w:rPr>
          <w:rFonts w:ascii="Times New Roman" w:hAnsi="Times New Roman" w:cs="Times New Roman"/>
          <w:color w:val="000000" w:themeColor="text1"/>
          <w:sz w:val="18"/>
          <w:szCs w:val="18"/>
        </w:rPr>
        <w:t>You et al 2023)</w:t>
      </w:r>
      <w:r w:rsidR="009F6F30" w:rsidRPr="00DE22C3">
        <w:rPr>
          <w:rFonts w:ascii="Times New Roman" w:hAnsi="Times New Roman" w:cs="Times New Roman"/>
          <w:color w:val="000000" w:themeColor="text1"/>
          <w:sz w:val="18"/>
          <w:szCs w:val="18"/>
        </w:rPr>
        <w:t>. A</w:t>
      </w:r>
      <w:r w:rsidR="007A734E" w:rsidRPr="00DE22C3">
        <w:rPr>
          <w:rFonts w:ascii="Times New Roman" w:hAnsi="Times New Roman" w:cs="Times New Roman"/>
          <w:color w:val="000000" w:themeColor="text1"/>
          <w:sz w:val="18"/>
          <w:szCs w:val="18"/>
        </w:rPr>
        <w:t xml:space="preserve"> final imputed dataset </w:t>
      </w:r>
      <w:r w:rsidR="00CE4450">
        <w:rPr>
          <w:rFonts w:ascii="Times New Roman" w:hAnsi="Times New Roman" w:cs="Times New Roman"/>
          <w:color w:val="000000" w:themeColor="text1"/>
          <w:sz w:val="18"/>
          <w:szCs w:val="18"/>
        </w:rPr>
        <w:t>was</w:t>
      </w:r>
      <w:r w:rsidR="007A734E" w:rsidRPr="00DE22C3">
        <w:rPr>
          <w:rFonts w:ascii="Times New Roman" w:hAnsi="Times New Roman" w:cs="Times New Roman"/>
          <w:color w:val="000000" w:themeColor="text1"/>
          <w:sz w:val="18"/>
          <w:szCs w:val="18"/>
        </w:rPr>
        <w:t xml:space="preserve"> made for downstream</w:t>
      </w:r>
      <w:r w:rsidR="009F6F30" w:rsidRPr="00DE22C3">
        <w:rPr>
          <w:rFonts w:ascii="Times New Roman" w:hAnsi="Times New Roman" w:cs="Times New Roman"/>
          <w:color w:val="000000" w:themeColor="text1"/>
          <w:sz w:val="18"/>
          <w:szCs w:val="18"/>
        </w:rPr>
        <w:t xml:space="preserve"> prediction</w:t>
      </w:r>
      <w:r w:rsidR="007A734E" w:rsidRPr="00DE22C3">
        <w:rPr>
          <w:rFonts w:ascii="Times New Roman" w:hAnsi="Times New Roman" w:cs="Times New Roman"/>
          <w:color w:val="000000" w:themeColor="text1"/>
          <w:sz w:val="18"/>
          <w:szCs w:val="18"/>
        </w:rPr>
        <w:t xml:space="preserve"> analysis.</w:t>
      </w:r>
      <w:r w:rsidR="00861E1B" w:rsidRPr="00DE22C3">
        <w:rPr>
          <w:rFonts w:ascii="Times New Roman" w:hAnsi="Times New Roman" w:cs="Times New Roman"/>
          <w:color w:val="000000" w:themeColor="text1"/>
          <w:sz w:val="18"/>
          <w:szCs w:val="18"/>
        </w:rPr>
        <w:t xml:space="preserve"> </w:t>
      </w:r>
      <w:r w:rsidR="007A734E" w:rsidRPr="00DE22C3">
        <w:rPr>
          <w:rFonts w:ascii="Times New Roman" w:hAnsi="Times New Roman" w:cs="Times New Roman"/>
          <w:color w:val="000000" w:themeColor="text1"/>
          <w:sz w:val="18"/>
          <w:szCs w:val="18"/>
        </w:rPr>
        <w:t>The same</w:t>
      </w:r>
      <w:r w:rsidR="00861E1B" w:rsidRPr="00DE22C3">
        <w:rPr>
          <w:rFonts w:ascii="Times New Roman" w:hAnsi="Times New Roman" w:cs="Times New Roman"/>
          <w:color w:val="000000" w:themeColor="text1"/>
          <w:sz w:val="18"/>
          <w:szCs w:val="18"/>
        </w:rPr>
        <w:t xml:space="preserve"> ML algorithms used for imputation were used for </w:t>
      </w:r>
      <w:r w:rsidR="007B3A9D" w:rsidRPr="00DE22C3">
        <w:rPr>
          <w:rFonts w:ascii="Times New Roman" w:hAnsi="Times New Roman" w:cs="Times New Roman"/>
          <w:color w:val="000000" w:themeColor="text1"/>
          <w:sz w:val="18"/>
          <w:szCs w:val="18"/>
        </w:rPr>
        <w:t xml:space="preserve">finishing performance prediction. </w:t>
      </w:r>
      <w:r w:rsidR="004B1A9C" w:rsidRPr="00DE22C3">
        <w:rPr>
          <w:rFonts w:ascii="Times New Roman" w:hAnsi="Times New Roman" w:cs="Times New Roman"/>
          <w:color w:val="000000" w:themeColor="text1"/>
          <w:sz w:val="18"/>
          <w:szCs w:val="18"/>
        </w:rPr>
        <w:t xml:space="preserve">All model evaluations and statistical analyses were performed using </w:t>
      </w:r>
      <w:proofErr w:type="spellStart"/>
      <w:r w:rsidR="004B1A9C" w:rsidRPr="00DE22C3">
        <w:rPr>
          <w:rFonts w:ascii="Times New Roman" w:hAnsi="Times New Roman" w:cs="Times New Roman"/>
          <w:color w:val="000000" w:themeColor="text1"/>
          <w:sz w:val="18"/>
          <w:szCs w:val="18"/>
        </w:rPr>
        <w:t>Jupyter</w:t>
      </w:r>
      <w:proofErr w:type="spellEnd"/>
      <w:r w:rsidR="004B1A9C" w:rsidRPr="00DE22C3">
        <w:rPr>
          <w:rFonts w:ascii="Times New Roman" w:hAnsi="Times New Roman" w:cs="Times New Roman"/>
          <w:color w:val="000000" w:themeColor="text1"/>
          <w:sz w:val="18"/>
          <w:szCs w:val="18"/>
        </w:rPr>
        <w:t xml:space="preserve"> Notebook (Project </w:t>
      </w:r>
      <w:proofErr w:type="spellStart"/>
      <w:r w:rsidR="004B1A9C" w:rsidRPr="00DE22C3">
        <w:rPr>
          <w:rFonts w:ascii="Times New Roman" w:hAnsi="Times New Roman" w:cs="Times New Roman"/>
          <w:color w:val="000000" w:themeColor="text1"/>
          <w:sz w:val="18"/>
          <w:szCs w:val="18"/>
        </w:rPr>
        <w:t>Jupyter</w:t>
      </w:r>
      <w:proofErr w:type="spellEnd"/>
      <w:r w:rsidR="004B1A9C" w:rsidRPr="00DE22C3">
        <w:rPr>
          <w:rFonts w:ascii="Times New Roman" w:hAnsi="Times New Roman" w:cs="Times New Roman"/>
          <w:color w:val="000000" w:themeColor="text1"/>
          <w:sz w:val="18"/>
          <w:szCs w:val="18"/>
        </w:rPr>
        <w:t xml:space="preserve">, USA). The accuracy </w:t>
      </w:r>
      <w:r w:rsidR="009F6F30" w:rsidRPr="00DE22C3">
        <w:rPr>
          <w:rFonts w:ascii="Times New Roman" w:hAnsi="Times New Roman" w:cs="Times New Roman"/>
          <w:color w:val="000000" w:themeColor="text1"/>
          <w:sz w:val="18"/>
          <w:szCs w:val="18"/>
        </w:rPr>
        <w:t xml:space="preserve">of downstream prediction </w:t>
      </w:r>
      <w:r w:rsidR="006607D8" w:rsidRPr="00DE22C3">
        <w:rPr>
          <w:rFonts w:ascii="Times New Roman" w:hAnsi="Times New Roman" w:cs="Times New Roman"/>
          <w:color w:val="000000" w:themeColor="text1"/>
          <w:sz w:val="18"/>
          <w:szCs w:val="18"/>
        </w:rPr>
        <w:t>algorithms was</w:t>
      </w:r>
      <w:r w:rsidR="004B1A9C" w:rsidRPr="00DE22C3">
        <w:rPr>
          <w:rFonts w:ascii="Times New Roman" w:hAnsi="Times New Roman" w:cs="Times New Roman"/>
          <w:color w:val="000000" w:themeColor="text1"/>
          <w:sz w:val="18"/>
          <w:szCs w:val="18"/>
        </w:rPr>
        <w:t xml:space="preserve"> assessed using mean absolute error (MAE), root mean squared error (RMSE), and the mean absolute percentage error (MAPE). The best predictor variables are listed in order </w:t>
      </w:r>
      <w:r w:rsidR="00CC59BC" w:rsidRPr="00DE22C3">
        <w:rPr>
          <w:rFonts w:ascii="Times New Roman" w:hAnsi="Times New Roman" w:cs="Times New Roman"/>
          <w:color w:val="000000" w:themeColor="text1"/>
          <w:sz w:val="18"/>
          <w:szCs w:val="18"/>
        </w:rPr>
        <w:t xml:space="preserve">of importance from </w:t>
      </w:r>
      <w:r w:rsidR="00F8506C" w:rsidRPr="00DE22C3">
        <w:rPr>
          <w:rFonts w:ascii="Times New Roman" w:hAnsi="Times New Roman" w:cs="Times New Roman"/>
          <w:color w:val="000000" w:themeColor="text1"/>
          <w:sz w:val="18"/>
          <w:szCs w:val="18"/>
        </w:rPr>
        <w:t>highest to lowest.</w:t>
      </w:r>
    </w:p>
    <w:p w14:paraId="3D10C556" w14:textId="77777777" w:rsidR="00AE1880" w:rsidRPr="00AE1880" w:rsidRDefault="00AE1880" w:rsidP="00164DEA">
      <w:pPr>
        <w:spacing w:after="0" w:line="240" w:lineRule="auto"/>
        <w:jc w:val="both"/>
        <w:rPr>
          <w:rFonts w:ascii="Times New Roman" w:hAnsi="Times New Roman" w:cs="Times New Roman"/>
          <w:color w:val="000000" w:themeColor="text1"/>
          <w:sz w:val="4"/>
          <w:szCs w:val="4"/>
        </w:rPr>
      </w:pPr>
    </w:p>
    <w:p w14:paraId="30DEF50D" w14:textId="77777777" w:rsidR="00CE3CF7" w:rsidRPr="00DE22C3" w:rsidRDefault="00CE3CF7" w:rsidP="00461F9C">
      <w:pPr>
        <w:pStyle w:val="ANMheading1"/>
        <w:spacing w:line="240" w:lineRule="auto"/>
        <w:jc w:val="both"/>
        <w:rPr>
          <w:rFonts w:ascii="Times New Roman" w:hAnsi="Times New Roman"/>
          <w:b w:val="0"/>
          <w:bCs/>
          <w:color w:val="000000" w:themeColor="text1"/>
          <w:sz w:val="18"/>
          <w:szCs w:val="18"/>
        </w:rPr>
      </w:pPr>
      <w:r w:rsidRPr="00DE22C3">
        <w:rPr>
          <w:rStyle w:val="LineNumber"/>
          <w:rFonts w:ascii="Times New Roman" w:hAnsi="Times New Roman"/>
          <w:color w:val="000000" w:themeColor="text1"/>
          <w:sz w:val="18"/>
          <w:szCs w:val="18"/>
        </w:rPr>
        <w:t>Results</w:t>
      </w:r>
      <w:r w:rsidRPr="00DE22C3">
        <w:rPr>
          <w:rFonts w:ascii="Times New Roman" w:hAnsi="Times New Roman"/>
          <w:b w:val="0"/>
          <w:color w:val="000000" w:themeColor="text1"/>
          <w:sz w:val="18"/>
          <w:szCs w:val="18"/>
        </w:rPr>
        <w:t xml:space="preserve"> </w:t>
      </w:r>
    </w:p>
    <w:p w14:paraId="746BBB47" w14:textId="5B4A7D7D" w:rsidR="00CE3CF7" w:rsidRPr="00DE22C3" w:rsidRDefault="00CE3CF7" w:rsidP="00461F9C">
      <w:pPr>
        <w:spacing w:after="0" w:line="240" w:lineRule="auto"/>
        <w:rPr>
          <w:rFonts w:ascii="Times New Roman" w:eastAsia="Times New Roman" w:hAnsi="Times New Roman" w:cs="Times New Roman"/>
          <w:color w:val="000000" w:themeColor="text1"/>
          <w:sz w:val="18"/>
          <w:szCs w:val="18"/>
          <w:lang w:val="en-GB"/>
        </w:rPr>
      </w:pPr>
      <w:r w:rsidRPr="00DE22C3">
        <w:rPr>
          <w:rFonts w:ascii="Times New Roman" w:eastAsia="Times New Roman" w:hAnsi="Times New Roman" w:cs="Times New Roman"/>
          <w:b/>
          <w:bCs/>
          <w:color w:val="000000" w:themeColor="text1"/>
          <w:sz w:val="18"/>
          <w:szCs w:val="18"/>
          <w:lang w:val="en-GB"/>
        </w:rPr>
        <w:t>Table 1.</w:t>
      </w:r>
      <w:r w:rsidRPr="00DE22C3">
        <w:rPr>
          <w:rFonts w:ascii="Times New Roman" w:eastAsia="Times New Roman" w:hAnsi="Times New Roman" w:cs="Times New Roman"/>
          <w:color w:val="000000" w:themeColor="text1"/>
          <w:sz w:val="18"/>
          <w:szCs w:val="18"/>
          <w:lang w:val="en-GB"/>
        </w:rPr>
        <w:t xml:space="preserve"> </w:t>
      </w:r>
      <w:r w:rsidR="00304C2B">
        <w:rPr>
          <w:rFonts w:ascii="Times New Roman" w:eastAsia="Times New Roman" w:hAnsi="Times New Roman" w:cs="Times New Roman"/>
          <w:color w:val="000000" w:themeColor="text1"/>
          <w:sz w:val="18"/>
          <w:szCs w:val="18"/>
          <w:lang w:val="en-GB"/>
        </w:rPr>
        <w:t xml:space="preserve">Imputation and downstream analysis of BWT (required for finishing predictions) and finishing </w:t>
      </w:r>
      <w:r w:rsidR="00C26658">
        <w:rPr>
          <w:rFonts w:ascii="Times New Roman" w:eastAsia="Times New Roman" w:hAnsi="Times New Roman" w:cs="Times New Roman"/>
          <w:color w:val="000000" w:themeColor="text1"/>
          <w:sz w:val="18"/>
          <w:szCs w:val="18"/>
          <w:lang w:val="en-GB"/>
        </w:rPr>
        <w:t>variables.</w:t>
      </w:r>
      <w:r w:rsidR="00304C2B">
        <w:rPr>
          <w:rFonts w:ascii="Times New Roman" w:eastAsia="Times New Roman" w:hAnsi="Times New Roman" w:cs="Times New Roman"/>
          <w:color w:val="000000" w:themeColor="text1"/>
          <w:sz w:val="18"/>
          <w:szCs w:val="18"/>
          <w:lang w:val="en-GB"/>
        </w:rPr>
        <w:t xml:space="preserve"> </w:t>
      </w:r>
    </w:p>
    <w:tbl>
      <w:tblPr>
        <w:tblStyle w:val="TableGrid"/>
        <w:tblW w:w="9049"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766"/>
        <w:gridCol w:w="763"/>
        <w:gridCol w:w="709"/>
        <w:gridCol w:w="1166"/>
        <w:gridCol w:w="1241"/>
        <w:gridCol w:w="1123"/>
        <w:gridCol w:w="976"/>
        <w:gridCol w:w="2305"/>
      </w:tblGrid>
      <w:tr w:rsidR="00DE22C3" w:rsidRPr="00DE22C3" w14:paraId="7CF66332" w14:textId="77777777" w:rsidTr="00BA4047">
        <w:trPr>
          <w:trHeight w:val="180"/>
        </w:trPr>
        <w:tc>
          <w:tcPr>
            <w:tcW w:w="2238" w:type="dxa"/>
            <w:gridSpan w:val="3"/>
            <w:tcBorders>
              <w:top w:val="single" w:sz="4" w:space="0" w:color="auto"/>
              <w:bottom w:val="single" w:sz="4" w:space="0" w:color="auto"/>
            </w:tcBorders>
            <w:vAlign w:val="center"/>
          </w:tcPr>
          <w:p w14:paraId="59C62899" w14:textId="15187367" w:rsidR="00DE22C3" w:rsidRPr="0048540D" w:rsidRDefault="00DE22C3" w:rsidP="006264FF">
            <w:pPr>
              <w:rPr>
                <w:rFonts w:ascii="Times New Roman" w:hAnsi="Times New Roman"/>
                <w:i/>
                <w:iCs/>
                <w:color w:val="000000" w:themeColor="text1"/>
                <w:sz w:val="18"/>
                <w:szCs w:val="18"/>
                <w:lang w:val="en-GB"/>
              </w:rPr>
            </w:pPr>
            <w:r w:rsidRPr="0048540D">
              <w:rPr>
                <w:rFonts w:ascii="Times New Roman" w:hAnsi="Times New Roman"/>
                <w:i/>
                <w:iCs/>
                <w:color w:val="000000" w:themeColor="text1"/>
                <w:sz w:val="18"/>
                <w:szCs w:val="18"/>
                <w:lang w:val="en-GB"/>
              </w:rPr>
              <w:t>Imputation</w:t>
            </w:r>
          </w:p>
        </w:tc>
        <w:tc>
          <w:tcPr>
            <w:tcW w:w="6811" w:type="dxa"/>
            <w:gridSpan w:val="5"/>
            <w:tcBorders>
              <w:top w:val="single" w:sz="4" w:space="0" w:color="auto"/>
              <w:bottom w:val="single" w:sz="4" w:space="0" w:color="auto"/>
            </w:tcBorders>
            <w:vAlign w:val="center"/>
          </w:tcPr>
          <w:p w14:paraId="1BC5590F" w14:textId="5F469AC2" w:rsidR="00DE22C3" w:rsidRPr="0048540D" w:rsidRDefault="00DE22C3" w:rsidP="006264FF">
            <w:pPr>
              <w:rPr>
                <w:rFonts w:ascii="Times New Roman" w:hAnsi="Times New Roman"/>
                <w:i/>
                <w:iCs/>
                <w:color w:val="000000" w:themeColor="text1"/>
                <w:sz w:val="18"/>
                <w:szCs w:val="18"/>
                <w:lang w:val="en-GB"/>
              </w:rPr>
            </w:pPr>
            <w:r w:rsidRPr="0048540D">
              <w:rPr>
                <w:rFonts w:ascii="Times New Roman" w:hAnsi="Times New Roman"/>
                <w:i/>
                <w:iCs/>
                <w:color w:val="000000" w:themeColor="text1"/>
                <w:sz w:val="18"/>
                <w:szCs w:val="18"/>
                <w:lang w:val="en-GB"/>
              </w:rPr>
              <w:t>Downstream analysis</w:t>
            </w:r>
          </w:p>
        </w:tc>
      </w:tr>
      <w:tr w:rsidR="00A023A3" w:rsidRPr="00DE22C3" w14:paraId="1D1346A7" w14:textId="77777777" w:rsidTr="00772B98">
        <w:trPr>
          <w:trHeight w:val="437"/>
        </w:trPr>
        <w:tc>
          <w:tcPr>
            <w:tcW w:w="766" w:type="dxa"/>
            <w:tcBorders>
              <w:top w:val="single" w:sz="4" w:space="0" w:color="auto"/>
              <w:bottom w:val="single" w:sz="4" w:space="0" w:color="auto"/>
            </w:tcBorders>
            <w:vAlign w:val="center"/>
          </w:tcPr>
          <w:p w14:paraId="55927E41" w14:textId="3033AAD5" w:rsidR="003C6154" w:rsidRP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Variable</w:t>
            </w:r>
          </w:p>
        </w:tc>
        <w:tc>
          <w:tcPr>
            <w:tcW w:w="763" w:type="dxa"/>
            <w:tcBorders>
              <w:top w:val="single" w:sz="4" w:space="0" w:color="auto"/>
              <w:bottom w:val="single" w:sz="4" w:space="0" w:color="auto"/>
            </w:tcBorders>
            <w:vAlign w:val="center"/>
          </w:tcPr>
          <w:p w14:paraId="2EC479BF" w14:textId="77777777" w:rsid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 xml:space="preserve">Missing </w:t>
            </w:r>
          </w:p>
          <w:p w14:paraId="7002579C" w14:textId="3385CADE" w:rsidR="003C6154" w:rsidRP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data</w:t>
            </w:r>
          </w:p>
        </w:tc>
        <w:tc>
          <w:tcPr>
            <w:tcW w:w="709" w:type="dxa"/>
            <w:tcBorders>
              <w:top w:val="single" w:sz="4" w:space="0" w:color="auto"/>
              <w:bottom w:val="single" w:sz="4" w:space="0" w:color="auto"/>
            </w:tcBorders>
            <w:vAlign w:val="center"/>
          </w:tcPr>
          <w:p w14:paraId="6FDD6F2F" w14:textId="77777777" w:rsid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 xml:space="preserve">Top </w:t>
            </w:r>
          </w:p>
          <w:p w14:paraId="24E7DDE8" w14:textId="7C65FE65" w:rsidR="003C6154" w:rsidRP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imputer</w:t>
            </w:r>
          </w:p>
        </w:tc>
        <w:tc>
          <w:tcPr>
            <w:tcW w:w="1166" w:type="dxa"/>
            <w:tcBorders>
              <w:top w:val="single" w:sz="4" w:space="0" w:color="auto"/>
              <w:bottom w:val="single" w:sz="4" w:space="0" w:color="auto"/>
            </w:tcBorders>
            <w:vAlign w:val="center"/>
          </w:tcPr>
          <w:p w14:paraId="6E38C5DA" w14:textId="4A79AD23" w:rsidR="003C6154" w:rsidRP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Top predictive algorithm</w:t>
            </w:r>
          </w:p>
        </w:tc>
        <w:tc>
          <w:tcPr>
            <w:tcW w:w="1241" w:type="dxa"/>
            <w:tcBorders>
              <w:top w:val="single" w:sz="4" w:space="0" w:color="auto"/>
              <w:bottom w:val="single" w:sz="4" w:space="0" w:color="auto"/>
            </w:tcBorders>
            <w:vAlign w:val="center"/>
          </w:tcPr>
          <w:p w14:paraId="590C1D64" w14:textId="6D124136" w:rsidR="003C6154" w:rsidRPr="00DE22C3" w:rsidRDefault="000B52D5" w:rsidP="00772B98">
            <w:pPr>
              <w:pStyle w:val="NormalWeb"/>
              <w:spacing w:before="0" w:beforeAutospacing="0" w:after="0" w:afterAutospacing="0"/>
              <w:rPr>
                <w:color w:val="000000" w:themeColor="text1"/>
                <w:sz w:val="18"/>
                <w:szCs w:val="18"/>
              </w:rPr>
            </w:pPr>
            <w:r>
              <w:rPr>
                <w:color w:val="000000" w:themeColor="text1"/>
                <w:sz w:val="18"/>
                <w:szCs w:val="18"/>
              </w:rPr>
              <w:t>RMSE</w:t>
            </w:r>
          </w:p>
          <w:p w14:paraId="130B1B5B" w14:textId="315438CA" w:rsidR="003C6154" w:rsidRP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(LR metric)</w:t>
            </w:r>
          </w:p>
        </w:tc>
        <w:tc>
          <w:tcPr>
            <w:tcW w:w="1123" w:type="dxa"/>
            <w:tcBorders>
              <w:top w:val="single" w:sz="4" w:space="0" w:color="auto"/>
              <w:bottom w:val="single" w:sz="4" w:space="0" w:color="auto"/>
            </w:tcBorders>
            <w:vAlign w:val="center"/>
          </w:tcPr>
          <w:p w14:paraId="1527A310" w14:textId="77777777" w:rsidR="003C6154" w:rsidRPr="00DE22C3" w:rsidRDefault="003C6154" w:rsidP="00772B98">
            <w:pPr>
              <w:pStyle w:val="NormalWeb"/>
              <w:spacing w:before="0" w:beforeAutospacing="0" w:after="0" w:afterAutospacing="0"/>
              <w:rPr>
                <w:color w:val="000000" w:themeColor="text1"/>
                <w:sz w:val="18"/>
                <w:szCs w:val="18"/>
              </w:rPr>
            </w:pPr>
            <w:r w:rsidRPr="00DE22C3">
              <w:rPr>
                <w:color w:val="000000" w:themeColor="text1"/>
                <w:sz w:val="18"/>
                <w:szCs w:val="18"/>
              </w:rPr>
              <w:t>MAE</w:t>
            </w:r>
          </w:p>
          <w:p w14:paraId="2C253FE9" w14:textId="72AE82D8" w:rsidR="003C6154" w:rsidRP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(LR metric)</w:t>
            </w:r>
          </w:p>
        </w:tc>
        <w:tc>
          <w:tcPr>
            <w:tcW w:w="976" w:type="dxa"/>
            <w:tcBorders>
              <w:top w:val="single" w:sz="4" w:space="0" w:color="auto"/>
              <w:bottom w:val="single" w:sz="4" w:space="0" w:color="auto"/>
            </w:tcBorders>
            <w:vAlign w:val="center"/>
          </w:tcPr>
          <w:p w14:paraId="2B7D8483" w14:textId="77777777" w:rsidR="003C6154" w:rsidRPr="00DE22C3" w:rsidRDefault="003C6154" w:rsidP="00772B98">
            <w:pPr>
              <w:pStyle w:val="NormalWeb"/>
              <w:spacing w:before="0" w:beforeAutospacing="0" w:after="0" w:afterAutospacing="0"/>
              <w:rPr>
                <w:color w:val="000000" w:themeColor="text1"/>
                <w:sz w:val="18"/>
                <w:szCs w:val="18"/>
              </w:rPr>
            </w:pPr>
            <w:r w:rsidRPr="00DE22C3">
              <w:rPr>
                <w:color w:val="000000" w:themeColor="text1"/>
                <w:sz w:val="18"/>
                <w:szCs w:val="18"/>
              </w:rPr>
              <w:t>R</w:t>
            </w:r>
            <w:r w:rsidRPr="00FF4962">
              <w:rPr>
                <w:color w:val="000000" w:themeColor="text1"/>
                <w:sz w:val="18"/>
                <w:szCs w:val="18"/>
                <w:vertAlign w:val="superscript"/>
              </w:rPr>
              <w:t>2</w:t>
            </w:r>
          </w:p>
          <w:p w14:paraId="2C119CEC" w14:textId="00F75366" w:rsidR="003C6154" w:rsidRPr="00DE22C3" w:rsidRDefault="003C6154" w:rsidP="00772B98">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(LR metric)</w:t>
            </w:r>
          </w:p>
        </w:tc>
        <w:tc>
          <w:tcPr>
            <w:tcW w:w="2305" w:type="dxa"/>
            <w:tcBorders>
              <w:top w:val="single" w:sz="4" w:space="0" w:color="auto"/>
              <w:bottom w:val="single" w:sz="4" w:space="0" w:color="auto"/>
            </w:tcBorders>
            <w:vAlign w:val="center"/>
          </w:tcPr>
          <w:p w14:paraId="3ABDC3F4" w14:textId="50B4391E" w:rsidR="003C6154" w:rsidRPr="00DE22C3" w:rsidRDefault="0014358C" w:rsidP="00772B98">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 xml:space="preserve">Variable </w:t>
            </w:r>
            <w:proofErr w:type="spellStart"/>
            <w:r>
              <w:rPr>
                <w:rFonts w:ascii="Times New Roman" w:hAnsi="Times New Roman"/>
                <w:color w:val="000000" w:themeColor="text1"/>
                <w:sz w:val="18"/>
                <w:szCs w:val="18"/>
                <w:lang w:val="en-GB"/>
              </w:rPr>
              <w:t>importances</w:t>
            </w:r>
            <w:proofErr w:type="spellEnd"/>
          </w:p>
        </w:tc>
      </w:tr>
      <w:tr w:rsidR="00A023A3" w:rsidRPr="00DE22C3" w14:paraId="0AC7A59C" w14:textId="77777777" w:rsidTr="00BA4047">
        <w:trPr>
          <w:trHeight w:val="180"/>
        </w:trPr>
        <w:tc>
          <w:tcPr>
            <w:tcW w:w="766" w:type="dxa"/>
            <w:tcBorders>
              <w:top w:val="single" w:sz="4" w:space="0" w:color="auto"/>
              <w:bottom w:val="single" w:sz="4" w:space="0" w:color="auto"/>
            </w:tcBorders>
          </w:tcPr>
          <w:p w14:paraId="098D26EC" w14:textId="4F73C890" w:rsidR="00DE22C3" w:rsidRPr="00DE22C3" w:rsidRDefault="00DE22C3" w:rsidP="00DE22C3">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BWT</w:t>
            </w:r>
          </w:p>
        </w:tc>
        <w:tc>
          <w:tcPr>
            <w:tcW w:w="763" w:type="dxa"/>
            <w:tcBorders>
              <w:top w:val="single" w:sz="4" w:space="0" w:color="auto"/>
              <w:bottom w:val="single" w:sz="4" w:space="0" w:color="auto"/>
            </w:tcBorders>
            <w:vAlign w:val="center"/>
          </w:tcPr>
          <w:p w14:paraId="071AE642" w14:textId="42B75FD2" w:rsidR="00DE22C3" w:rsidRPr="00DE22C3" w:rsidRDefault="00DE22C3" w:rsidP="00DE22C3">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22.3%</w:t>
            </w:r>
          </w:p>
        </w:tc>
        <w:tc>
          <w:tcPr>
            <w:tcW w:w="709" w:type="dxa"/>
            <w:tcBorders>
              <w:top w:val="single" w:sz="4" w:space="0" w:color="auto"/>
              <w:bottom w:val="single" w:sz="4" w:space="0" w:color="auto"/>
            </w:tcBorders>
            <w:vAlign w:val="center"/>
          </w:tcPr>
          <w:p w14:paraId="2E002022" w14:textId="0193A27B" w:rsidR="00DE22C3" w:rsidRPr="00DE22C3" w:rsidRDefault="00D43DFF" w:rsidP="00DE22C3">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SR_SVR</w:t>
            </w:r>
          </w:p>
        </w:tc>
        <w:tc>
          <w:tcPr>
            <w:tcW w:w="1166" w:type="dxa"/>
            <w:tcBorders>
              <w:top w:val="single" w:sz="4" w:space="0" w:color="auto"/>
              <w:bottom w:val="single" w:sz="4" w:space="0" w:color="auto"/>
            </w:tcBorders>
          </w:tcPr>
          <w:p w14:paraId="55DD8DFE" w14:textId="77777777" w:rsidR="00DE22C3" w:rsidRPr="00DE22C3" w:rsidRDefault="00DE22C3" w:rsidP="00DE22C3">
            <w:pPr>
              <w:rPr>
                <w:rFonts w:ascii="Times New Roman" w:hAnsi="Times New Roman"/>
                <w:color w:val="000000" w:themeColor="text1"/>
                <w:sz w:val="18"/>
                <w:szCs w:val="18"/>
                <w:lang w:val="en-GB"/>
              </w:rPr>
            </w:pPr>
          </w:p>
        </w:tc>
        <w:tc>
          <w:tcPr>
            <w:tcW w:w="1241" w:type="dxa"/>
            <w:tcBorders>
              <w:top w:val="single" w:sz="4" w:space="0" w:color="auto"/>
              <w:bottom w:val="single" w:sz="4" w:space="0" w:color="auto"/>
            </w:tcBorders>
          </w:tcPr>
          <w:p w14:paraId="2F9D3AB7" w14:textId="77777777" w:rsidR="00DE22C3" w:rsidRPr="00DE22C3" w:rsidRDefault="00DE22C3" w:rsidP="00DE22C3">
            <w:pPr>
              <w:rPr>
                <w:rFonts w:ascii="Times New Roman" w:hAnsi="Times New Roman"/>
                <w:color w:val="000000" w:themeColor="text1"/>
                <w:sz w:val="18"/>
                <w:szCs w:val="18"/>
                <w:lang w:val="en-GB"/>
              </w:rPr>
            </w:pPr>
          </w:p>
        </w:tc>
        <w:tc>
          <w:tcPr>
            <w:tcW w:w="1123" w:type="dxa"/>
            <w:tcBorders>
              <w:top w:val="single" w:sz="4" w:space="0" w:color="auto"/>
              <w:bottom w:val="single" w:sz="4" w:space="0" w:color="auto"/>
            </w:tcBorders>
          </w:tcPr>
          <w:p w14:paraId="3DE25878" w14:textId="77777777" w:rsidR="00DE22C3" w:rsidRPr="00DE22C3" w:rsidRDefault="00DE22C3" w:rsidP="00DE22C3">
            <w:pPr>
              <w:rPr>
                <w:rFonts w:ascii="Times New Roman" w:hAnsi="Times New Roman"/>
                <w:color w:val="000000" w:themeColor="text1"/>
                <w:sz w:val="18"/>
                <w:szCs w:val="18"/>
                <w:lang w:val="en-GB"/>
              </w:rPr>
            </w:pPr>
          </w:p>
        </w:tc>
        <w:tc>
          <w:tcPr>
            <w:tcW w:w="976" w:type="dxa"/>
            <w:tcBorders>
              <w:top w:val="single" w:sz="4" w:space="0" w:color="auto"/>
              <w:bottom w:val="single" w:sz="4" w:space="0" w:color="auto"/>
            </w:tcBorders>
          </w:tcPr>
          <w:p w14:paraId="2F68D334" w14:textId="77777777" w:rsidR="00DE22C3" w:rsidRPr="00DE22C3" w:rsidRDefault="00DE22C3" w:rsidP="00DE22C3">
            <w:pPr>
              <w:rPr>
                <w:rFonts w:ascii="Times New Roman" w:hAnsi="Times New Roman"/>
                <w:color w:val="000000" w:themeColor="text1"/>
                <w:sz w:val="18"/>
                <w:szCs w:val="18"/>
                <w:lang w:val="en-GB"/>
              </w:rPr>
            </w:pPr>
          </w:p>
        </w:tc>
        <w:tc>
          <w:tcPr>
            <w:tcW w:w="2305" w:type="dxa"/>
            <w:tcBorders>
              <w:top w:val="single" w:sz="4" w:space="0" w:color="auto"/>
              <w:bottom w:val="single" w:sz="4" w:space="0" w:color="auto"/>
            </w:tcBorders>
          </w:tcPr>
          <w:p w14:paraId="637B4309" w14:textId="77777777" w:rsidR="00DE22C3" w:rsidRPr="00DE22C3" w:rsidRDefault="00DE22C3" w:rsidP="00DE22C3">
            <w:pPr>
              <w:rPr>
                <w:rFonts w:ascii="Times New Roman" w:hAnsi="Times New Roman"/>
                <w:color w:val="000000" w:themeColor="text1"/>
                <w:sz w:val="18"/>
                <w:szCs w:val="18"/>
                <w:lang w:val="en-GB"/>
              </w:rPr>
            </w:pPr>
          </w:p>
        </w:tc>
      </w:tr>
      <w:tr w:rsidR="00BA4047" w:rsidRPr="00DE22C3" w14:paraId="7EE1AEAD" w14:textId="77777777" w:rsidTr="00BA4047">
        <w:trPr>
          <w:trHeight w:val="180"/>
        </w:trPr>
        <w:tc>
          <w:tcPr>
            <w:tcW w:w="766" w:type="dxa"/>
            <w:tcBorders>
              <w:top w:val="single" w:sz="4" w:space="0" w:color="auto"/>
              <w:bottom w:val="single" w:sz="4" w:space="0" w:color="auto"/>
            </w:tcBorders>
            <w:vAlign w:val="center"/>
          </w:tcPr>
          <w:p w14:paraId="56618F3A" w14:textId="15A62260" w:rsidR="00BA4047" w:rsidRPr="00DE22C3" w:rsidRDefault="00BA4047" w:rsidP="00BA4047">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WK9</w:t>
            </w:r>
          </w:p>
        </w:tc>
        <w:tc>
          <w:tcPr>
            <w:tcW w:w="763" w:type="dxa"/>
            <w:tcBorders>
              <w:top w:val="single" w:sz="4" w:space="0" w:color="auto"/>
              <w:bottom w:val="single" w:sz="4" w:space="0" w:color="auto"/>
            </w:tcBorders>
            <w:vAlign w:val="center"/>
          </w:tcPr>
          <w:p w14:paraId="77C0913D" w14:textId="218168DC" w:rsidR="00BA4047" w:rsidRPr="00DE22C3" w:rsidRDefault="00BA4047" w:rsidP="00BA4047">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13.8%</w:t>
            </w:r>
          </w:p>
        </w:tc>
        <w:tc>
          <w:tcPr>
            <w:tcW w:w="709" w:type="dxa"/>
            <w:tcBorders>
              <w:top w:val="single" w:sz="4" w:space="0" w:color="auto"/>
              <w:bottom w:val="single" w:sz="4" w:space="0" w:color="auto"/>
            </w:tcBorders>
            <w:vAlign w:val="center"/>
          </w:tcPr>
          <w:p w14:paraId="3190C3F4" w14:textId="43EA00AB" w:rsidR="00BA4047" w:rsidRPr="00DE22C3" w:rsidRDefault="00D43DFF"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SR_LR</w:t>
            </w:r>
          </w:p>
        </w:tc>
        <w:tc>
          <w:tcPr>
            <w:tcW w:w="1166" w:type="dxa"/>
            <w:tcBorders>
              <w:top w:val="single" w:sz="4" w:space="0" w:color="auto"/>
              <w:bottom w:val="single" w:sz="4" w:space="0" w:color="auto"/>
            </w:tcBorders>
            <w:vAlign w:val="center"/>
          </w:tcPr>
          <w:p w14:paraId="19BA259C" w14:textId="74C59947" w:rsidR="00BA4047" w:rsidRPr="00DE22C3" w:rsidRDefault="000B52D5"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SR_SVR</w:t>
            </w:r>
          </w:p>
        </w:tc>
        <w:tc>
          <w:tcPr>
            <w:tcW w:w="1241" w:type="dxa"/>
            <w:tcBorders>
              <w:top w:val="single" w:sz="4" w:space="0" w:color="auto"/>
              <w:bottom w:val="single" w:sz="4" w:space="0" w:color="auto"/>
            </w:tcBorders>
            <w:vAlign w:val="center"/>
          </w:tcPr>
          <w:p w14:paraId="6DEBADC4" w14:textId="77777777" w:rsidR="00BA4047" w:rsidRDefault="000B52D5"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3.33</w:t>
            </w:r>
          </w:p>
          <w:p w14:paraId="15418D78" w14:textId="7482B9DF" w:rsidR="000300B9" w:rsidRPr="00DE22C3" w:rsidRDefault="000300B9"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(3.54)</w:t>
            </w:r>
          </w:p>
        </w:tc>
        <w:tc>
          <w:tcPr>
            <w:tcW w:w="1123" w:type="dxa"/>
            <w:tcBorders>
              <w:top w:val="single" w:sz="4" w:space="0" w:color="auto"/>
              <w:bottom w:val="single" w:sz="4" w:space="0" w:color="auto"/>
            </w:tcBorders>
            <w:vAlign w:val="center"/>
          </w:tcPr>
          <w:p w14:paraId="610F66B1" w14:textId="77777777" w:rsidR="00BA4047" w:rsidRDefault="000B52D5"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2.53</w:t>
            </w:r>
          </w:p>
          <w:p w14:paraId="0EDCE620" w14:textId="481E2302" w:rsidR="000300B9" w:rsidRPr="00DE22C3" w:rsidRDefault="000300B9"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(2.75)</w:t>
            </w:r>
          </w:p>
        </w:tc>
        <w:tc>
          <w:tcPr>
            <w:tcW w:w="976" w:type="dxa"/>
            <w:tcBorders>
              <w:top w:val="single" w:sz="4" w:space="0" w:color="auto"/>
              <w:bottom w:val="single" w:sz="4" w:space="0" w:color="auto"/>
            </w:tcBorders>
            <w:vAlign w:val="center"/>
          </w:tcPr>
          <w:p w14:paraId="5D47A9C8" w14:textId="77777777" w:rsidR="00BA4047" w:rsidRDefault="000300B9"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0.33</w:t>
            </w:r>
          </w:p>
          <w:p w14:paraId="4B750F93" w14:textId="423A5F73" w:rsidR="000300B9" w:rsidRPr="00DE22C3" w:rsidRDefault="000300B9"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(0.24)</w:t>
            </w:r>
          </w:p>
        </w:tc>
        <w:tc>
          <w:tcPr>
            <w:tcW w:w="2305" w:type="dxa"/>
            <w:tcBorders>
              <w:top w:val="single" w:sz="4" w:space="0" w:color="auto"/>
              <w:bottom w:val="single" w:sz="4" w:space="0" w:color="auto"/>
            </w:tcBorders>
            <w:vAlign w:val="center"/>
          </w:tcPr>
          <w:p w14:paraId="64E34BD9" w14:textId="5EBF0E71" w:rsidR="00BA4047" w:rsidRPr="00DE22C3" w:rsidRDefault="00123355" w:rsidP="00BA4047">
            <w:pPr>
              <w:rPr>
                <w:rFonts w:ascii="Times New Roman" w:hAnsi="Times New Roman"/>
                <w:color w:val="000000" w:themeColor="text1"/>
                <w:sz w:val="18"/>
                <w:szCs w:val="18"/>
                <w:lang w:val="en-GB"/>
              </w:rPr>
            </w:pPr>
            <w:proofErr w:type="spellStart"/>
            <w:r>
              <w:rPr>
                <w:rFonts w:ascii="Times New Roman" w:hAnsi="Times New Roman"/>
                <w:color w:val="000000" w:themeColor="text1"/>
                <w:sz w:val="18"/>
                <w:szCs w:val="18"/>
                <w:lang w:val="en-GB"/>
              </w:rPr>
              <w:t>imp_BWT</w:t>
            </w:r>
            <w:proofErr w:type="spellEnd"/>
            <w:r>
              <w:rPr>
                <w:rFonts w:ascii="Times New Roman" w:hAnsi="Times New Roman"/>
                <w:color w:val="000000" w:themeColor="text1"/>
                <w:sz w:val="18"/>
                <w:szCs w:val="18"/>
                <w:lang w:val="en-GB"/>
              </w:rPr>
              <w:t>, PAR, SL, Batch, TLS, MED, Sex</w:t>
            </w:r>
          </w:p>
        </w:tc>
      </w:tr>
      <w:tr w:rsidR="00BA4047" w:rsidRPr="00DE22C3" w14:paraId="18F9D110" w14:textId="77777777" w:rsidTr="00BA4047">
        <w:trPr>
          <w:trHeight w:val="180"/>
        </w:trPr>
        <w:tc>
          <w:tcPr>
            <w:tcW w:w="766" w:type="dxa"/>
            <w:tcBorders>
              <w:top w:val="single" w:sz="4" w:space="0" w:color="auto"/>
              <w:bottom w:val="single" w:sz="4" w:space="0" w:color="auto"/>
            </w:tcBorders>
            <w:vAlign w:val="center"/>
          </w:tcPr>
          <w:p w14:paraId="68AE5AB0" w14:textId="1B78B36D" w:rsidR="00BA4047" w:rsidRPr="00DE22C3" w:rsidRDefault="00BA4047" w:rsidP="00BA4047">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WK23</w:t>
            </w:r>
          </w:p>
        </w:tc>
        <w:tc>
          <w:tcPr>
            <w:tcW w:w="763" w:type="dxa"/>
            <w:tcBorders>
              <w:top w:val="single" w:sz="4" w:space="0" w:color="auto"/>
              <w:bottom w:val="single" w:sz="4" w:space="0" w:color="auto"/>
            </w:tcBorders>
            <w:vAlign w:val="center"/>
          </w:tcPr>
          <w:p w14:paraId="03DA00FC" w14:textId="008829C7" w:rsidR="00BA4047" w:rsidRPr="00DE22C3" w:rsidRDefault="00BA4047" w:rsidP="00BA4047">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23.6%</w:t>
            </w:r>
          </w:p>
        </w:tc>
        <w:tc>
          <w:tcPr>
            <w:tcW w:w="709" w:type="dxa"/>
            <w:tcBorders>
              <w:top w:val="single" w:sz="4" w:space="0" w:color="auto"/>
              <w:bottom w:val="single" w:sz="4" w:space="0" w:color="auto"/>
            </w:tcBorders>
            <w:vAlign w:val="center"/>
          </w:tcPr>
          <w:p w14:paraId="5D647E5D" w14:textId="75B24790" w:rsidR="00BA4047" w:rsidRDefault="00D43DFF"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SR_LR</w:t>
            </w:r>
          </w:p>
        </w:tc>
        <w:tc>
          <w:tcPr>
            <w:tcW w:w="1166" w:type="dxa"/>
            <w:tcBorders>
              <w:top w:val="single" w:sz="4" w:space="0" w:color="auto"/>
              <w:bottom w:val="single" w:sz="4" w:space="0" w:color="auto"/>
            </w:tcBorders>
            <w:vAlign w:val="center"/>
          </w:tcPr>
          <w:p w14:paraId="7350A62D" w14:textId="0172BD3E" w:rsidR="00BA4047" w:rsidRPr="00DE22C3" w:rsidRDefault="001B295B"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SR_LR</w:t>
            </w:r>
          </w:p>
        </w:tc>
        <w:tc>
          <w:tcPr>
            <w:tcW w:w="1241" w:type="dxa"/>
            <w:tcBorders>
              <w:top w:val="single" w:sz="4" w:space="0" w:color="auto"/>
              <w:bottom w:val="single" w:sz="4" w:space="0" w:color="auto"/>
            </w:tcBorders>
            <w:vAlign w:val="center"/>
          </w:tcPr>
          <w:p w14:paraId="44435BDE" w14:textId="77777777" w:rsidR="00BA4047" w:rsidRDefault="00172586"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9.45</w:t>
            </w:r>
          </w:p>
          <w:p w14:paraId="7803F7DE" w14:textId="7AF4E0D6" w:rsidR="00172586" w:rsidRDefault="0075182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(10.1)</w:t>
            </w:r>
          </w:p>
        </w:tc>
        <w:tc>
          <w:tcPr>
            <w:tcW w:w="1123" w:type="dxa"/>
            <w:tcBorders>
              <w:top w:val="single" w:sz="4" w:space="0" w:color="auto"/>
              <w:bottom w:val="single" w:sz="4" w:space="0" w:color="auto"/>
            </w:tcBorders>
            <w:vAlign w:val="center"/>
          </w:tcPr>
          <w:p w14:paraId="1BD48408" w14:textId="77777777" w:rsidR="00BA4047" w:rsidRDefault="00172586"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7.09</w:t>
            </w:r>
          </w:p>
          <w:p w14:paraId="4B48F2AA" w14:textId="5E75AE40" w:rsidR="00751827" w:rsidRDefault="0075182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(7.70)</w:t>
            </w:r>
          </w:p>
        </w:tc>
        <w:tc>
          <w:tcPr>
            <w:tcW w:w="976" w:type="dxa"/>
            <w:tcBorders>
              <w:top w:val="single" w:sz="4" w:space="0" w:color="auto"/>
              <w:bottom w:val="single" w:sz="4" w:space="0" w:color="auto"/>
            </w:tcBorders>
            <w:vAlign w:val="center"/>
          </w:tcPr>
          <w:p w14:paraId="2E7D379A" w14:textId="77777777" w:rsidR="00BA4047" w:rsidRDefault="00172586"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0.29</w:t>
            </w:r>
          </w:p>
          <w:p w14:paraId="489236B4" w14:textId="29BAC341" w:rsidR="00172586" w:rsidRDefault="0075182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(0.17)</w:t>
            </w:r>
          </w:p>
        </w:tc>
        <w:tc>
          <w:tcPr>
            <w:tcW w:w="2305" w:type="dxa"/>
            <w:tcBorders>
              <w:top w:val="single" w:sz="4" w:space="0" w:color="auto"/>
              <w:bottom w:val="single" w:sz="4" w:space="0" w:color="auto"/>
            </w:tcBorders>
            <w:vAlign w:val="center"/>
          </w:tcPr>
          <w:p w14:paraId="2C497427" w14:textId="2E45E71C" w:rsidR="00BA4047" w:rsidRDefault="0097125C" w:rsidP="00BA4047">
            <w:pPr>
              <w:rPr>
                <w:rFonts w:ascii="Times New Roman" w:hAnsi="Times New Roman"/>
                <w:color w:val="000000" w:themeColor="text1"/>
                <w:sz w:val="18"/>
                <w:szCs w:val="18"/>
                <w:lang w:val="en-GB"/>
              </w:rPr>
            </w:pPr>
            <w:proofErr w:type="spellStart"/>
            <w:r>
              <w:rPr>
                <w:rFonts w:ascii="Times New Roman" w:hAnsi="Times New Roman"/>
                <w:color w:val="000000" w:themeColor="text1"/>
                <w:sz w:val="18"/>
                <w:szCs w:val="18"/>
                <w:lang w:val="en-GB"/>
              </w:rPr>
              <w:t>imp_BWT</w:t>
            </w:r>
            <w:proofErr w:type="spellEnd"/>
            <w:r>
              <w:rPr>
                <w:rFonts w:ascii="Times New Roman" w:hAnsi="Times New Roman"/>
                <w:color w:val="000000" w:themeColor="text1"/>
                <w:sz w:val="18"/>
                <w:szCs w:val="18"/>
                <w:lang w:val="en-GB"/>
              </w:rPr>
              <w:t>, batch, SL, PAR, TLS</w:t>
            </w:r>
            <w:r w:rsidR="002F5905">
              <w:rPr>
                <w:rFonts w:ascii="Times New Roman" w:hAnsi="Times New Roman"/>
                <w:color w:val="000000" w:themeColor="text1"/>
                <w:sz w:val="18"/>
                <w:szCs w:val="18"/>
                <w:lang w:val="en-GB"/>
              </w:rPr>
              <w:t>, Sex, MED</w:t>
            </w:r>
          </w:p>
        </w:tc>
      </w:tr>
      <w:tr w:rsidR="00BA4047" w:rsidRPr="00DE22C3" w14:paraId="40278EA9" w14:textId="77777777" w:rsidTr="00BA4047">
        <w:trPr>
          <w:trHeight w:val="180"/>
        </w:trPr>
        <w:tc>
          <w:tcPr>
            <w:tcW w:w="766" w:type="dxa"/>
            <w:tcBorders>
              <w:top w:val="single" w:sz="4" w:space="0" w:color="auto"/>
              <w:bottom w:val="single" w:sz="4" w:space="0" w:color="auto"/>
            </w:tcBorders>
            <w:vAlign w:val="center"/>
          </w:tcPr>
          <w:p w14:paraId="63A50BAB" w14:textId="60891D3C" w:rsidR="00BA4047" w:rsidRPr="00DE22C3" w:rsidRDefault="00BA4047" w:rsidP="00BA4047">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NCW</w:t>
            </w:r>
          </w:p>
        </w:tc>
        <w:tc>
          <w:tcPr>
            <w:tcW w:w="763" w:type="dxa"/>
            <w:tcBorders>
              <w:top w:val="single" w:sz="4" w:space="0" w:color="auto"/>
              <w:bottom w:val="single" w:sz="4" w:space="0" w:color="auto"/>
            </w:tcBorders>
            <w:vAlign w:val="center"/>
          </w:tcPr>
          <w:p w14:paraId="4DBD986E" w14:textId="03A59DBE" w:rsidR="00BA4047" w:rsidRPr="00DE22C3" w:rsidRDefault="00BA4047" w:rsidP="00BA4047">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48.3%</w:t>
            </w:r>
          </w:p>
        </w:tc>
        <w:tc>
          <w:tcPr>
            <w:tcW w:w="709" w:type="dxa"/>
            <w:tcBorders>
              <w:top w:val="single" w:sz="4" w:space="0" w:color="auto"/>
              <w:bottom w:val="single" w:sz="4" w:space="0" w:color="auto"/>
            </w:tcBorders>
            <w:vAlign w:val="center"/>
          </w:tcPr>
          <w:p w14:paraId="7D8D90B8" w14:textId="50763863" w:rsidR="00BA4047" w:rsidRPr="00DE22C3" w:rsidRDefault="0056489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RF</w:t>
            </w:r>
          </w:p>
        </w:tc>
        <w:tc>
          <w:tcPr>
            <w:tcW w:w="1166" w:type="dxa"/>
            <w:tcBorders>
              <w:top w:val="single" w:sz="4" w:space="0" w:color="auto"/>
              <w:bottom w:val="single" w:sz="4" w:space="0" w:color="auto"/>
            </w:tcBorders>
            <w:vAlign w:val="center"/>
          </w:tcPr>
          <w:p w14:paraId="3AF5DE1A" w14:textId="356E4481" w:rsidR="00BA4047" w:rsidRPr="00DE22C3" w:rsidRDefault="006B46A5"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SVR</w:t>
            </w:r>
          </w:p>
        </w:tc>
        <w:tc>
          <w:tcPr>
            <w:tcW w:w="1241" w:type="dxa"/>
            <w:tcBorders>
              <w:top w:val="single" w:sz="4" w:space="0" w:color="auto"/>
              <w:bottom w:val="single" w:sz="4" w:space="0" w:color="auto"/>
            </w:tcBorders>
            <w:vAlign w:val="center"/>
          </w:tcPr>
          <w:p w14:paraId="1C62896F" w14:textId="77777777" w:rsidR="00BA4047" w:rsidRDefault="006B46A5"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6.66</w:t>
            </w:r>
          </w:p>
          <w:p w14:paraId="05565DA5" w14:textId="20C8D179" w:rsidR="001F3F47" w:rsidRPr="00DE22C3" w:rsidRDefault="001F3F4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(7.25)</w:t>
            </w:r>
          </w:p>
        </w:tc>
        <w:tc>
          <w:tcPr>
            <w:tcW w:w="1123" w:type="dxa"/>
            <w:tcBorders>
              <w:top w:val="single" w:sz="4" w:space="0" w:color="auto"/>
              <w:bottom w:val="single" w:sz="4" w:space="0" w:color="auto"/>
            </w:tcBorders>
            <w:vAlign w:val="center"/>
          </w:tcPr>
          <w:p w14:paraId="7CE71471" w14:textId="77777777" w:rsidR="00BA4047" w:rsidRDefault="001F3F4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4.85</w:t>
            </w:r>
          </w:p>
          <w:p w14:paraId="5D534062" w14:textId="3229CB7B" w:rsidR="001F3F47" w:rsidRPr="00DE22C3" w:rsidRDefault="001F3F4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(5.57)</w:t>
            </w:r>
          </w:p>
        </w:tc>
        <w:tc>
          <w:tcPr>
            <w:tcW w:w="976" w:type="dxa"/>
            <w:tcBorders>
              <w:top w:val="single" w:sz="4" w:space="0" w:color="auto"/>
              <w:bottom w:val="single" w:sz="4" w:space="0" w:color="auto"/>
            </w:tcBorders>
            <w:vAlign w:val="center"/>
          </w:tcPr>
          <w:p w14:paraId="4B8D207B" w14:textId="77777777" w:rsidR="00BA4047" w:rsidRDefault="001F3F4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0.29</w:t>
            </w:r>
          </w:p>
          <w:p w14:paraId="5DD9C757" w14:textId="3D188867" w:rsidR="001F3F47" w:rsidRPr="00DE22C3" w:rsidRDefault="001F3F47"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(0.17)</w:t>
            </w:r>
          </w:p>
        </w:tc>
        <w:tc>
          <w:tcPr>
            <w:tcW w:w="2305" w:type="dxa"/>
            <w:tcBorders>
              <w:top w:val="single" w:sz="4" w:space="0" w:color="auto"/>
              <w:bottom w:val="single" w:sz="4" w:space="0" w:color="auto"/>
            </w:tcBorders>
            <w:vAlign w:val="center"/>
          </w:tcPr>
          <w:p w14:paraId="06C14959" w14:textId="232786F6" w:rsidR="00BA4047" w:rsidRPr="00DE22C3" w:rsidRDefault="001A0F12" w:rsidP="00BA4047">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 xml:space="preserve">Rep, </w:t>
            </w:r>
            <w:proofErr w:type="spellStart"/>
            <w:r>
              <w:rPr>
                <w:rFonts w:ascii="Times New Roman" w:hAnsi="Times New Roman"/>
                <w:color w:val="000000" w:themeColor="text1"/>
                <w:sz w:val="18"/>
                <w:szCs w:val="18"/>
                <w:lang w:val="en-GB"/>
              </w:rPr>
              <w:t>imp_</w:t>
            </w:r>
            <w:r w:rsidR="0097125C">
              <w:rPr>
                <w:rFonts w:ascii="Times New Roman" w:hAnsi="Times New Roman"/>
                <w:color w:val="000000" w:themeColor="text1"/>
                <w:sz w:val="18"/>
                <w:szCs w:val="18"/>
                <w:lang w:val="en-GB"/>
              </w:rPr>
              <w:t>BWT</w:t>
            </w:r>
            <w:proofErr w:type="spellEnd"/>
            <w:r>
              <w:rPr>
                <w:rFonts w:ascii="Times New Roman" w:hAnsi="Times New Roman"/>
                <w:color w:val="000000" w:themeColor="text1"/>
                <w:sz w:val="18"/>
                <w:szCs w:val="18"/>
                <w:lang w:val="en-GB"/>
              </w:rPr>
              <w:t>, SL, Sex, PAR, TLS, MED</w:t>
            </w:r>
          </w:p>
        </w:tc>
      </w:tr>
      <w:tr w:rsidR="00944C89" w:rsidRPr="00DE22C3" w14:paraId="21B8311D" w14:textId="77777777" w:rsidTr="00BA4047">
        <w:trPr>
          <w:trHeight w:val="180"/>
        </w:trPr>
        <w:tc>
          <w:tcPr>
            <w:tcW w:w="766" w:type="dxa"/>
            <w:tcBorders>
              <w:top w:val="single" w:sz="4" w:space="0" w:color="auto"/>
              <w:bottom w:val="single" w:sz="4" w:space="0" w:color="auto"/>
            </w:tcBorders>
            <w:vAlign w:val="center"/>
          </w:tcPr>
          <w:p w14:paraId="6C3E4A6D" w14:textId="7ECD5BEE" w:rsidR="00944C89" w:rsidRPr="00DE22C3" w:rsidRDefault="00944C89" w:rsidP="00944C89">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LM</w:t>
            </w:r>
          </w:p>
        </w:tc>
        <w:tc>
          <w:tcPr>
            <w:tcW w:w="763" w:type="dxa"/>
            <w:tcBorders>
              <w:top w:val="single" w:sz="4" w:space="0" w:color="auto"/>
              <w:bottom w:val="single" w:sz="4" w:space="0" w:color="auto"/>
            </w:tcBorders>
            <w:vAlign w:val="center"/>
          </w:tcPr>
          <w:p w14:paraId="2CBA2AFD" w14:textId="57D0E0BA" w:rsidR="00944C89" w:rsidRPr="00DE22C3" w:rsidRDefault="00944C89" w:rsidP="00944C89">
            <w:pPr>
              <w:rPr>
                <w:rFonts w:ascii="Times New Roman" w:hAnsi="Times New Roman"/>
                <w:color w:val="000000" w:themeColor="text1"/>
                <w:sz w:val="18"/>
                <w:szCs w:val="18"/>
                <w:lang w:val="en-GB"/>
              </w:rPr>
            </w:pPr>
            <w:r w:rsidRPr="00DE22C3">
              <w:rPr>
                <w:rFonts w:ascii="Times New Roman" w:hAnsi="Times New Roman"/>
                <w:color w:val="000000" w:themeColor="text1"/>
                <w:sz w:val="18"/>
                <w:szCs w:val="18"/>
                <w:lang w:val="en-GB"/>
              </w:rPr>
              <w:t>48.3%</w:t>
            </w:r>
          </w:p>
        </w:tc>
        <w:tc>
          <w:tcPr>
            <w:tcW w:w="709" w:type="dxa"/>
            <w:tcBorders>
              <w:top w:val="single" w:sz="4" w:space="0" w:color="auto"/>
              <w:bottom w:val="single" w:sz="4" w:space="0" w:color="auto"/>
            </w:tcBorders>
            <w:vAlign w:val="center"/>
          </w:tcPr>
          <w:p w14:paraId="7D0FFB41" w14:textId="075DA0B7" w:rsidR="00944C89" w:rsidRPr="00DE22C3"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RF</w:t>
            </w:r>
          </w:p>
        </w:tc>
        <w:tc>
          <w:tcPr>
            <w:tcW w:w="1166" w:type="dxa"/>
            <w:tcBorders>
              <w:top w:val="single" w:sz="4" w:space="0" w:color="auto"/>
              <w:bottom w:val="single" w:sz="4" w:space="0" w:color="auto"/>
            </w:tcBorders>
            <w:vAlign w:val="center"/>
          </w:tcPr>
          <w:p w14:paraId="6926FA86" w14:textId="01F04689" w:rsidR="00944C89" w:rsidRPr="00DE22C3"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SR_SVR</w:t>
            </w:r>
          </w:p>
        </w:tc>
        <w:tc>
          <w:tcPr>
            <w:tcW w:w="1241" w:type="dxa"/>
            <w:tcBorders>
              <w:top w:val="single" w:sz="4" w:space="0" w:color="auto"/>
              <w:bottom w:val="single" w:sz="4" w:space="0" w:color="auto"/>
            </w:tcBorders>
            <w:vAlign w:val="center"/>
          </w:tcPr>
          <w:p w14:paraId="79CEA545" w14:textId="77777777" w:rsidR="00944C89"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 xml:space="preserve">1.84 </w:t>
            </w:r>
          </w:p>
          <w:p w14:paraId="1765E815" w14:textId="07A74E6B" w:rsidR="00944C89" w:rsidRPr="00DE22C3"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(2.04)</w:t>
            </w:r>
          </w:p>
        </w:tc>
        <w:tc>
          <w:tcPr>
            <w:tcW w:w="1123" w:type="dxa"/>
            <w:tcBorders>
              <w:top w:val="single" w:sz="4" w:space="0" w:color="auto"/>
              <w:bottom w:val="single" w:sz="4" w:space="0" w:color="auto"/>
            </w:tcBorders>
            <w:vAlign w:val="center"/>
          </w:tcPr>
          <w:p w14:paraId="38781D23" w14:textId="77777777" w:rsidR="00944C89"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1.26</w:t>
            </w:r>
          </w:p>
          <w:p w14:paraId="3B853BB4" w14:textId="73029F61" w:rsidR="00944C89" w:rsidRPr="00DE22C3"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(1.46)</w:t>
            </w:r>
          </w:p>
        </w:tc>
        <w:tc>
          <w:tcPr>
            <w:tcW w:w="976" w:type="dxa"/>
            <w:tcBorders>
              <w:top w:val="single" w:sz="4" w:space="0" w:color="auto"/>
              <w:bottom w:val="single" w:sz="4" w:space="0" w:color="auto"/>
            </w:tcBorders>
            <w:vAlign w:val="center"/>
          </w:tcPr>
          <w:p w14:paraId="46A93A02" w14:textId="77777777" w:rsidR="00944C89"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0.22</w:t>
            </w:r>
          </w:p>
          <w:p w14:paraId="01504C93" w14:textId="65233C9C" w:rsidR="00944C89" w:rsidRPr="00DE22C3"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(0.05)</w:t>
            </w:r>
          </w:p>
        </w:tc>
        <w:tc>
          <w:tcPr>
            <w:tcW w:w="2305" w:type="dxa"/>
            <w:tcBorders>
              <w:top w:val="single" w:sz="4" w:space="0" w:color="auto"/>
              <w:bottom w:val="single" w:sz="4" w:space="0" w:color="auto"/>
            </w:tcBorders>
            <w:vAlign w:val="center"/>
          </w:tcPr>
          <w:p w14:paraId="00965143" w14:textId="13D91D5E" w:rsidR="00944C89" w:rsidRPr="00DE22C3" w:rsidRDefault="00944C89" w:rsidP="00944C89">
            <w:pPr>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 xml:space="preserve">SL, Sex, Batch, TLS, </w:t>
            </w:r>
            <w:proofErr w:type="spellStart"/>
            <w:r>
              <w:rPr>
                <w:rFonts w:ascii="Times New Roman" w:hAnsi="Times New Roman"/>
                <w:color w:val="000000" w:themeColor="text1"/>
                <w:sz w:val="18"/>
                <w:szCs w:val="18"/>
                <w:lang w:val="en-GB"/>
              </w:rPr>
              <w:t>imp_BWT</w:t>
            </w:r>
            <w:proofErr w:type="spellEnd"/>
            <w:r>
              <w:rPr>
                <w:rFonts w:ascii="Times New Roman" w:hAnsi="Times New Roman"/>
                <w:color w:val="000000" w:themeColor="text1"/>
                <w:sz w:val="18"/>
                <w:szCs w:val="18"/>
                <w:lang w:val="en-GB"/>
              </w:rPr>
              <w:t>, PAR, MED</w:t>
            </w:r>
          </w:p>
        </w:tc>
      </w:tr>
    </w:tbl>
    <w:p w14:paraId="7F4434F6" w14:textId="2E36F00D" w:rsidR="00187E03" w:rsidRDefault="00EC7341" w:rsidP="00187E03">
      <w:pPr>
        <w:spacing w:after="0" w:line="240" w:lineRule="auto"/>
        <w:jc w:val="both"/>
        <w:rPr>
          <w:rFonts w:ascii="Times New Roman" w:eastAsia="Times New Roman" w:hAnsi="Times New Roman" w:cs="Times New Roman"/>
          <w:color w:val="000000" w:themeColor="text1"/>
          <w:sz w:val="17"/>
          <w:szCs w:val="17"/>
          <w:vertAlign w:val="superscript"/>
          <w:lang w:val="en-GB"/>
        </w:rPr>
      </w:pPr>
      <w:r>
        <w:rPr>
          <w:rFonts w:ascii="Times New Roman" w:eastAsia="Times New Roman" w:hAnsi="Times New Roman" w:cs="Times New Roman"/>
          <w:color w:val="000000" w:themeColor="text1"/>
          <w:sz w:val="17"/>
          <w:szCs w:val="17"/>
          <w:vertAlign w:val="superscript"/>
          <w:lang w:val="en-GB"/>
        </w:rPr>
        <w:t xml:space="preserve">SR_SVR = Stacking regression with SVR as the meta-model, </w:t>
      </w:r>
      <w:r w:rsidR="00D43DFF">
        <w:rPr>
          <w:rFonts w:ascii="Times New Roman" w:eastAsia="Times New Roman" w:hAnsi="Times New Roman" w:cs="Times New Roman"/>
          <w:color w:val="000000" w:themeColor="text1"/>
          <w:sz w:val="17"/>
          <w:szCs w:val="17"/>
          <w:vertAlign w:val="superscript"/>
          <w:lang w:val="en-GB"/>
        </w:rPr>
        <w:t xml:space="preserve">SR_LR = Stacking regression with LR as the metamodel, </w:t>
      </w:r>
      <w:proofErr w:type="spellStart"/>
      <w:r>
        <w:rPr>
          <w:rFonts w:ascii="Times New Roman" w:eastAsia="Times New Roman" w:hAnsi="Times New Roman" w:cs="Times New Roman"/>
          <w:color w:val="000000" w:themeColor="text1"/>
          <w:sz w:val="17"/>
          <w:szCs w:val="17"/>
          <w:vertAlign w:val="superscript"/>
          <w:lang w:val="en-GB"/>
        </w:rPr>
        <w:t>imp_BWT</w:t>
      </w:r>
      <w:proofErr w:type="spellEnd"/>
      <w:r>
        <w:rPr>
          <w:rFonts w:ascii="Times New Roman" w:eastAsia="Times New Roman" w:hAnsi="Times New Roman" w:cs="Times New Roman"/>
          <w:color w:val="000000" w:themeColor="text1"/>
          <w:sz w:val="17"/>
          <w:szCs w:val="17"/>
          <w:vertAlign w:val="superscript"/>
          <w:lang w:val="en-GB"/>
        </w:rPr>
        <w:t xml:space="preserve"> = imputed BWT, SL = Sire line, TLS = Total litter size, PAR = Parity, MED = Medicated</w:t>
      </w:r>
      <w:r w:rsidR="00D43DFF">
        <w:rPr>
          <w:rFonts w:ascii="Times New Roman" w:eastAsia="Times New Roman" w:hAnsi="Times New Roman" w:cs="Times New Roman"/>
          <w:color w:val="000000" w:themeColor="text1"/>
          <w:sz w:val="17"/>
          <w:szCs w:val="17"/>
          <w:vertAlign w:val="superscript"/>
          <w:lang w:val="en-GB"/>
        </w:rPr>
        <w:t xml:space="preserve">, </w:t>
      </w:r>
      <w:r w:rsidR="00187E03">
        <w:rPr>
          <w:rFonts w:ascii="Times New Roman" w:eastAsia="Times New Roman" w:hAnsi="Times New Roman" w:cs="Times New Roman"/>
          <w:color w:val="000000" w:themeColor="text1"/>
          <w:sz w:val="17"/>
          <w:szCs w:val="17"/>
          <w:vertAlign w:val="superscript"/>
          <w:lang w:val="en-GB"/>
        </w:rPr>
        <w:t>LR accuracy metrics are presented in brackets for comparison with top performing model.</w:t>
      </w:r>
    </w:p>
    <w:p w14:paraId="32B55372" w14:textId="77777777" w:rsidR="00187E03" w:rsidRPr="00187E03" w:rsidRDefault="00187E03" w:rsidP="00187E03">
      <w:pPr>
        <w:spacing w:after="0" w:line="240" w:lineRule="auto"/>
        <w:jc w:val="both"/>
        <w:rPr>
          <w:rFonts w:ascii="Times New Roman" w:eastAsia="Times New Roman" w:hAnsi="Times New Roman" w:cs="Times New Roman"/>
          <w:color w:val="000000" w:themeColor="text1"/>
          <w:sz w:val="17"/>
          <w:szCs w:val="17"/>
          <w:vertAlign w:val="superscript"/>
          <w:lang w:val="en-GB"/>
        </w:rPr>
      </w:pPr>
    </w:p>
    <w:p w14:paraId="1366D510" w14:textId="1F37F4BA" w:rsidR="00AE1880" w:rsidRPr="002254FC" w:rsidRDefault="00E1481E" w:rsidP="004C01EE">
      <w:pPr>
        <w:spacing w:after="0" w:line="240" w:lineRule="auto"/>
        <w:jc w:val="both"/>
        <w:rPr>
          <w:rFonts w:ascii="Times New Roman" w:hAnsi="Times New Roman" w:cs="Times New Roman"/>
          <w:color w:val="000000" w:themeColor="text1"/>
          <w:sz w:val="18"/>
          <w:szCs w:val="18"/>
        </w:rPr>
      </w:pPr>
      <w:r w:rsidRPr="00DE22C3">
        <w:rPr>
          <w:rFonts w:ascii="Times New Roman" w:hAnsi="Times New Roman" w:cs="Times New Roman"/>
          <w:b/>
          <w:bCs/>
          <w:color w:val="000000" w:themeColor="text1"/>
          <w:sz w:val="18"/>
          <w:szCs w:val="18"/>
        </w:rPr>
        <w:t>Conclusions</w:t>
      </w:r>
      <w:r w:rsidR="009071C8" w:rsidRPr="00DE22C3">
        <w:rPr>
          <w:rFonts w:ascii="Times New Roman" w:hAnsi="Times New Roman" w:cs="Times New Roman"/>
          <w:b/>
          <w:bCs/>
          <w:color w:val="000000" w:themeColor="text1"/>
          <w:sz w:val="18"/>
          <w:szCs w:val="18"/>
        </w:rPr>
        <w:t xml:space="preserve">: </w:t>
      </w:r>
      <w:r w:rsidR="00693F3C">
        <w:rPr>
          <w:rFonts w:ascii="Times New Roman" w:hAnsi="Times New Roman" w:cs="Times New Roman"/>
          <w:color w:val="000000" w:themeColor="text1"/>
          <w:sz w:val="18"/>
          <w:szCs w:val="18"/>
        </w:rPr>
        <w:t xml:space="preserve">This study highlights the application of ML algorithms in imputing large datasets and predicting </w:t>
      </w:r>
      <w:r w:rsidR="00143300">
        <w:rPr>
          <w:rFonts w:ascii="Times New Roman" w:hAnsi="Times New Roman" w:cs="Times New Roman"/>
          <w:color w:val="000000" w:themeColor="text1"/>
          <w:sz w:val="18"/>
          <w:szCs w:val="18"/>
        </w:rPr>
        <w:t xml:space="preserve">finisher performance. Our findings indicate that </w:t>
      </w:r>
      <w:r w:rsidR="00BC06E5">
        <w:rPr>
          <w:rFonts w:ascii="Times New Roman" w:hAnsi="Times New Roman" w:cs="Times New Roman"/>
          <w:color w:val="000000" w:themeColor="text1"/>
          <w:sz w:val="18"/>
          <w:szCs w:val="18"/>
        </w:rPr>
        <w:t xml:space="preserve">ensemble models such as stacking regression and random forest regression were the most accurate for imputation. </w:t>
      </w:r>
      <w:r w:rsidR="00C71B0A">
        <w:rPr>
          <w:rFonts w:ascii="Times New Roman" w:hAnsi="Times New Roman" w:cs="Times New Roman"/>
          <w:color w:val="000000" w:themeColor="text1"/>
          <w:sz w:val="18"/>
          <w:szCs w:val="18"/>
        </w:rPr>
        <w:t>The best algorithms for predicting finishing performance were stackin</w:t>
      </w:r>
      <w:r w:rsidR="004C01EE">
        <w:rPr>
          <w:rFonts w:ascii="Times New Roman" w:hAnsi="Times New Roman" w:cs="Times New Roman"/>
          <w:color w:val="000000" w:themeColor="text1"/>
          <w:sz w:val="18"/>
          <w:szCs w:val="18"/>
        </w:rPr>
        <w:t xml:space="preserve">g regression algorithms with LR and SVR as meta-models and SVR, </w:t>
      </w:r>
      <w:r w:rsidR="00B0001E">
        <w:rPr>
          <w:rFonts w:ascii="Times New Roman" w:hAnsi="Times New Roman" w:cs="Times New Roman"/>
          <w:color w:val="000000" w:themeColor="text1"/>
          <w:sz w:val="18"/>
          <w:szCs w:val="18"/>
        </w:rPr>
        <w:t xml:space="preserve">outperforming other methods, including linear regression, by capturing underlying data patterns more efficiently. </w:t>
      </w:r>
      <w:r w:rsidR="00FC4ED3" w:rsidRPr="00DE22C3">
        <w:rPr>
          <w:rFonts w:ascii="Times New Roman" w:hAnsi="Times New Roman" w:cs="Times New Roman"/>
          <w:color w:val="000000" w:themeColor="text1"/>
          <w:sz w:val="18"/>
          <w:szCs w:val="18"/>
        </w:rPr>
        <w:t xml:space="preserve">Our findings </w:t>
      </w:r>
      <w:r w:rsidR="00306FAB">
        <w:rPr>
          <w:rFonts w:ascii="Times New Roman" w:hAnsi="Times New Roman" w:cs="Times New Roman"/>
          <w:color w:val="000000" w:themeColor="text1"/>
          <w:sz w:val="18"/>
          <w:szCs w:val="18"/>
        </w:rPr>
        <w:t xml:space="preserve">also </w:t>
      </w:r>
      <w:r w:rsidR="00FC4ED3" w:rsidRPr="00DE22C3">
        <w:rPr>
          <w:rFonts w:ascii="Times New Roman" w:hAnsi="Times New Roman" w:cs="Times New Roman"/>
          <w:color w:val="000000" w:themeColor="text1"/>
          <w:sz w:val="18"/>
          <w:szCs w:val="18"/>
        </w:rPr>
        <w:t>reaffirm the critical role of BWT in influencing finishing performance outcomes.</w:t>
      </w:r>
    </w:p>
    <w:p w14:paraId="6A6E2252" w14:textId="77777777" w:rsidR="002254FC" w:rsidRPr="002254FC" w:rsidRDefault="002254FC" w:rsidP="002254FC">
      <w:pPr>
        <w:pStyle w:val="ANMheading1"/>
        <w:spacing w:line="240" w:lineRule="auto"/>
        <w:jc w:val="both"/>
        <w:rPr>
          <w:rFonts w:ascii="Times New Roman" w:hAnsi="Times New Roman"/>
          <w:color w:val="000000" w:themeColor="text1"/>
          <w:sz w:val="4"/>
          <w:szCs w:val="4"/>
        </w:rPr>
      </w:pPr>
    </w:p>
    <w:p w14:paraId="131DC5E1" w14:textId="60E91F99" w:rsidR="002254FC" w:rsidRDefault="00E651A0" w:rsidP="002254FC">
      <w:pPr>
        <w:pStyle w:val="ANMheading1"/>
        <w:spacing w:line="240" w:lineRule="auto"/>
        <w:jc w:val="both"/>
        <w:rPr>
          <w:rFonts w:ascii="Times New Roman" w:hAnsi="Times New Roman"/>
          <w:b w:val="0"/>
          <w:bCs/>
          <w:color w:val="000000" w:themeColor="text1"/>
          <w:sz w:val="18"/>
          <w:szCs w:val="18"/>
          <w:lang w:val="it-IT"/>
        </w:rPr>
      </w:pPr>
      <w:r w:rsidRPr="00DE22C3">
        <w:rPr>
          <w:rFonts w:ascii="Times New Roman" w:hAnsi="Times New Roman"/>
          <w:color w:val="000000" w:themeColor="text1"/>
          <w:sz w:val="18"/>
          <w:szCs w:val="18"/>
        </w:rPr>
        <w:t>Acknowledgement</w:t>
      </w:r>
      <w:r w:rsidRPr="00DE22C3">
        <w:rPr>
          <w:rFonts w:ascii="Times New Roman" w:hAnsi="Times New Roman"/>
          <w:bCs/>
          <w:color w:val="000000" w:themeColor="text1"/>
          <w:sz w:val="18"/>
          <w:szCs w:val="18"/>
        </w:rPr>
        <w:t xml:space="preserve">s </w:t>
      </w:r>
      <w:r w:rsidRPr="00DE22C3">
        <w:rPr>
          <w:rFonts w:ascii="Times New Roman" w:hAnsi="Times New Roman"/>
          <w:b w:val="0"/>
          <w:color w:val="000000" w:themeColor="text1"/>
          <w:sz w:val="18"/>
          <w:szCs w:val="18"/>
        </w:rPr>
        <w:t>Supported in part by</w:t>
      </w:r>
      <w:r w:rsidRPr="00DE22C3">
        <w:rPr>
          <w:rFonts w:ascii="Times New Roman" w:hAnsi="Times New Roman"/>
          <w:bCs/>
          <w:color w:val="000000" w:themeColor="text1"/>
          <w:sz w:val="18"/>
          <w:szCs w:val="18"/>
        </w:rPr>
        <w:t xml:space="preserve"> </w:t>
      </w:r>
      <w:r w:rsidRPr="00DE22C3">
        <w:rPr>
          <w:rFonts w:ascii="Times New Roman" w:hAnsi="Times New Roman"/>
          <w:b w:val="0"/>
          <w:color w:val="000000" w:themeColor="text1"/>
          <w:sz w:val="18"/>
          <w:szCs w:val="18"/>
        </w:rPr>
        <w:t>Innovate UK Knowledge transfer partnerships</w:t>
      </w:r>
      <w:r w:rsidRPr="00DE22C3">
        <w:rPr>
          <w:rFonts w:ascii="Times New Roman" w:hAnsi="Times New Roman"/>
          <w:b w:val="0"/>
          <w:bCs/>
          <w:color w:val="000000" w:themeColor="text1"/>
          <w:sz w:val="18"/>
          <w:szCs w:val="18"/>
        </w:rPr>
        <w:t xml:space="preserve">. </w:t>
      </w:r>
      <w:r w:rsidRPr="00DE22C3">
        <w:rPr>
          <w:rFonts w:ascii="Times New Roman" w:hAnsi="Times New Roman"/>
          <w:b w:val="0"/>
          <w:bCs/>
          <w:color w:val="000000" w:themeColor="text1"/>
          <w:sz w:val="18"/>
          <w:szCs w:val="18"/>
          <w:lang w:val="it-IT"/>
        </w:rPr>
        <w:t>Ethics approval; AWERB No. 012020MF</w:t>
      </w:r>
    </w:p>
    <w:p w14:paraId="703E6ACA" w14:textId="77777777" w:rsidR="002254FC" w:rsidRPr="002254FC" w:rsidRDefault="002254FC" w:rsidP="002254FC">
      <w:pPr>
        <w:pStyle w:val="ANMmaintext"/>
        <w:rPr>
          <w:sz w:val="4"/>
          <w:szCs w:val="4"/>
          <w:lang w:val="it-IT"/>
        </w:rPr>
      </w:pPr>
    </w:p>
    <w:p w14:paraId="1E5D757A" w14:textId="7BBCE5BE" w:rsidR="00B845D6" w:rsidRPr="00B845D6" w:rsidRDefault="00E651A0" w:rsidP="002254FC">
      <w:pPr>
        <w:pStyle w:val="ANMheading1"/>
        <w:spacing w:line="240" w:lineRule="auto"/>
        <w:jc w:val="both"/>
      </w:pPr>
      <w:r w:rsidRPr="00DE22C3">
        <w:rPr>
          <w:rFonts w:ascii="Times New Roman" w:hAnsi="Times New Roman"/>
          <w:color w:val="000000" w:themeColor="text1"/>
          <w:sz w:val="18"/>
          <w:szCs w:val="18"/>
          <w:lang w:val="it-IT"/>
        </w:rPr>
        <w:t>References</w:t>
      </w:r>
      <w:r w:rsidR="000A4914">
        <w:rPr>
          <w:rFonts w:ascii="Times New Roman" w:hAnsi="Times New Roman"/>
          <w:color w:val="000000" w:themeColor="text1"/>
          <w:sz w:val="18"/>
          <w:szCs w:val="18"/>
          <w:lang w:val="it-IT"/>
        </w:rPr>
        <w:t xml:space="preserve"> </w:t>
      </w:r>
      <w:r w:rsidR="002E3FCE" w:rsidRPr="002E3FCE">
        <w:rPr>
          <w:rFonts w:ascii="Times New Roman" w:hAnsi="Times New Roman"/>
          <w:b w:val="0"/>
          <w:bCs/>
          <w:color w:val="000000" w:themeColor="text1"/>
          <w:sz w:val="18"/>
          <w:szCs w:val="18"/>
          <w:lang w:val="it-IT"/>
        </w:rPr>
        <w:t xml:space="preserve">[1] </w:t>
      </w:r>
      <w:r w:rsidRPr="00FF1332">
        <w:rPr>
          <w:rFonts w:ascii="Times New Roman" w:hAnsi="Times New Roman"/>
          <w:b w:val="0"/>
          <w:bCs/>
          <w:color w:val="000000" w:themeColor="text1"/>
          <w:sz w:val="18"/>
          <w:szCs w:val="18"/>
        </w:rPr>
        <w:t>Comrie, A.C., 1997. Journal of the Air &amp; Waste Management Association 47, 653-663.</w:t>
      </w:r>
      <w:r w:rsidR="000A4914">
        <w:rPr>
          <w:rFonts w:ascii="Times New Roman" w:hAnsi="Times New Roman"/>
          <w:b w:val="0"/>
          <w:bCs/>
          <w:color w:val="000000" w:themeColor="text1"/>
          <w:sz w:val="18"/>
          <w:szCs w:val="18"/>
        </w:rPr>
        <w:t xml:space="preserve"> </w:t>
      </w:r>
      <w:r w:rsidR="002E3FCE">
        <w:rPr>
          <w:rFonts w:ascii="Times New Roman" w:hAnsi="Times New Roman"/>
          <w:b w:val="0"/>
          <w:bCs/>
          <w:color w:val="000000" w:themeColor="text1"/>
          <w:sz w:val="18"/>
          <w:szCs w:val="18"/>
        </w:rPr>
        <w:t xml:space="preserve">[2] </w:t>
      </w:r>
      <w:r w:rsidR="004967EF" w:rsidRPr="000A4914">
        <w:rPr>
          <w:rFonts w:ascii="Times New Roman" w:hAnsi="Times New Roman"/>
          <w:b w:val="0"/>
          <w:color w:val="000000" w:themeColor="text1"/>
          <w:sz w:val="18"/>
          <w:szCs w:val="18"/>
        </w:rPr>
        <w:t>You, K., Ellis</w:t>
      </w:r>
      <w:r w:rsidR="00E035DC" w:rsidRPr="000A4914">
        <w:rPr>
          <w:rFonts w:ascii="Times New Roman" w:hAnsi="Times New Roman"/>
          <w:b w:val="0"/>
          <w:color w:val="000000" w:themeColor="text1"/>
          <w:sz w:val="18"/>
          <w:szCs w:val="18"/>
        </w:rPr>
        <w:t xml:space="preserve">, J.L., Adams, S., Sahar, M., Jacobs, M., and </w:t>
      </w:r>
      <w:proofErr w:type="spellStart"/>
      <w:r w:rsidR="00E035DC" w:rsidRPr="000A4914">
        <w:rPr>
          <w:rFonts w:ascii="Times New Roman" w:hAnsi="Times New Roman"/>
          <w:b w:val="0"/>
          <w:color w:val="000000" w:themeColor="text1"/>
          <w:sz w:val="18"/>
          <w:szCs w:val="18"/>
        </w:rPr>
        <w:t>Tulpan</w:t>
      </w:r>
      <w:proofErr w:type="spellEnd"/>
      <w:r w:rsidR="00E035DC" w:rsidRPr="000A4914">
        <w:rPr>
          <w:rFonts w:ascii="Times New Roman" w:hAnsi="Times New Roman"/>
          <w:b w:val="0"/>
          <w:color w:val="000000" w:themeColor="text1"/>
          <w:sz w:val="18"/>
          <w:szCs w:val="18"/>
        </w:rPr>
        <w:t>, D</w:t>
      </w:r>
      <w:r w:rsidR="00FE02BB" w:rsidRPr="000A4914">
        <w:rPr>
          <w:rFonts w:ascii="Times New Roman" w:hAnsi="Times New Roman"/>
          <w:b w:val="0"/>
          <w:color w:val="000000" w:themeColor="text1"/>
          <w:sz w:val="18"/>
          <w:szCs w:val="18"/>
        </w:rPr>
        <w:t xml:space="preserve">. 2023. Animal, </w:t>
      </w:r>
      <w:r w:rsidR="005A3F8A" w:rsidRPr="000A4914">
        <w:rPr>
          <w:rFonts w:ascii="Times New Roman" w:hAnsi="Times New Roman"/>
          <w:b w:val="0"/>
          <w:color w:val="000000" w:themeColor="text1"/>
          <w:sz w:val="18"/>
          <w:szCs w:val="18"/>
        </w:rPr>
        <w:t>100921</w:t>
      </w:r>
    </w:p>
    <w:sectPr w:rsidR="00B845D6" w:rsidRPr="00B845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06F8" w14:textId="77777777" w:rsidR="00DC1AEF" w:rsidRDefault="00DC1AEF" w:rsidP="00DC1AEF">
      <w:pPr>
        <w:spacing w:after="0" w:line="240" w:lineRule="auto"/>
      </w:pPr>
      <w:r>
        <w:separator/>
      </w:r>
    </w:p>
  </w:endnote>
  <w:endnote w:type="continuationSeparator" w:id="0">
    <w:p w14:paraId="55CB7254" w14:textId="77777777" w:rsidR="00DC1AEF" w:rsidRDefault="00DC1AEF" w:rsidP="00DC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B944" w14:textId="77777777" w:rsidR="00DC1AEF" w:rsidRDefault="00DC1AEF" w:rsidP="00DC1AEF">
      <w:pPr>
        <w:spacing w:after="0" w:line="240" w:lineRule="auto"/>
      </w:pPr>
      <w:r>
        <w:separator/>
      </w:r>
    </w:p>
  </w:footnote>
  <w:footnote w:type="continuationSeparator" w:id="0">
    <w:p w14:paraId="13E56815" w14:textId="77777777" w:rsidR="00DC1AEF" w:rsidRDefault="00DC1AEF" w:rsidP="00DC1A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EC"/>
    <w:rsid w:val="00001E17"/>
    <w:rsid w:val="0001310B"/>
    <w:rsid w:val="0002075F"/>
    <w:rsid w:val="000300B9"/>
    <w:rsid w:val="0003391E"/>
    <w:rsid w:val="00041063"/>
    <w:rsid w:val="000508CF"/>
    <w:rsid w:val="00067BB1"/>
    <w:rsid w:val="00087E70"/>
    <w:rsid w:val="000A189E"/>
    <w:rsid w:val="000A4914"/>
    <w:rsid w:val="000B4411"/>
    <w:rsid w:val="000B52D5"/>
    <w:rsid w:val="000E7FF8"/>
    <w:rsid w:val="00115963"/>
    <w:rsid w:val="00123355"/>
    <w:rsid w:val="00133A6E"/>
    <w:rsid w:val="00140295"/>
    <w:rsid w:val="00143300"/>
    <w:rsid w:val="0014358C"/>
    <w:rsid w:val="00164DEA"/>
    <w:rsid w:val="0016611C"/>
    <w:rsid w:val="00172586"/>
    <w:rsid w:val="00173A23"/>
    <w:rsid w:val="00174DD4"/>
    <w:rsid w:val="0017515A"/>
    <w:rsid w:val="001776F3"/>
    <w:rsid w:val="00181FEB"/>
    <w:rsid w:val="00184096"/>
    <w:rsid w:val="00187E03"/>
    <w:rsid w:val="00194116"/>
    <w:rsid w:val="001A0F12"/>
    <w:rsid w:val="001B295B"/>
    <w:rsid w:val="001D6893"/>
    <w:rsid w:val="001F3F47"/>
    <w:rsid w:val="002176D4"/>
    <w:rsid w:val="002254FC"/>
    <w:rsid w:val="002342AD"/>
    <w:rsid w:val="00254E8D"/>
    <w:rsid w:val="00266377"/>
    <w:rsid w:val="0027221E"/>
    <w:rsid w:val="0029148F"/>
    <w:rsid w:val="00296EA9"/>
    <w:rsid w:val="002B628F"/>
    <w:rsid w:val="002E3FCE"/>
    <w:rsid w:val="002F5905"/>
    <w:rsid w:val="00303B9C"/>
    <w:rsid w:val="0030471E"/>
    <w:rsid w:val="00304C2B"/>
    <w:rsid w:val="00306FAB"/>
    <w:rsid w:val="00320C64"/>
    <w:rsid w:val="003267C8"/>
    <w:rsid w:val="003601C9"/>
    <w:rsid w:val="00374ACC"/>
    <w:rsid w:val="00380F9D"/>
    <w:rsid w:val="0038465E"/>
    <w:rsid w:val="00387018"/>
    <w:rsid w:val="003C6154"/>
    <w:rsid w:val="003E27C8"/>
    <w:rsid w:val="00400F3D"/>
    <w:rsid w:val="00403BED"/>
    <w:rsid w:val="00416DB0"/>
    <w:rsid w:val="0042147F"/>
    <w:rsid w:val="004372E1"/>
    <w:rsid w:val="004402DD"/>
    <w:rsid w:val="00443F7D"/>
    <w:rsid w:val="00453E1D"/>
    <w:rsid w:val="00461F9C"/>
    <w:rsid w:val="0048349E"/>
    <w:rsid w:val="0048540D"/>
    <w:rsid w:val="00485A36"/>
    <w:rsid w:val="004967EF"/>
    <w:rsid w:val="00497845"/>
    <w:rsid w:val="004B1A9C"/>
    <w:rsid w:val="004B4B47"/>
    <w:rsid w:val="004C01EE"/>
    <w:rsid w:val="004D33DC"/>
    <w:rsid w:val="004E2267"/>
    <w:rsid w:val="004E7AFB"/>
    <w:rsid w:val="004F5D24"/>
    <w:rsid w:val="005156C7"/>
    <w:rsid w:val="00515982"/>
    <w:rsid w:val="00531342"/>
    <w:rsid w:val="00534DA9"/>
    <w:rsid w:val="00564897"/>
    <w:rsid w:val="005A3B30"/>
    <w:rsid w:val="005A3F8A"/>
    <w:rsid w:val="005C0AF5"/>
    <w:rsid w:val="005D33EA"/>
    <w:rsid w:val="005E3F11"/>
    <w:rsid w:val="005F09A7"/>
    <w:rsid w:val="005F1E1B"/>
    <w:rsid w:val="00604E5C"/>
    <w:rsid w:val="006264FF"/>
    <w:rsid w:val="0063755F"/>
    <w:rsid w:val="00653098"/>
    <w:rsid w:val="006562E8"/>
    <w:rsid w:val="006607D8"/>
    <w:rsid w:val="00665908"/>
    <w:rsid w:val="00693F3C"/>
    <w:rsid w:val="006B46A5"/>
    <w:rsid w:val="006F10EC"/>
    <w:rsid w:val="00701467"/>
    <w:rsid w:val="00702C1F"/>
    <w:rsid w:val="00710577"/>
    <w:rsid w:val="00751827"/>
    <w:rsid w:val="00760ADF"/>
    <w:rsid w:val="00761C44"/>
    <w:rsid w:val="00772B98"/>
    <w:rsid w:val="00793E69"/>
    <w:rsid w:val="00797842"/>
    <w:rsid w:val="007A734E"/>
    <w:rsid w:val="007B3A43"/>
    <w:rsid w:val="007B3A9D"/>
    <w:rsid w:val="007C4C79"/>
    <w:rsid w:val="007C7D85"/>
    <w:rsid w:val="007D48AF"/>
    <w:rsid w:val="007D6186"/>
    <w:rsid w:val="007E2808"/>
    <w:rsid w:val="00801CEE"/>
    <w:rsid w:val="00814733"/>
    <w:rsid w:val="00825080"/>
    <w:rsid w:val="008260C0"/>
    <w:rsid w:val="008348A6"/>
    <w:rsid w:val="00861E1B"/>
    <w:rsid w:val="00864F05"/>
    <w:rsid w:val="00867DED"/>
    <w:rsid w:val="00870945"/>
    <w:rsid w:val="00893E32"/>
    <w:rsid w:val="00897F66"/>
    <w:rsid w:val="008A1F9B"/>
    <w:rsid w:val="008A583C"/>
    <w:rsid w:val="008C6E90"/>
    <w:rsid w:val="008D7CC6"/>
    <w:rsid w:val="008E4F6F"/>
    <w:rsid w:val="009071C8"/>
    <w:rsid w:val="009140F2"/>
    <w:rsid w:val="00944C89"/>
    <w:rsid w:val="0096658F"/>
    <w:rsid w:val="0097125C"/>
    <w:rsid w:val="009A1A37"/>
    <w:rsid w:val="009E063A"/>
    <w:rsid w:val="009F6F30"/>
    <w:rsid w:val="00A023A3"/>
    <w:rsid w:val="00A23FE3"/>
    <w:rsid w:val="00A30C4A"/>
    <w:rsid w:val="00A3708F"/>
    <w:rsid w:val="00AA50E9"/>
    <w:rsid w:val="00AB5927"/>
    <w:rsid w:val="00AD5B6F"/>
    <w:rsid w:val="00AE06DD"/>
    <w:rsid w:val="00AE1880"/>
    <w:rsid w:val="00AE67B4"/>
    <w:rsid w:val="00B0001E"/>
    <w:rsid w:val="00B01719"/>
    <w:rsid w:val="00B25B03"/>
    <w:rsid w:val="00B34BCE"/>
    <w:rsid w:val="00B51E90"/>
    <w:rsid w:val="00B61595"/>
    <w:rsid w:val="00B8074F"/>
    <w:rsid w:val="00B80F40"/>
    <w:rsid w:val="00B8213A"/>
    <w:rsid w:val="00B845D6"/>
    <w:rsid w:val="00BA1AF7"/>
    <w:rsid w:val="00BA4047"/>
    <w:rsid w:val="00BA7DE4"/>
    <w:rsid w:val="00BB6F8C"/>
    <w:rsid w:val="00BB7878"/>
    <w:rsid w:val="00BC06E5"/>
    <w:rsid w:val="00BD1A62"/>
    <w:rsid w:val="00C15685"/>
    <w:rsid w:val="00C26658"/>
    <w:rsid w:val="00C3433F"/>
    <w:rsid w:val="00C5679A"/>
    <w:rsid w:val="00C60DD8"/>
    <w:rsid w:val="00C62C07"/>
    <w:rsid w:val="00C67C87"/>
    <w:rsid w:val="00C70F2C"/>
    <w:rsid w:val="00C71B0A"/>
    <w:rsid w:val="00C85076"/>
    <w:rsid w:val="00C975E8"/>
    <w:rsid w:val="00CC30B5"/>
    <w:rsid w:val="00CC59BC"/>
    <w:rsid w:val="00CE3CF7"/>
    <w:rsid w:val="00CE4450"/>
    <w:rsid w:val="00CE4637"/>
    <w:rsid w:val="00CE5C81"/>
    <w:rsid w:val="00CE6222"/>
    <w:rsid w:val="00CF01C8"/>
    <w:rsid w:val="00D4396E"/>
    <w:rsid w:val="00D43DFF"/>
    <w:rsid w:val="00D5489B"/>
    <w:rsid w:val="00D61904"/>
    <w:rsid w:val="00DC1AEF"/>
    <w:rsid w:val="00DC3E5A"/>
    <w:rsid w:val="00DD2961"/>
    <w:rsid w:val="00DE22C3"/>
    <w:rsid w:val="00DE6B22"/>
    <w:rsid w:val="00DE7E03"/>
    <w:rsid w:val="00E01755"/>
    <w:rsid w:val="00E035DC"/>
    <w:rsid w:val="00E04261"/>
    <w:rsid w:val="00E120B1"/>
    <w:rsid w:val="00E1481E"/>
    <w:rsid w:val="00E444FC"/>
    <w:rsid w:val="00E651A0"/>
    <w:rsid w:val="00E674AD"/>
    <w:rsid w:val="00E67B6A"/>
    <w:rsid w:val="00E82851"/>
    <w:rsid w:val="00E84DBA"/>
    <w:rsid w:val="00E87FDA"/>
    <w:rsid w:val="00EA1087"/>
    <w:rsid w:val="00EA69CF"/>
    <w:rsid w:val="00EB399A"/>
    <w:rsid w:val="00EB6EEF"/>
    <w:rsid w:val="00EC0488"/>
    <w:rsid w:val="00EC7341"/>
    <w:rsid w:val="00ED1732"/>
    <w:rsid w:val="00ED64FF"/>
    <w:rsid w:val="00EF6A23"/>
    <w:rsid w:val="00F0423D"/>
    <w:rsid w:val="00F14A98"/>
    <w:rsid w:val="00F245EC"/>
    <w:rsid w:val="00F248DC"/>
    <w:rsid w:val="00F33A23"/>
    <w:rsid w:val="00F345D1"/>
    <w:rsid w:val="00F45042"/>
    <w:rsid w:val="00F471E7"/>
    <w:rsid w:val="00F707D3"/>
    <w:rsid w:val="00F81574"/>
    <w:rsid w:val="00F83C6E"/>
    <w:rsid w:val="00F8506C"/>
    <w:rsid w:val="00F85B4F"/>
    <w:rsid w:val="00FB353C"/>
    <w:rsid w:val="00FC2F76"/>
    <w:rsid w:val="00FC4ED3"/>
    <w:rsid w:val="00FD4AB2"/>
    <w:rsid w:val="00FE02BB"/>
    <w:rsid w:val="00FF1332"/>
    <w:rsid w:val="00FF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2AAA"/>
  <w15:docId w15:val="{FA858CE1-0D1F-449B-93A7-2D39AF45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E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Mmaintext">
    <w:name w:val="ANM main text"/>
    <w:link w:val="ANMmaintextCarCar"/>
    <w:uiPriority w:val="99"/>
    <w:qFormat/>
    <w:rsid w:val="00254E8D"/>
    <w:pPr>
      <w:spacing w:after="0" w:line="480" w:lineRule="auto"/>
    </w:pPr>
    <w:rPr>
      <w:rFonts w:ascii="Arial" w:eastAsia="Times New Roman" w:hAnsi="Arial" w:cs="Times New Roman"/>
      <w:sz w:val="24"/>
      <w:szCs w:val="24"/>
      <w:lang w:eastAsia="fr-FR"/>
    </w:rPr>
  </w:style>
  <w:style w:type="character" w:customStyle="1" w:styleId="ANMmaintextCarCar">
    <w:name w:val="ANM main text Car Car"/>
    <w:link w:val="ANMmaintext"/>
    <w:uiPriority w:val="99"/>
    <w:locked/>
    <w:rsid w:val="00254E8D"/>
    <w:rPr>
      <w:rFonts w:ascii="Arial" w:eastAsia="Times New Roman" w:hAnsi="Arial" w:cs="Times New Roman"/>
      <w:sz w:val="24"/>
      <w:szCs w:val="24"/>
      <w:lang w:eastAsia="fr-FR"/>
    </w:rPr>
  </w:style>
  <w:style w:type="paragraph" w:customStyle="1" w:styleId="ANMheading1">
    <w:name w:val="ANM heading 1"/>
    <w:next w:val="ANMmaintext"/>
    <w:link w:val="ANMheading1Car"/>
    <w:uiPriority w:val="99"/>
    <w:qFormat/>
    <w:rsid w:val="00CE3CF7"/>
    <w:pPr>
      <w:spacing w:after="0" w:line="480" w:lineRule="auto"/>
    </w:pPr>
    <w:rPr>
      <w:rFonts w:ascii="Arial" w:eastAsia="Times New Roman" w:hAnsi="Arial" w:cs="Times New Roman"/>
      <w:b/>
      <w:sz w:val="24"/>
      <w:szCs w:val="24"/>
      <w:lang w:eastAsia="fr-FR"/>
    </w:rPr>
  </w:style>
  <w:style w:type="character" w:customStyle="1" w:styleId="ANMheading1Car">
    <w:name w:val="ANM heading 1 Car"/>
    <w:link w:val="ANMheading1"/>
    <w:uiPriority w:val="99"/>
    <w:locked/>
    <w:rsid w:val="00CE3CF7"/>
    <w:rPr>
      <w:rFonts w:ascii="Arial" w:eastAsia="Times New Roman" w:hAnsi="Arial" w:cs="Times New Roman"/>
      <w:b/>
      <w:sz w:val="24"/>
      <w:szCs w:val="24"/>
      <w:lang w:eastAsia="fr-FR"/>
    </w:rPr>
  </w:style>
  <w:style w:type="character" w:styleId="LineNumber">
    <w:name w:val="line number"/>
    <w:uiPriority w:val="99"/>
    <w:rsid w:val="00CE3CF7"/>
    <w:rPr>
      <w:rFonts w:cs="Times New Roman"/>
    </w:rPr>
  </w:style>
  <w:style w:type="table" w:styleId="TableGrid">
    <w:name w:val="Table Grid"/>
    <w:basedOn w:val="TableNormal"/>
    <w:uiPriority w:val="99"/>
    <w:rsid w:val="00CE3CF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tblPr>
      <w:tblBorders>
        <w:top w:val="single" w:sz="4" w:space="0" w:color="auto"/>
        <w:bottom w:val="single" w:sz="4" w:space="0" w:color="auto"/>
      </w:tblBorders>
    </w:tblPr>
  </w:style>
  <w:style w:type="paragraph" w:customStyle="1" w:styleId="ANMauthorname">
    <w:name w:val="ANM author name"/>
    <w:uiPriority w:val="99"/>
    <w:qFormat/>
    <w:rsid w:val="00D5489B"/>
    <w:pPr>
      <w:spacing w:after="0" w:line="480" w:lineRule="auto"/>
    </w:pPr>
    <w:rPr>
      <w:rFonts w:ascii="Arial" w:eastAsia="Times New Roman" w:hAnsi="Arial" w:cs="Times New Roman"/>
      <w:sz w:val="24"/>
      <w:szCs w:val="24"/>
      <w:lang w:eastAsia="fr-FR"/>
    </w:rPr>
  </w:style>
  <w:style w:type="character" w:styleId="Hyperlink">
    <w:name w:val="Hyperlink"/>
    <w:uiPriority w:val="99"/>
    <w:unhideWhenUsed/>
    <w:rsid w:val="00D5489B"/>
    <w:rPr>
      <w:color w:val="0000FF"/>
      <w:u w:val="single"/>
    </w:rPr>
  </w:style>
  <w:style w:type="paragraph" w:styleId="NormalWeb">
    <w:name w:val="Normal (Web)"/>
    <w:basedOn w:val="Normal"/>
    <w:uiPriority w:val="99"/>
    <w:semiHidden/>
    <w:unhideWhenUsed/>
    <w:rsid w:val="00A23F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C1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AEF"/>
    <w:rPr>
      <w:lang w:val="en-AU"/>
    </w:rPr>
  </w:style>
  <w:style w:type="paragraph" w:styleId="Footer">
    <w:name w:val="footer"/>
    <w:basedOn w:val="Normal"/>
    <w:link w:val="FooterChar"/>
    <w:uiPriority w:val="99"/>
    <w:unhideWhenUsed/>
    <w:rsid w:val="00DC1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AE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716569">
      <w:bodyDiv w:val="1"/>
      <w:marLeft w:val="0"/>
      <w:marRight w:val="0"/>
      <w:marTop w:val="0"/>
      <w:marBottom w:val="0"/>
      <w:divBdr>
        <w:top w:val="none" w:sz="0" w:space="0" w:color="auto"/>
        <w:left w:val="none" w:sz="0" w:space="0" w:color="auto"/>
        <w:bottom w:val="none" w:sz="0" w:space="0" w:color="auto"/>
        <w:right w:val="none" w:sz="0" w:space="0" w:color="auto"/>
      </w:divBdr>
    </w:div>
    <w:div w:id="196472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Udani Wijesiriwardana</dc:creator>
  <cp:keywords/>
  <dc:description/>
  <cp:lastModifiedBy>Udani Wijesiriwardana</cp:lastModifiedBy>
  <cp:revision>25</cp:revision>
  <dcterms:created xsi:type="dcterms:W3CDTF">2024-01-19T11:37:00Z</dcterms:created>
  <dcterms:modified xsi:type="dcterms:W3CDTF">2024-01-19T16:59:00Z</dcterms:modified>
</cp:coreProperties>
</file>