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3C90" w14:textId="708D1DE5" w:rsidR="00AB19C0" w:rsidRDefault="00536B81" w:rsidP="00DF7AE6">
      <w:pPr>
        <w:jc w:val="both"/>
      </w:pPr>
      <w:r w:rsidRPr="00536B81">
        <w:rPr>
          <w:b/>
          <w:bCs/>
        </w:rPr>
        <w:t>Parker-Norman, S. L.</w:t>
      </w:r>
      <w:r w:rsidR="004B2CEF">
        <w:rPr>
          <w:b/>
          <w:bCs/>
        </w:rPr>
        <w:t xml:space="preserve"> </w:t>
      </w:r>
      <w:r>
        <w:t xml:space="preserve">and Woodrow, M. D. </w:t>
      </w:r>
    </w:p>
    <w:p w14:paraId="31B39307" w14:textId="401122E2" w:rsidR="00AB19C0" w:rsidRPr="00F76183" w:rsidRDefault="00536B81" w:rsidP="00DF7AE6">
      <w:pPr>
        <w:jc w:val="both"/>
        <w:rPr>
          <w:b/>
          <w:bCs/>
        </w:rPr>
      </w:pPr>
      <w:r w:rsidRPr="00B46989">
        <w:rPr>
          <w:b/>
          <w:bCs/>
        </w:rPr>
        <w:t>Feeding the Immune System</w:t>
      </w:r>
      <w:r w:rsidR="00AB19C0" w:rsidRPr="00B46989">
        <w:rPr>
          <w:b/>
          <w:bCs/>
        </w:rPr>
        <w:t>: Perspectives from the Feed Additive Industry</w:t>
      </w:r>
    </w:p>
    <w:p w14:paraId="3A764AC1" w14:textId="61CE3411" w:rsidR="00536B81" w:rsidRDefault="00536B81" w:rsidP="00DF7AE6">
      <w:pPr>
        <w:jc w:val="both"/>
      </w:pPr>
      <w:r>
        <w:t>The body of science of animal nutrition has entered a new era in which the collective understanding and synergies of other biological systems</w:t>
      </w:r>
      <w:r w:rsidR="00B46989">
        <w:t>, has become critical to future advancement. Nutritionists of today</w:t>
      </w:r>
      <w:r w:rsidR="00DF7AE6">
        <w:t xml:space="preserve"> and the future</w:t>
      </w:r>
      <w:r w:rsidR="00B46989">
        <w:t xml:space="preserve"> must work within an understanding of other biological systems, including the immune system</w:t>
      </w:r>
      <w:r w:rsidR="00DF7AE6">
        <w:t>.</w:t>
      </w:r>
      <w:r w:rsidR="00B46989">
        <w:t xml:space="preserve"> This requirement presents opportunity to change nutritional applications and</w:t>
      </w:r>
      <w:r w:rsidR="00D33210">
        <w:t xml:space="preserve"> offers the feed additive sector</w:t>
      </w:r>
      <w:r w:rsidR="00DF7AE6">
        <w:t>,</w:t>
      </w:r>
      <w:r w:rsidR="00D33210">
        <w:t xml:space="preserve"> product development </w:t>
      </w:r>
      <w:r w:rsidR="007A384F">
        <w:t xml:space="preserve">opportunities. </w:t>
      </w:r>
    </w:p>
    <w:p w14:paraId="40D17D1F" w14:textId="796A9752" w:rsidR="007A384F" w:rsidRDefault="007A384F" w:rsidP="00DF7AE6">
      <w:pPr>
        <w:jc w:val="both"/>
      </w:pPr>
      <w:r>
        <w:t>When considering the immune status of a production animal, there are two avenues of consideration for practical nutrition. The first of these is the plane of nutrition. The understanding of the energetic requirement for an immunological response</w:t>
      </w:r>
      <w:r w:rsidR="004B2CEF">
        <w:t>,</w:t>
      </w:r>
      <w:r>
        <w:t xml:space="preserve"> and associated nutrient repartitioning, has been </w:t>
      </w:r>
      <w:r w:rsidR="00E40B72">
        <w:t>modelled</w:t>
      </w:r>
      <w:r>
        <w:t xml:space="preserve"> well in recent years</w:t>
      </w:r>
      <w:r w:rsidR="004B2CEF">
        <w:t xml:space="preserve"> (Kvidera </w:t>
      </w:r>
      <w:r w:rsidR="004B2CEF" w:rsidRPr="005D3D00">
        <w:rPr>
          <w:i/>
          <w:iCs/>
        </w:rPr>
        <w:t>et al.</w:t>
      </w:r>
      <w:r w:rsidR="004B2CEF">
        <w:t xml:space="preserve"> 2017a; Kvidera </w:t>
      </w:r>
      <w:r w:rsidR="004B2CEF" w:rsidRPr="005D3D00">
        <w:rPr>
          <w:i/>
          <w:iCs/>
        </w:rPr>
        <w:t>et al.</w:t>
      </w:r>
      <w:r w:rsidR="004B2CEF">
        <w:t xml:space="preserve"> 2017b). </w:t>
      </w:r>
      <w:r w:rsidR="008C65C5">
        <w:t>For example</w:t>
      </w:r>
      <w:r>
        <w:t>,</w:t>
      </w:r>
      <w:r w:rsidR="008C65C5">
        <w:t xml:space="preserve"> work by Kvidera </w:t>
      </w:r>
      <w:r w:rsidR="008C65C5" w:rsidRPr="005D3D00">
        <w:rPr>
          <w:i/>
          <w:iCs/>
        </w:rPr>
        <w:t xml:space="preserve">et al. </w:t>
      </w:r>
      <w:r w:rsidR="005D3D00">
        <w:t>(</w:t>
      </w:r>
      <w:r w:rsidR="008C65C5">
        <w:t>2017</w:t>
      </w:r>
      <w:r w:rsidR="005D3D00">
        <w:t>)</w:t>
      </w:r>
      <w:r w:rsidR="008C65C5">
        <w:t xml:space="preserve"> has demonstrated that the</w:t>
      </w:r>
      <w:r>
        <w:t xml:space="preserve"> Holstein cow requir</w:t>
      </w:r>
      <w:r w:rsidR="008C65C5">
        <w:t>es</w:t>
      </w:r>
      <w:r>
        <w:t xml:space="preserve"> &gt;1kg of glucose for a </w:t>
      </w:r>
      <w:proofErr w:type="gramStart"/>
      <w:r>
        <w:t>12 hour</w:t>
      </w:r>
      <w:proofErr w:type="gramEnd"/>
      <w:r>
        <w:t xml:space="preserve"> active immune response</w:t>
      </w:r>
      <w:r w:rsidR="008C65C5">
        <w:t xml:space="preserve"> induced by lipopolysaccharide (LPS) infusion</w:t>
      </w:r>
      <w:r w:rsidR="004B2CEF">
        <w:t xml:space="preserve"> (Kvidera </w:t>
      </w:r>
      <w:r w:rsidR="004B2CEF" w:rsidRPr="005D3D00">
        <w:rPr>
          <w:i/>
          <w:iCs/>
        </w:rPr>
        <w:t xml:space="preserve">et al. </w:t>
      </w:r>
      <w:r w:rsidR="004B2CEF">
        <w:t>2017a)</w:t>
      </w:r>
      <w:r>
        <w:t xml:space="preserve">. </w:t>
      </w:r>
    </w:p>
    <w:p w14:paraId="31EF6FE2" w14:textId="54A020F0" w:rsidR="0012238F" w:rsidRDefault="0012238F" w:rsidP="00DF7AE6">
      <w:pPr>
        <w:jc w:val="both"/>
      </w:pPr>
      <w:r>
        <w:t>Feed additive approaches can be further split into categories. For example, there are direct impacts of postbiotic ingredients. In 2021 the International Scientific Association of Probiotics and Prebiotics (ISAPP) proposed the following definition for the term postbiotic: ‘a preparation of inanimate microorganisms and/or their components that confers a heath benefit on the host’</w:t>
      </w:r>
      <w:r w:rsidR="005D3D00">
        <w:t xml:space="preserve"> (Salminen </w:t>
      </w:r>
      <w:r w:rsidR="005D3D00" w:rsidRPr="005D3D00">
        <w:rPr>
          <w:i/>
          <w:iCs/>
        </w:rPr>
        <w:t>et al.</w:t>
      </w:r>
      <w:r w:rsidR="005D3D00">
        <w:t xml:space="preserve"> 2021)</w:t>
      </w:r>
      <w:r>
        <w:t xml:space="preserve">. Previously the yeast product (non-living yeast ingredients) sector has discussed, at a commercial level, the potential benefits to immune support, however it is only recently that postbiotic modes of action are being characterised both </w:t>
      </w:r>
      <w:r w:rsidRPr="00E40B72">
        <w:rPr>
          <w:i/>
          <w:iCs/>
        </w:rPr>
        <w:t>in vitro</w:t>
      </w:r>
      <w:r>
        <w:t xml:space="preserve"> and </w:t>
      </w:r>
      <w:r w:rsidRPr="00E40B72">
        <w:rPr>
          <w:i/>
          <w:iCs/>
        </w:rPr>
        <w:t>in vivo.</w:t>
      </w:r>
      <w:r>
        <w:t xml:space="preserve"> </w:t>
      </w:r>
    </w:p>
    <w:p w14:paraId="5ED9ED40" w14:textId="608CB6D0" w:rsidR="0012238F" w:rsidRDefault="0012238F" w:rsidP="00DF7AE6">
      <w:pPr>
        <w:jc w:val="both"/>
      </w:pPr>
      <w:r>
        <w:t>Postbiotic functionalities could be considered as a direct impact however there are some feed additives that could be considered to have an indirect impact. Considering the increased demand for energy at times of stress and during an activated immune response, enzymes, allowing for improved nutrient availability, have a role to play in meeting increased energy requirement within a limited dry matter intake (DMI) of fresh cows. In the same way,</w:t>
      </w:r>
      <w:r w:rsidR="005D3D00">
        <w:t xml:space="preserve"> </w:t>
      </w:r>
      <w:r>
        <w:t>silage additives</w:t>
      </w:r>
      <w:r w:rsidR="00E40B72">
        <w:t>,</w:t>
      </w:r>
      <w:r>
        <w:t xml:space="preserve"> which improve fermentation profile of ensiled forages</w:t>
      </w:r>
      <w:r w:rsidR="00E40B72">
        <w:t>,</w:t>
      </w:r>
      <w:r>
        <w:t xml:space="preserve"> also offer opportunity for maximising nutrient availability per kg of forage DMI</w:t>
      </w:r>
      <w:r w:rsidR="0035087A">
        <w:t xml:space="preserve"> (Muck </w:t>
      </w:r>
      <w:r w:rsidR="0035087A" w:rsidRPr="0035087A">
        <w:rPr>
          <w:i/>
          <w:iCs/>
        </w:rPr>
        <w:t>et al.</w:t>
      </w:r>
      <w:r w:rsidR="0035087A">
        <w:t xml:space="preserve"> 2018)</w:t>
      </w:r>
      <w:r>
        <w:t xml:space="preserve">. </w:t>
      </w:r>
    </w:p>
    <w:p w14:paraId="381CB7DD" w14:textId="74F54BE8" w:rsidR="0012238F" w:rsidRDefault="0012238F" w:rsidP="00DF7AE6">
      <w:pPr>
        <w:jc w:val="both"/>
      </w:pPr>
      <w:r>
        <w:t>A third category of feed additives is better described as a mitigator of potential inflammatory challenge. Both mycotoxins and endotoxins present a challenge to the production animal. The endotoxin challenge is particularly relevant to ruminant nutrition due to the physiology of ruminant animals</w:t>
      </w:r>
      <w:r w:rsidR="0035087A">
        <w:t xml:space="preserve"> (McDaniel </w:t>
      </w:r>
      <w:r w:rsidR="0035087A" w:rsidRPr="0035087A">
        <w:rPr>
          <w:i/>
          <w:iCs/>
        </w:rPr>
        <w:t xml:space="preserve">et al. </w:t>
      </w:r>
      <w:r w:rsidR="0035087A">
        <w:t xml:space="preserve">2023). </w:t>
      </w:r>
    </w:p>
    <w:p w14:paraId="3853CF45" w14:textId="45B47C1D" w:rsidR="0012238F" w:rsidRDefault="0012238F" w:rsidP="00DF7AE6">
      <w:pPr>
        <w:jc w:val="both"/>
      </w:pPr>
      <w:r>
        <w:t xml:space="preserve">As the scientific frontiers of nutrition and immunology begin to close the gap, the commercial nutrition industry must become </w:t>
      </w:r>
      <w:r w:rsidR="00E40B72">
        <w:t>technicians</w:t>
      </w:r>
      <w:r>
        <w:t xml:space="preserve"> of their application. This paper will present a practical understanding of how this can be applied, and how product development is being influenced. </w:t>
      </w:r>
    </w:p>
    <w:p w14:paraId="33BB9BAC" w14:textId="62BAF1DA" w:rsidR="0012238F" w:rsidRPr="00E40B72" w:rsidRDefault="0012238F" w:rsidP="00DF7AE6">
      <w:pPr>
        <w:jc w:val="both"/>
        <w:rPr>
          <w:b/>
          <w:bCs/>
        </w:rPr>
      </w:pPr>
      <w:r w:rsidRPr="00E40B72">
        <w:rPr>
          <w:b/>
          <w:bCs/>
        </w:rPr>
        <w:t xml:space="preserve">References: </w:t>
      </w:r>
    </w:p>
    <w:p w14:paraId="1881C179" w14:textId="0FF901D2" w:rsidR="0012238F" w:rsidRDefault="0035087A" w:rsidP="00DF7AE6">
      <w:pPr>
        <w:jc w:val="both"/>
      </w:pPr>
      <w:r>
        <w:t xml:space="preserve">Kvidera, S. K., Horst, E. A., </w:t>
      </w:r>
      <w:proofErr w:type="spellStart"/>
      <w:r>
        <w:t>Abuajamieh</w:t>
      </w:r>
      <w:proofErr w:type="spellEnd"/>
      <w:r>
        <w:t xml:space="preserve">, M., Mayorga, E. J., Sanz Fernandez, M. V. and Baumgard, L. H. (2017a). ‘Glucose requirements of an activated immune system in lactating Holstein </w:t>
      </w:r>
      <w:proofErr w:type="gramStart"/>
      <w:r>
        <w:t>cows’</w:t>
      </w:r>
      <w:proofErr w:type="gramEnd"/>
      <w:r>
        <w:t xml:space="preserve">. </w:t>
      </w:r>
      <w:r w:rsidRPr="0035087A">
        <w:rPr>
          <w:i/>
          <w:iCs/>
        </w:rPr>
        <w:t>Journal of Dairy Science.</w:t>
      </w:r>
      <w:r>
        <w:t xml:space="preserve"> 100: 2360 – 2374</w:t>
      </w:r>
    </w:p>
    <w:p w14:paraId="3888F56E" w14:textId="38F667E8" w:rsidR="0035087A" w:rsidRDefault="0035087A" w:rsidP="00DF7AE6">
      <w:pPr>
        <w:jc w:val="both"/>
      </w:pPr>
      <w:r>
        <w:lastRenderedPageBreak/>
        <w:t xml:space="preserve">Kvidera, S. K., Horst, E. A., Mayorga, E. J., Sanz-Fernandez, M. V., </w:t>
      </w:r>
      <w:proofErr w:type="spellStart"/>
      <w:r>
        <w:t>Abuajamieh</w:t>
      </w:r>
      <w:proofErr w:type="spellEnd"/>
      <w:r>
        <w:t xml:space="preserve">, M. and Baumgard, L. H. (2017b). </w:t>
      </w:r>
      <w:r w:rsidR="00DF7AE6">
        <w:t xml:space="preserve">‘Estimating glucose requirements of an activated immune system in growing </w:t>
      </w:r>
      <w:proofErr w:type="gramStart"/>
      <w:r w:rsidR="00DF7AE6">
        <w:t>pigs’</w:t>
      </w:r>
      <w:proofErr w:type="gramEnd"/>
      <w:r w:rsidR="00DF7AE6">
        <w:t xml:space="preserve">. </w:t>
      </w:r>
      <w:r w:rsidR="00DF7AE6" w:rsidRPr="00DF7AE6">
        <w:rPr>
          <w:i/>
          <w:iCs/>
        </w:rPr>
        <w:t xml:space="preserve">Journal of Animal Science. </w:t>
      </w:r>
      <w:r w:rsidR="00DF7AE6">
        <w:t>95: 5020 – 5029</w:t>
      </w:r>
    </w:p>
    <w:p w14:paraId="06D598A6" w14:textId="1958254A" w:rsidR="00DF7AE6" w:rsidRDefault="00DF7AE6" w:rsidP="00DF7AE6">
      <w:pPr>
        <w:jc w:val="both"/>
      </w:pPr>
      <w:r>
        <w:t xml:space="preserve">McDaniel, Z. S., Hales, K. E. Nagaraja, T. G., Lawrence, T. E., </w:t>
      </w:r>
      <w:proofErr w:type="spellStart"/>
      <w:r>
        <w:t>Amachawadi</w:t>
      </w:r>
      <w:proofErr w:type="spellEnd"/>
      <w:r>
        <w:t xml:space="preserve">, R. G., Carroll, J. A., Sanchez, N. C., Galyean, M. L., Smock, T. M., Ballou, M. A., Machado, V. S. and Broadway, P. R. (2023). ‘Short communication: evaluation of an endotoxin challenge and intraruminal bacterial inoculation model to induce liver abscesses in Holstein </w:t>
      </w:r>
      <w:proofErr w:type="gramStart"/>
      <w:r>
        <w:t>steers’</w:t>
      </w:r>
      <w:proofErr w:type="gramEnd"/>
      <w:r>
        <w:t xml:space="preserve">. </w:t>
      </w:r>
      <w:r w:rsidRPr="00DF7AE6">
        <w:rPr>
          <w:i/>
          <w:iCs/>
        </w:rPr>
        <w:t>Journal of Animal Science</w:t>
      </w:r>
      <w:r>
        <w:t xml:space="preserve">. </w:t>
      </w:r>
      <w:proofErr w:type="gramStart"/>
      <w:r>
        <w:t>101:skad</w:t>
      </w:r>
      <w:proofErr w:type="gramEnd"/>
      <w:r>
        <w:t>242</w:t>
      </w:r>
    </w:p>
    <w:p w14:paraId="287D5160" w14:textId="726614EC" w:rsidR="00DF7AE6" w:rsidRDefault="00DF7AE6" w:rsidP="00DF7AE6">
      <w:pPr>
        <w:jc w:val="both"/>
      </w:pPr>
      <w:r>
        <w:t xml:space="preserve">Muck, R. E., Nadeau, E. M. G., McAllister, T. A., Contreras-Govea, F. E., Santos, M. C. and Kung Jr., L. (2018). </w:t>
      </w:r>
      <w:r w:rsidRPr="00DF7AE6">
        <w:rPr>
          <w:i/>
          <w:iCs/>
        </w:rPr>
        <w:t>Journal of Dairy Science.</w:t>
      </w:r>
      <w:r>
        <w:t xml:space="preserve"> 101(5): 3980 – 4000</w:t>
      </w:r>
    </w:p>
    <w:p w14:paraId="1532748E" w14:textId="24928493" w:rsidR="00DF7AE6" w:rsidRDefault="00DF7AE6" w:rsidP="00DF7AE6">
      <w:pPr>
        <w:jc w:val="both"/>
      </w:pPr>
      <w:r>
        <w:t xml:space="preserve">Salminen, S., Collado, M. C., Endo, A., Hill, C., </w:t>
      </w:r>
      <w:proofErr w:type="spellStart"/>
      <w:r>
        <w:t>Lebeer</w:t>
      </w:r>
      <w:proofErr w:type="spellEnd"/>
      <w:r>
        <w:t xml:space="preserve">, S., Quigley, E. M. M., Sanders, M. E., Shamir, R., Swann, J. R., </w:t>
      </w:r>
      <w:proofErr w:type="spellStart"/>
      <w:r>
        <w:t>Szajewska</w:t>
      </w:r>
      <w:proofErr w:type="spellEnd"/>
      <w:r>
        <w:t xml:space="preserve">, H. and </w:t>
      </w:r>
      <w:proofErr w:type="spellStart"/>
      <w:r>
        <w:t>Vinderola</w:t>
      </w:r>
      <w:proofErr w:type="spellEnd"/>
      <w:r>
        <w:t xml:space="preserve">, G. (2021). ‘The international scientific association of probiotics and prebiotics (ISAPP) consensus statement on the definition and scope for postbiotics’. </w:t>
      </w:r>
      <w:r w:rsidRPr="00DF7AE6">
        <w:rPr>
          <w:i/>
          <w:iCs/>
        </w:rPr>
        <w:t>Nature Reviews Gastroenterology and Hepatology</w:t>
      </w:r>
      <w:r>
        <w:t xml:space="preserve">. 18: 649 – 667 </w:t>
      </w:r>
    </w:p>
    <w:p w14:paraId="0D4A5361" w14:textId="77777777" w:rsidR="00DF7AE6" w:rsidRDefault="00DF7AE6"/>
    <w:p w14:paraId="776C6288" w14:textId="77777777" w:rsidR="0012238F" w:rsidRDefault="0012238F"/>
    <w:p w14:paraId="4D858ACD" w14:textId="77777777" w:rsidR="0012238F" w:rsidRDefault="0012238F"/>
    <w:sectPr w:rsidR="00122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C0"/>
    <w:rsid w:val="0012238F"/>
    <w:rsid w:val="00301883"/>
    <w:rsid w:val="0035087A"/>
    <w:rsid w:val="004B2CEF"/>
    <w:rsid w:val="00536B81"/>
    <w:rsid w:val="005D3D00"/>
    <w:rsid w:val="007A384F"/>
    <w:rsid w:val="008C65C5"/>
    <w:rsid w:val="00AB19C0"/>
    <w:rsid w:val="00B46989"/>
    <w:rsid w:val="00C702FF"/>
    <w:rsid w:val="00CE379C"/>
    <w:rsid w:val="00D33210"/>
    <w:rsid w:val="00DF7AE6"/>
    <w:rsid w:val="00E34AD7"/>
    <w:rsid w:val="00E40B72"/>
    <w:rsid w:val="00F02646"/>
    <w:rsid w:val="00F7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2364"/>
  <w15:chartTrackingRefBased/>
  <w15:docId w15:val="{3C19F238-9607-480B-8457-AEC68E00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C0"/>
    <w:rPr>
      <w:rFonts w:eastAsiaTheme="majorEastAsia" w:cstheme="majorBidi"/>
      <w:color w:val="272727" w:themeColor="text1" w:themeTint="D8"/>
    </w:rPr>
  </w:style>
  <w:style w:type="paragraph" w:styleId="Title">
    <w:name w:val="Title"/>
    <w:basedOn w:val="Normal"/>
    <w:next w:val="Normal"/>
    <w:link w:val="TitleChar"/>
    <w:uiPriority w:val="10"/>
    <w:qFormat/>
    <w:rsid w:val="00AB1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C0"/>
    <w:pPr>
      <w:spacing w:before="160"/>
      <w:jc w:val="center"/>
    </w:pPr>
    <w:rPr>
      <w:i/>
      <w:iCs/>
      <w:color w:val="404040" w:themeColor="text1" w:themeTint="BF"/>
    </w:rPr>
  </w:style>
  <w:style w:type="character" w:customStyle="1" w:styleId="QuoteChar">
    <w:name w:val="Quote Char"/>
    <w:basedOn w:val="DefaultParagraphFont"/>
    <w:link w:val="Quote"/>
    <w:uiPriority w:val="29"/>
    <w:rsid w:val="00AB19C0"/>
    <w:rPr>
      <w:i/>
      <w:iCs/>
      <w:color w:val="404040" w:themeColor="text1" w:themeTint="BF"/>
    </w:rPr>
  </w:style>
  <w:style w:type="paragraph" w:styleId="ListParagraph">
    <w:name w:val="List Paragraph"/>
    <w:basedOn w:val="Normal"/>
    <w:uiPriority w:val="34"/>
    <w:qFormat/>
    <w:rsid w:val="00AB19C0"/>
    <w:pPr>
      <w:ind w:left="720"/>
      <w:contextualSpacing/>
    </w:pPr>
  </w:style>
  <w:style w:type="character" w:styleId="IntenseEmphasis">
    <w:name w:val="Intense Emphasis"/>
    <w:basedOn w:val="DefaultParagraphFont"/>
    <w:uiPriority w:val="21"/>
    <w:qFormat/>
    <w:rsid w:val="00AB19C0"/>
    <w:rPr>
      <w:i/>
      <w:iCs/>
      <w:color w:val="0F4761" w:themeColor="accent1" w:themeShade="BF"/>
    </w:rPr>
  </w:style>
  <w:style w:type="paragraph" w:styleId="IntenseQuote">
    <w:name w:val="Intense Quote"/>
    <w:basedOn w:val="Normal"/>
    <w:next w:val="Normal"/>
    <w:link w:val="IntenseQuoteChar"/>
    <w:uiPriority w:val="30"/>
    <w:qFormat/>
    <w:rsid w:val="00AB1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9C0"/>
    <w:rPr>
      <w:i/>
      <w:iCs/>
      <w:color w:val="0F4761" w:themeColor="accent1" w:themeShade="BF"/>
    </w:rPr>
  </w:style>
  <w:style w:type="character" w:styleId="IntenseReference">
    <w:name w:val="Intense Reference"/>
    <w:basedOn w:val="DefaultParagraphFont"/>
    <w:uiPriority w:val="32"/>
    <w:qFormat/>
    <w:rsid w:val="00AB19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1A07DB5E-ECFE-47AF-8611-D3C297C013C6}"/>
</file>

<file path=customXml/itemProps2.xml><?xml version="1.0" encoding="utf-8"?>
<ds:datastoreItem xmlns:ds="http://schemas.openxmlformats.org/officeDocument/2006/customXml" ds:itemID="{1C95F5B9-21F1-43FD-AB01-F580A94A8531}">
  <ds:schemaRefs>
    <ds:schemaRef ds:uri="http://schemas.microsoft.com/sharepoint/v3/contenttype/forms"/>
  </ds:schemaRefs>
</ds:datastoreItem>
</file>

<file path=customXml/itemProps3.xml><?xml version="1.0" encoding="utf-8"?>
<ds:datastoreItem xmlns:ds="http://schemas.openxmlformats.org/officeDocument/2006/customXml" ds:itemID="{A8425C03-DF0F-4451-B76D-3DB3D09763C4}">
  <ds:schemaRefs>
    <ds:schemaRef ds:uri="http://schemas.microsoft.com/office/infopath/2007/PartnerControls"/>
    <ds:schemaRef ds:uri="http://purl.org/dc/elements/1.1/"/>
    <ds:schemaRef ds:uri="a2d9daa9-2f42-47f3-90ce-4932b02a38bf"/>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Volac International</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Parker-Norman</dc:creator>
  <cp:keywords/>
  <dc:description/>
  <cp:lastModifiedBy>Sophie Parker-Norman</cp:lastModifiedBy>
  <cp:revision>2</cp:revision>
  <dcterms:created xsi:type="dcterms:W3CDTF">2024-01-15T17:10:00Z</dcterms:created>
  <dcterms:modified xsi:type="dcterms:W3CDTF">2024-01-15T17:10:00Z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0x010100E13B62D5613268459817CA470A27505C</vt:lpwstr>
  </property>
</Properties>
</file>