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64F4" w14:textId="77777777" w:rsidR="00141524" w:rsidRPr="00791033" w:rsidRDefault="00141524" w:rsidP="00141524">
      <w:pPr>
        <w:pStyle w:val="Default"/>
        <w:jc w:val="both"/>
        <w:rPr>
          <w:sz w:val="18"/>
          <w:szCs w:val="18"/>
          <w:lang w:val="en-US"/>
        </w:rPr>
      </w:pPr>
      <w:r w:rsidRPr="00791033">
        <w:rPr>
          <w:b/>
          <w:bCs/>
          <w:sz w:val="18"/>
          <w:szCs w:val="18"/>
          <w:lang w:val="en-US"/>
        </w:rPr>
        <w:t xml:space="preserve">Interaction between colostrum and milk replacer </w:t>
      </w:r>
      <w:r>
        <w:rPr>
          <w:b/>
          <w:bCs/>
          <w:sz w:val="18"/>
          <w:szCs w:val="18"/>
          <w:lang w:val="en-US"/>
        </w:rPr>
        <w:t>supply</w:t>
      </w:r>
      <w:r w:rsidRPr="00791033">
        <w:rPr>
          <w:b/>
          <w:bCs/>
          <w:sz w:val="18"/>
          <w:szCs w:val="18"/>
          <w:lang w:val="en-US"/>
        </w:rPr>
        <w:t xml:space="preserve"> on growth and gastrointestinal development </w:t>
      </w:r>
      <w:r>
        <w:rPr>
          <w:b/>
          <w:bCs/>
          <w:sz w:val="18"/>
          <w:szCs w:val="18"/>
          <w:lang w:val="en-US"/>
        </w:rPr>
        <w:t xml:space="preserve">of dairy </w:t>
      </w:r>
      <w:r w:rsidRPr="00791033">
        <w:rPr>
          <w:b/>
          <w:bCs/>
          <w:sz w:val="18"/>
          <w:szCs w:val="18"/>
          <w:lang w:val="en-US"/>
        </w:rPr>
        <w:t>surplus calves.</w:t>
      </w:r>
    </w:p>
    <w:p w14:paraId="23ACB101" w14:textId="2E4559CA" w:rsidR="0025353B" w:rsidRPr="00791033" w:rsidRDefault="00D43589" w:rsidP="007774FE">
      <w:pPr>
        <w:pStyle w:val="Default"/>
        <w:jc w:val="both"/>
        <w:rPr>
          <w:sz w:val="18"/>
          <w:szCs w:val="18"/>
          <w:lang w:val="en-US"/>
        </w:rPr>
      </w:pPr>
      <w:r w:rsidRPr="00791033">
        <w:rPr>
          <w:sz w:val="18"/>
          <w:szCs w:val="18"/>
          <w:lang w:val="en-US"/>
        </w:rPr>
        <w:t>J. Echeverry-Munera</w:t>
      </w:r>
      <w:r w:rsidRPr="00791033">
        <w:rPr>
          <w:sz w:val="18"/>
          <w:szCs w:val="18"/>
          <w:vertAlign w:val="superscript"/>
          <w:lang w:val="en-US"/>
        </w:rPr>
        <w:t>1,2</w:t>
      </w:r>
      <w:r w:rsidR="00FF0F86" w:rsidRPr="00791033">
        <w:rPr>
          <w:sz w:val="18"/>
          <w:szCs w:val="18"/>
          <w:vertAlign w:val="superscript"/>
          <w:lang w:val="en-US"/>
        </w:rPr>
        <w:t>,3</w:t>
      </w:r>
      <w:r w:rsidRPr="00791033">
        <w:rPr>
          <w:sz w:val="18"/>
          <w:szCs w:val="18"/>
          <w:lang w:val="en-US"/>
        </w:rPr>
        <w:t>, S. Mart</w:t>
      </w:r>
      <w:r w:rsidR="00E47C9C" w:rsidRPr="00791033">
        <w:rPr>
          <w:sz w:val="18"/>
          <w:szCs w:val="18"/>
          <w:lang w:val="en-US"/>
        </w:rPr>
        <w:t>i</w:t>
      </w:r>
      <w:r w:rsidRPr="00791033">
        <w:rPr>
          <w:sz w:val="18"/>
          <w:szCs w:val="18"/>
          <w:vertAlign w:val="superscript"/>
          <w:lang w:val="en-US"/>
        </w:rPr>
        <w:t>3</w:t>
      </w:r>
      <w:r w:rsidRPr="00791033">
        <w:rPr>
          <w:sz w:val="18"/>
          <w:szCs w:val="18"/>
          <w:lang w:val="en-US"/>
        </w:rPr>
        <w:t>, M. A. Steele</w:t>
      </w:r>
      <w:r w:rsidR="00527297" w:rsidRPr="00791033">
        <w:rPr>
          <w:sz w:val="18"/>
          <w:szCs w:val="18"/>
          <w:vertAlign w:val="superscript"/>
          <w:lang w:val="en-US"/>
        </w:rPr>
        <w:t>2</w:t>
      </w:r>
      <w:r w:rsidRPr="00791033">
        <w:rPr>
          <w:sz w:val="18"/>
          <w:szCs w:val="18"/>
          <w:lang w:val="en-US"/>
        </w:rPr>
        <w:t>, M. Devant</w:t>
      </w:r>
      <w:r w:rsidRPr="00791033">
        <w:rPr>
          <w:sz w:val="18"/>
          <w:szCs w:val="18"/>
          <w:vertAlign w:val="superscript"/>
          <w:lang w:val="en-US"/>
        </w:rPr>
        <w:t>3</w:t>
      </w:r>
      <w:r w:rsidRPr="00791033">
        <w:rPr>
          <w:sz w:val="18"/>
          <w:szCs w:val="18"/>
          <w:lang w:val="en-US"/>
        </w:rPr>
        <w:t>, J. Martín-Tereso</w:t>
      </w:r>
      <w:r w:rsidR="00527297" w:rsidRPr="00791033">
        <w:rPr>
          <w:sz w:val="18"/>
          <w:szCs w:val="18"/>
          <w:vertAlign w:val="superscript"/>
          <w:lang w:val="en-US"/>
        </w:rPr>
        <w:t>1</w:t>
      </w:r>
      <w:r w:rsidR="00527297" w:rsidRPr="00791033">
        <w:rPr>
          <w:sz w:val="18"/>
          <w:szCs w:val="18"/>
          <w:lang w:val="en-US"/>
        </w:rPr>
        <w:t>, L.</w:t>
      </w:r>
      <w:r w:rsidRPr="00791033">
        <w:rPr>
          <w:sz w:val="18"/>
          <w:szCs w:val="18"/>
          <w:lang w:val="en-US"/>
        </w:rPr>
        <w:t xml:space="preserve"> N. Leal</w:t>
      </w:r>
      <w:r w:rsidRPr="00791033">
        <w:rPr>
          <w:sz w:val="18"/>
          <w:szCs w:val="18"/>
          <w:vertAlign w:val="superscript"/>
          <w:lang w:val="en-US"/>
        </w:rPr>
        <w:t>1</w:t>
      </w:r>
      <w:r w:rsidRPr="00791033">
        <w:rPr>
          <w:sz w:val="18"/>
          <w:szCs w:val="18"/>
          <w:lang w:val="en-US"/>
        </w:rPr>
        <w:t>.</w:t>
      </w:r>
    </w:p>
    <w:p w14:paraId="07AAAAD2" w14:textId="0D652B2B" w:rsidR="00527297" w:rsidRPr="00791033" w:rsidRDefault="00527297" w:rsidP="007774FE">
      <w:pPr>
        <w:pStyle w:val="Default"/>
        <w:jc w:val="both"/>
        <w:rPr>
          <w:i/>
          <w:iCs/>
          <w:sz w:val="18"/>
          <w:szCs w:val="18"/>
          <w:lang w:val="en-US"/>
        </w:rPr>
      </w:pPr>
      <w:r w:rsidRPr="00791033">
        <w:rPr>
          <w:i/>
          <w:iCs/>
          <w:sz w:val="18"/>
          <w:szCs w:val="18"/>
          <w:vertAlign w:val="superscript"/>
          <w:lang w:val="en-US"/>
        </w:rPr>
        <w:t>1</w:t>
      </w:r>
      <w:r w:rsidRPr="00791033">
        <w:rPr>
          <w:i/>
          <w:iCs/>
          <w:sz w:val="18"/>
          <w:szCs w:val="18"/>
          <w:lang w:val="en-US"/>
        </w:rPr>
        <w:t xml:space="preserve">Trouw Nutrition R&amp;D, P.O. Box 299, 3800 AG, Amersfoort, the Netherlands. </w:t>
      </w:r>
    </w:p>
    <w:p w14:paraId="3967DF28" w14:textId="77777777" w:rsidR="00527297" w:rsidRPr="00791033" w:rsidRDefault="00527297" w:rsidP="007774FE">
      <w:pPr>
        <w:pStyle w:val="Default"/>
        <w:jc w:val="both"/>
        <w:rPr>
          <w:i/>
          <w:iCs/>
          <w:sz w:val="18"/>
          <w:szCs w:val="18"/>
          <w:lang w:val="en-US"/>
        </w:rPr>
      </w:pPr>
      <w:r w:rsidRPr="00791033">
        <w:rPr>
          <w:i/>
          <w:iCs/>
          <w:sz w:val="18"/>
          <w:szCs w:val="18"/>
          <w:vertAlign w:val="superscript"/>
          <w:lang w:val="en-US"/>
        </w:rPr>
        <w:t>2</w:t>
      </w:r>
      <w:r w:rsidRPr="00791033">
        <w:rPr>
          <w:i/>
          <w:iCs/>
          <w:sz w:val="18"/>
          <w:szCs w:val="18"/>
          <w:lang w:val="en-US"/>
        </w:rPr>
        <w:t>Department of Animal Bioscience, University of Guelph, Guelph, ON, Canada.</w:t>
      </w:r>
    </w:p>
    <w:p w14:paraId="6B3D0AA4" w14:textId="60E8C318" w:rsidR="0025353B" w:rsidRPr="00791033" w:rsidRDefault="00527297" w:rsidP="007774FE">
      <w:pPr>
        <w:pStyle w:val="Default"/>
        <w:jc w:val="both"/>
        <w:rPr>
          <w:sz w:val="18"/>
          <w:szCs w:val="18"/>
          <w:lang w:val="en-US"/>
        </w:rPr>
      </w:pPr>
      <w:r w:rsidRPr="00791033">
        <w:rPr>
          <w:i/>
          <w:iCs/>
          <w:sz w:val="18"/>
          <w:szCs w:val="18"/>
          <w:vertAlign w:val="superscript"/>
          <w:lang w:val="en-US"/>
        </w:rPr>
        <w:t>3</w:t>
      </w:r>
      <w:r w:rsidRPr="00791033">
        <w:rPr>
          <w:i/>
          <w:iCs/>
          <w:sz w:val="18"/>
          <w:szCs w:val="18"/>
          <w:lang w:val="en-US"/>
        </w:rPr>
        <w:t>Department of Ruminant Production, IRTA (</w:t>
      </w:r>
      <w:proofErr w:type="spellStart"/>
      <w:r w:rsidRPr="00791033">
        <w:rPr>
          <w:i/>
          <w:iCs/>
          <w:sz w:val="18"/>
          <w:szCs w:val="18"/>
          <w:lang w:val="en-US"/>
        </w:rPr>
        <w:t>Institut</w:t>
      </w:r>
      <w:proofErr w:type="spellEnd"/>
      <w:r w:rsidRPr="00791033">
        <w:rPr>
          <w:i/>
          <w:iCs/>
          <w:sz w:val="18"/>
          <w:szCs w:val="18"/>
          <w:lang w:val="en-US"/>
        </w:rPr>
        <w:t xml:space="preserve"> de </w:t>
      </w:r>
      <w:proofErr w:type="spellStart"/>
      <w:r w:rsidRPr="00791033">
        <w:rPr>
          <w:i/>
          <w:iCs/>
          <w:sz w:val="18"/>
          <w:szCs w:val="18"/>
          <w:lang w:val="en-US"/>
        </w:rPr>
        <w:t>Recerca</w:t>
      </w:r>
      <w:proofErr w:type="spellEnd"/>
      <w:r w:rsidRPr="00791033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791033">
        <w:rPr>
          <w:i/>
          <w:iCs/>
          <w:sz w:val="18"/>
          <w:szCs w:val="18"/>
          <w:lang w:val="en-US"/>
        </w:rPr>
        <w:t>i</w:t>
      </w:r>
      <w:proofErr w:type="spellEnd"/>
      <w:r w:rsidRPr="00791033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791033">
        <w:rPr>
          <w:i/>
          <w:iCs/>
          <w:sz w:val="18"/>
          <w:szCs w:val="18"/>
          <w:lang w:val="en-US"/>
        </w:rPr>
        <w:t>Tecnologies</w:t>
      </w:r>
      <w:proofErr w:type="spellEnd"/>
      <w:r w:rsidRPr="00791033"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791033">
        <w:rPr>
          <w:i/>
          <w:iCs/>
          <w:sz w:val="18"/>
          <w:szCs w:val="18"/>
          <w:lang w:val="en-US"/>
        </w:rPr>
        <w:t>Agroalimentàries</w:t>
      </w:r>
      <w:proofErr w:type="spellEnd"/>
      <w:r w:rsidRPr="00791033">
        <w:rPr>
          <w:i/>
          <w:iCs/>
          <w:sz w:val="18"/>
          <w:szCs w:val="18"/>
          <w:lang w:val="en-US"/>
        </w:rPr>
        <w:t xml:space="preserve">), Torre Marimon, </w:t>
      </w:r>
      <w:proofErr w:type="spellStart"/>
      <w:r w:rsidRPr="00791033">
        <w:rPr>
          <w:i/>
          <w:iCs/>
          <w:sz w:val="18"/>
          <w:szCs w:val="18"/>
          <w:lang w:val="en-US"/>
        </w:rPr>
        <w:t>Caldes</w:t>
      </w:r>
      <w:proofErr w:type="spellEnd"/>
      <w:r w:rsidRPr="00791033">
        <w:rPr>
          <w:i/>
          <w:iCs/>
          <w:sz w:val="18"/>
          <w:szCs w:val="18"/>
          <w:lang w:val="en-US"/>
        </w:rPr>
        <w:t xml:space="preserve"> de </w:t>
      </w:r>
      <w:proofErr w:type="spellStart"/>
      <w:r w:rsidRPr="00791033">
        <w:rPr>
          <w:i/>
          <w:iCs/>
          <w:sz w:val="18"/>
          <w:szCs w:val="18"/>
          <w:lang w:val="en-US"/>
        </w:rPr>
        <w:t>Montbui</w:t>
      </w:r>
      <w:proofErr w:type="spellEnd"/>
      <w:r w:rsidRPr="00791033">
        <w:rPr>
          <w:i/>
          <w:iCs/>
          <w:sz w:val="18"/>
          <w:szCs w:val="18"/>
          <w:lang w:val="en-US"/>
        </w:rPr>
        <w:t>, Spain.</w:t>
      </w:r>
    </w:p>
    <w:p w14:paraId="1FCE2287" w14:textId="64D686C2" w:rsidR="00B9627B" w:rsidRPr="00791033" w:rsidRDefault="00B9627B" w:rsidP="007774FE">
      <w:pPr>
        <w:pStyle w:val="Default"/>
        <w:jc w:val="both"/>
        <w:rPr>
          <w:i/>
          <w:iCs/>
          <w:sz w:val="18"/>
          <w:szCs w:val="18"/>
          <w:lang w:val="en-US"/>
        </w:rPr>
      </w:pPr>
      <w:r w:rsidRPr="00791033">
        <w:rPr>
          <w:i/>
          <w:iCs/>
          <w:sz w:val="18"/>
          <w:szCs w:val="18"/>
          <w:lang w:val="en-US"/>
        </w:rPr>
        <w:t xml:space="preserve">Corresponding author: </w:t>
      </w:r>
      <w:r w:rsidR="00EA6AFB">
        <w:rPr>
          <w:i/>
          <w:iCs/>
          <w:sz w:val="18"/>
          <w:szCs w:val="18"/>
          <w:lang w:val="en-US"/>
        </w:rPr>
        <w:t>jechever@uoguelph.ca</w:t>
      </w:r>
    </w:p>
    <w:p w14:paraId="420F4CB7" w14:textId="7AAFD26D" w:rsidR="0025353B" w:rsidRPr="00791033" w:rsidRDefault="0025353B" w:rsidP="007774FE">
      <w:pPr>
        <w:pStyle w:val="Default"/>
        <w:jc w:val="both"/>
        <w:rPr>
          <w:i/>
          <w:iCs/>
          <w:sz w:val="18"/>
          <w:szCs w:val="18"/>
          <w:lang w:val="en-US"/>
        </w:rPr>
      </w:pPr>
    </w:p>
    <w:p w14:paraId="38A82312" w14:textId="1E88B4B8" w:rsidR="007E41FB" w:rsidRPr="00842427" w:rsidRDefault="00F551CA" w:rsidP="00F551CA">
      <w:pPr>
        <w:pStyle w:val="Default"/>
        <w:jc w:val="both"/>
        <w:rPr>
          <w:sz w:val="18"/>
          <w:szCs w:val="18"/>
          <w:lang w:val="en-US"/>
        </w:rPr>
      </w:pPr>
      <w:r w:rsidRPr="00842427">
        <w:rPr>
          <w:b/>
          <w:bCs/>
          <w:i/>
          <w:iCs/>
          <w:sz w:val="18"/>
          <w:szCs w:val="18"/>
          <w:lang w:val="en-US"/>
        </w:rPr>
        <w:t>Application:</w:t>
      </w:r>
      <w:r w:rsidRPr="00842427">
        <w:rPr>
          <w:sz w:val="18"/>
          <w:szCs w:val="18"/>
          <w:lang w:val="en-US"/>
        </w:rPr>
        <w:t xml:space="preserve"> Morbidity, mortality, and irresponsible use of antimicrobials are common concerns in the rearing of dairy surplus calves. </w:t>
      </w:r>
      <w:r w:rsidR="00842427" w:rsidRPr="00842427">
        <w:rPr>
          <w:sz w:val="18"/>
          <w:szCs w:val="18"/>
          <w:lang w:val="en-US"/>
        </w:rPr>
        <w:t>Consequently, there is a pressing necessity</w:t>
      </w:r>
      <w:r w:rsidR="007E41FB" w:rsidRPr="00842427">
        <w:rPr>
          <w:sz w:val="18"/>
          <w:szCs w:val="18"/>
          <w:lang w:val="en-US"/>
        </w:rPr>
        <w:t xml:space="preserve"> to identify mechanisms to motivate dairy farmers to improve calf care</w:t>
      </w:r>
      <w:r w:rsidR="004D2CB1">
        <w:rPr>
          <w:sz w:val="18"/>
          <w:szCs w:val="18"/>
          <w:lang w:val="en-US"/>
        </w:rPr>
        <w:t xml:space="preserve">. </w:t>
      </w:r>
      <w:r w:rsidR="00842427" w:rsidRPr="00842427">
        <w:rPr>
          <w:sz w:val="18"/>
          <w:szCs w:val="18"/>
          <w:lang w:val="en-US"/>
        </w:rPr>
        <w:t xml:space="preserve">The findings </w:t>
      </w:r>
      <w:r w:rsidR="004D2CB1">
        <w:rPr>
          <w:sz w:val="18"/>
          <w:szCs w:val="18"/>
          <w:lang w:val="en-US"/>
        </w:rPr>
        <w:t xml:space="preserve">of this study </w:t>
      </w:r>
      <w:r w:rsidR="00842427" w:rsidRPr="00842427">
        <w:rPr>
          <w:sz w:val="18"/>
          <w:szCs w:val="18"/>
          <w:lang w:val="en-US"/>
        </w:rPr>
        <w:t xml:space="preserve">will contribute to the recognition of </w:t>
      </w:r>
      <w:r w:rsidR="00FA44B8">
        <w:rPr>
          <w:sz w:val="18"/>
          <w:szCs w:val="18"/>
          <w:lang w:val="en-US"/>
        </w:rPr>
        <w:t>developmental</w:t>
      </w:r>
      <w:r w:rsidR="00842427" w:rsidRPr="00842427">
        <w:rPr>
          <w:sz w:val="18"/>
          <w:szCs w:val="18"/>
          <w:lang w:val="en-US"/>
        </w:rPr>
        <w:t xml:space="preserve"> and nutritional factors influencing surplus calf well-being. This, in turn, will enable producers to implement effective </w:t>
      </w:r>
      <w:r w:rsidR="004E7260">
        <w:rPr>
          <w:sz w:val="18"/>
          <w:szCs w:val="18"/>
          <w:lang w:val="en-US"/>
        </w:rPr>
        <w:t xml:space="preserve">and practical feeding </w:t>
      </w:r>
      <w:r w:rsidR="00842427" w:rsidRPr="00842427">
        <w:rPr>
          <w:sz w:val="18"/>
          <w:szCs w:val="18"/>
          <w:lang w:val="en-US"/>
        </w:rPr>
        <w:t xml:space="preserve">strategies that prioritize animal welfare, enhance overall health, and promote future profitability. </w:t>
      </w:r>
      <w:r w:rsidR="007E41FB" w:rsidRPr="00842427">
        <w:rPr>
          <w:sz w:val="18"/>
          <w:szCs w:val="18"/>
          <w:lang w:val="en-US"/>
        </w:rPr>
        <w:t xml:space="preserve"> </w:t>
      </w:r>
    </w:p>
    <w:p w14:paraId="6B2DF756" w14:textId="3C369221" w:rsidR="00F551CA" w:rsidRPr="00791033" w:rsidRDefault="00604C53" w:rsidP="00F551CA">
      <w:pPr>
        <w:pStyle w:val="Default"/>
        <w:jc w:val="both"/>
        <w:rPr>
          <w:sz w:val="18"/>
          <w:szCs w:val="18"/>
          <w:lang w:val="en-US"/>
        </w:rPr>
      </w:pPr>
      <w:r w:rsidRPr="00791033">
        <w:rPr>
          <w:b/>
          <w:bCs/>
          <w:i/>
          <w:iCs/>
          <w:sz w:val="18"/>
          <w:szCs w:val="18"/>
          <w:lang w:val="en-US"/>
        </w:rPr>
        <w:t>Introduction:</w:t>
      </w:r>
      <w:r w:rsidRPr="00791033">
        <w:rPr>
          <w:b/>
          <w:bCs/>
          <w:sz w:val="18"/>
          <w:szCs w:val="18"/>
          <w:lang w:val="en-US"/>
        </w:rPr>
        <w:t xml:space="preserve"> </w:t>
      </w:r>
      <w:r w:rsidR="00F551CA" w:rsidRPr="00791033">
        <w:rPr>
          <w:sz w:val="18"/>
          <w:szCs w:val="18"/>
          <w:lang w:val="en-US"/>
        </w:rPr>
        <w:t>In calves, early postnatal nutri</w:t>
      </w:r>
      <w:r w:rsidR="00F551CA">
        <w:rPr>
          <w:sz w:val="18"/>
          <w:szCs w:val="18"/>
          <w:lang w:val="en-US"/>
        </w:rPr>
        <w:t>ent supply</w:t>
      </w:r>
      <w:r w:rsidR="00F551CA" w:rsidRPr="00791033">
        <w:rPr>
          <w:sz w:val="18"/>
          <w:szCs w:val="18"/>
          <w:lang w:val="en-US"/>
        </w:rPr>
        <w:t xml:space="preserve"> influence</w:t>
      </w:r>
      <w:r w:rsidR="00F551CA">
        <w:rPr>
          <w:sz w:val="18"/>
          <w:szCs w:val="18"/>
          <w:lang w:val="en-US"/>
        </w:rPr>
        <w:t>s</w:t>
      </w:r>
      <w:r w:rsidR="00F551CA" w:rsidRPr="00791033">
        <w:rPr>
          <w:sz w:val="18"/>
          <w:szCs w:val="18"/>
          <w:lang w:val="en-US"/>
        </w:rPr>
        <w:t xml:space="preserve"> growth, future health and performance, </w:t>
      </w:r>
      <w:r w:rsidR="00F551CA">
        <w:rPr>
          <w:sz w:val="18"/>
          <w:szCs w:val="18"/>
          <w:lang w:val="en-US"/>
        </w:rPr>
        <w:t xml:space="preserve">and </w:t>
      </w:r>
      <w:r w:rsidR="00F551CA" w:rsidRPr="00791033">
        <w:rPr>
          <w:sz w:val="18"/>
          <w:szCs w:val="18"/>
          <w:lang w:val="en-US"/>
        </w:rPr>
        <w:t>gastrointestinal tract (</w:t>
      </w:r>
      <w:r w:rsidR="00F551CA" w:rsidRPr="00791033">
        <w:rPr>
          <w:b/>
          <w:bCs/>
          <w:sz w:val="18"/>
          <w:szCs w:val="18"/>
          <w:lang w:val="en-US"/>
        </w:rPr>
        <w:t>GIT</w:t>
      </w:r>
      <w:r w:rsidR="00F551CA" w:rsidRPr="00791033">
        <w:rPr>
          <w:sz w:val="18"/>
          <w:szCs w:val="18"/>
          <w:lang w:val="en-US"/>
        </w:rPr>
        <w:t>) development</w:t>
      </w:r>
      <w:r w:rsidR="00F551CA">
        <w:rPr>
          <w:sz w:val="18"/>
          <w:szCs w:val="18"/>
          <w:lang w:val="en-US"/>
        </w:rPr>
        <w:t xml:space="preserve"> (</w:t>
      </w:r>
      <w:r w:rsidR="00F551CA" w:rsidRPr="00EA6AFB">
        <w:rPr>
          <w:sz w:val="18"/>
          <w:szCs w:val="18"/>
          <w:lang w:val="en-US"/>
        </w:rPr>
        <w:t xml:space="preserve">Khan et al., 2007; </w:t>
      </w:r>
      <w:proofErr w:type="spellStart"/>
      <w:r w:rsidR="00F551CA" w:rsidRPr="00EA6AFB">
        <w:rPr>
          <w:sz w:val="18"/>
          <w:szCs w:val="18"/>
          <w:lang w:val="en-US"/>
        </w:rPr>
        <w:t>Ollivett</w:t>
      </w:r>
      <w:proofErr w:type="spellEnd"/>
      <w:r w:rsidR="00F551CA" w:rsidRPr="00EA6AFB">
        <w:rPr>
          <w:sz w:val="18"/>
          <w:szCs w:val="18"/>
          <w:lang w:val="en-US"/>
        </w:rPr>
        <w:t xml:space="preserve"> et al., 2012</w:t>
      </w:r>
      <w:r w:rsidR="00F551CA">
        <w:rPr>
          <w:sz w:val="18"/>
          <w:szCs w:val="18"/>
          <w:lang w:val="en-US"/>
        </w:rPr>
        <w:t>)</w:t>
      </w:r>
      <w:r w:rsidR="007524B8" w:rsidRPr="00791033">
        <w:rPr>
          <w:sz w:val="18"/>
          <w:szCs w:val="18"/>
          <w:lang w:val="en-US"/>
        </w:rPr>
        <w:t xml:space="preserve">. </w:t>
      </w:r>
      <w:r w:rsidR="00734273">
        <w:rPr>
          <w:sz w:val="18"/>
          <w:szCs w:val="18"/>
          <w:lang w:val="en-US"/>
        </w:rPr>
        <w:t>C</w:t>
      </w:r>
      <w:r w:rsidR="007524B8" w:rsidRPr="00791033">
        <w:rPr>
          <w:sz w:val="18"/>
          <w:szCs w:val="18"/>
          <w:lang w:val="en-US"/>
        </w:rPr>
        <w:t xml:space="preserve">olostrum management has been identified </w:t>
      </w:r>
      <w:r w:rsidR="00A9742B" w:rsidRPr="00791033">
        <w:rPr>
          <w:sz w:val="18"/>
          <w:szCs w:val="18"/>
          <w:lang w:val="en-US"/>
        </w:rPr>
        <w:t>to be crucial for</w:t>
      </w:r>
      <w:r w:rsidR="007524B8" w:rsidRPr="00791033">
        <w:rPr>
          <w:sz w:val="18"/>
          <w:szCs w:val="18"/>
          <w:lang w:val="en-US"/>
        </w:rPr>
        <w:t xml:space="preserve"> calf health and survival</w:t>
      </w:r>
      <w:r w:rsidR="00734273">
        <w:rPr>
          <w:sz w:val="18"/>
          <w:szCs w:val="18"/>
          <w:lang w:val="en-US"/>
        </w:rPr>
        <w:t xml:space="preserve">. </w:t>
      </w:r>
      <w:r w:rsidR="00F551CA">
        <w:rPr>
          <w:sz w:val="18"/>
          <w:szCs w:val="18"/>
          <w:lang w:val="en-US"/>
        </w:rPr>
        <w:t>Nevertheless</w:t>
      </w:r>
      <w:r w:rsidR="00F50D5F">
        <w:rPr>
          <w:sz w:val="18"/>
          <w:szCs w:val="18"/>
          <w:lang w:val="en-US"/>
        </w:rPr>
        <w:t xml:space="preserve">, </w:t>
      </w:r>
      <w:r w:rsidR="00550785">
        <w:rPr>
          <w:sz w:val="18"/>
          <w:szCs w:val="18"/>
          <w:lang w:val="en-US"/>
        </w:rPr>
        <w:t>colostrum</w:t>
      </w:r>
      <w:r w:rsidR="00F50D5F">
        <w:rPr>
          <w:sz w:val="18"/>
          <w:szCs w:val="18"/>
          <w:lang w:val="en-US"/>
        </w:rPr>
        <w:t xml:space="preserve"> has been reported to influence</w:t>
      </w:r>
      <w:r w:rsidR="00C846EB" w:rsidRPr="00C846EB">
        <w:rPr>
          <w:sz w:val="18"/>
          <w:szCs w:val="18"/>
          <w:lang w:val="en-US"/>
        </w:rPr>
        <w:t xml:space="preserve"> GIT development and digestive and absorptive capacities in neonates</w:t>
      </w:r>
      <w:r w:rsidR="00F5443F">
        <w:rPr>
          <w:sz w:val="18"/>
          <w:szCs w:val="18"/>
          <w:lang w:val="en-US"/>
        </w:rPr>
        <w:t xml:space="preserve"> (</w:t>
      </w:r>
      <w:proofErr w:type="spellStart"/>
      <w:r w:rsidR="00F5443F" w:rsidRPr="00F5443F">
        <w:rPr>
          <w:sz w:val="18"/>
          <w:szCs w:val="18"/>
          <w:lang w:val="en-US"/>
        </w:rPr>
        <w:t>Blättler</w:t>
      </w:r>
      <w:proofErr w:type="spellEnd"/>
      <w:r w:rsidR="00F5443F">
        <w:rPr>
          <w:sz w:val="18"/>
          <w:szCs w:val="18"/>
          <w:lang w:val="en-US"/>
        </w:rPr>
        <w:t xml:space="preserve"> et al., 2001)</w:t>
      </w:r>
      <w:r w:rsidR="00C846EB">
        <w:rPr>
          <w:sz w:val="18"/>
          <w:szCs w:val="18"/>
          <w:lang w:val="en-US"/>
        </w:rPr>
        <w:t xml:space="preserve">. </w:t>
      </w:r>
      <w:r w:rsidR="007524B8" w:rsidRPr="00791033">
        <w:rPr>
          <w:sz w:val="18"/>
          <w:szCs w:val="18"/>
          <w:lang w:val="en-US"/>
        </w:rPr>
        <w:t xml:space="preserve">However, and to our knowledge, </w:t>
      </w:r>
      <w:r w:rsidR="00760F0E" w:rsidRPr="00791033">
        <w:rPr>
          <w:sz w:val="18"/>
          <w:szCs w:val="18"/>
          <w:lang w:val="en-US"/>
        </w:rPr>
        <w:t xml:space="preserve">the interaction between colostrum and plane of nutrition and their cumulative effects has not been documented before. </w:t>
      </w:r>
      <w:r w:rsidR="00F551CA" w:rsidRPr="00791033">
        <w:rPr>
          <w:sz w:val="18"/>
          <w:szCs w:val="18"/>
          <w:lang w:val="en-US"/>
        </w:rPr>
        <w:t>Therefore, this study examine</w:t>
      </w:r>
      <w:r w:rsidR="00F551CA">
        <w:rPr>
          <w:sz w:val="18"/>
          <w:szCs w:val="18"/>
          <w:lang w:val="en-US"/>
        </w:rPr>
        <w:t>d</w:t>
      </w:r>
      <w:r w:rsidR="00F551CA" w:rsidRPr="00791033">
        <w:rPr>
          <w:sz w:val="18"/>
          <w:szCs w:val="18"/>
          <w:lang w:val="en-US"/>
        </w:rPr>
        <w:t xml:space="preserve"> the interactions between </w:t>
      </w:r>
      <w:r w:rsidR="00F551CA">
        <w:rPr>
          <w:sz w:val="18"/>
          <w:szCs w:val="18"/>
          <w:lang w:val="en-US"/>
        </w:rPr>
        <w:t xml:space="preserve">these two critical </w:t>
      </w:r>
      <w:r w:rsidR="00F551CA" w:rsidRPr="00791033">
        <w:rPr>
          <w:sz w:val="18"/>
          <w:szCs w:val="18"/>
          <w:lang w:val="en-US"/>
        </w:rPr>
        <w:t>early</w:t>
      </w:r>
      <w:r w:rsidR="00F551CA">
        <w:rPr>
          <w:sz w:val="18"/>
          <w:szCs w:val="18"/>
          <w:lang w:val="en-US"/>
        </w:rPr>
        <w:t>-</w:t>
      </w:r>
      <w:r w:rsidR="00F551CA" w:rsidRPr="00791033">
        <w:rPr>
          <w:sz w:val="18"/>
          <w:szCs w:val="18"/>
          <w:lang w:val="en-US"/>
        </w:rPr>
        <w:t xml:space="preserve">life </w:t>
      </w:r>
      <w:r w:rsidR="00F551CA">
        <w:rPr>
          <w:sz w:val="18"/>
          <w:szCs w:val="18"/>
          <w:lang w:val="en-US"/>
        </w:rPr>
        <w:t>interventions</w:t>
      </w:r>
      <w:r w:rsidR="00F551CA" w:rsidRPr="00791033">
        <w:rPr>
          <w:sz w:val="18"/>
          <w:szCs w:val="18"/>
          <w:lang w:val="en-US"/>
        </w:rPr>
        <w:t xml:space="preserve"> and their impact on </w:t>
      </w:r>
      <w:r w:rsidR="00F551CA">
        <w:rPr>
          <w:sz w:val="18"/>
          <w:szCs w:val="18"/>
          <w:lang w:val="en-US"/>
        </w:rPr>
        <w:t>growth</w:t>
      </w:r>
      <w:r w:rsidR="00F551CA" w:rsidRPr="00791033">
        <w:rPr>
          <w:sz w:val="18"/>
          <w:szCs w:val="18"/>
          <w:lang w:val="en-US"/>
        </w:rPr>
        <w:t xml:space="preserve"> performance and </w:t>
      </w:r>
      <w:r w:rsidR="00F551CA">
        <w:rPr>
          <w:sz w:val="18"/>
          <w:szCs w:val="18"/>
          <w:lang w:val="en-US"/>
        </w:rPr>
        <w:t>GIT</w:t>
      </w:r>
      <w:r w:rsidR="00F551CA" w:rsidRPr="00791033">
        <w:rPr>
          <w:sz w:val="18"/>
          <w:szCs w:val="18"/>
          <w:lang w:val="en-US"/>
        </w:rPr>
        <w:t xml:space="preserve"> development over time in surplus bull calves </w:t>
      </w:r>
      <w:r w:rsidR="00F551CA">
        <w:rPr>
          <w:sz w:val="18"/>
          <w:szCs w:val="18"/>
          <w:lang w:val="en-US"/>
        </w:rPr>
        <w:t>as they develop in time</w:t>
      </w:r>
      <w:r w:rsidR="00F551CA" w:rsidRPr="00791033">
        <w:rPr>
          <w:sz w:val="18"/>
          <w:szCs w:val="18"/>
          <w:lang w:val="en-US"/>
        </w:rPr>
        <w:t xml:space="preserve">. </w:t>
      </w:r>
    </w:p>
    <w:p w14:paraId="7785BEC0" w14:textId="47698BFF" w:rsidR="00A44023" w:rsidRPr="00791033" w:rsidRDefault="00B9627B" w:rsidP="007774FE">
      <w:pPr>
        <w:pStyle w:val="Default"/>
        <w:jc w:val="both"/>
        <w:rPr>
          <w:sz w:val="18"/>
          <w:szCs w:val="18"/>
          <w:lang w:val="en-US"/>
        </w:rPr>
      </w:pPr>
      <w:r w:rsidRPr="00791033">
        <w:rPr>
          <w:b/>
          <w:bCs/>
          <w:i/>
          <w:iCs/>
          <w:sz w:val="18"/>
          <w:szCs w:val="18"/>
          <w:lang w:val="en-US"/>
        </w:rPr>
        <w:t>M</w:t>
      </w:r>
      <w:r w:rsidR="00AF7859" w:rsidRPr="00791033">
        <w:rPr>
          <w:b/>
          <w:bCs/>
          <w:i/>
          <w:iCs/>
          <w:sz w:val="18"/>
          <w:szCs w:val="18"/>
          <w:lang w:val="en-US"/>
        </w:rPr>
        <w:t>aterials and m</w:t>
      </w:r>
      <w:r w:rsidRPr="00791033">
        <w:rPr>
          <w:b/>
          <w:bCs/>
          <w:i/>
          <w:iCs/>
          <w:sz w:val="18"/>
          <w:szCs w:val="18"/>
          <w:lang w:val="en-US"/>
        </w:rPr>
        <w:t>ethods</w:t>
      </w:r>
      <w:r w:rsidR="00604C53" w:rsidRPr="00791033">
        <w:rPr>
          <w:b/>
          <w:bCs/>
          <w:i/>
          <w:iCs/>
          <w:sz w:val="18"/>
          <w:szCs w:val="18"/>
          <w:lang w:val="en-US"/>
        </w:rPr>
        <w:t>:</w:t>
      </w:r>
      <w:r w:rsidR="00604C53" w:rsidRPr="00791033">
        <w:rPr>
          <w:b/>
          <w:bCs/>
          <w:sz w:val="18"/>
          <w:szCs w:val="18"/>
          <w:lang w:val="en-US"/>
        </w:rPr>
        <w:t xml:space="preserve"> </w:t>
      </w:r>
      <w:r w:rsidR="00A04A7C">
        <w:rPr>
          <w:sz w:val="18"/>
          <w:szCs w:val="18"/>
          <w:lang w:val="en-US"/>
        </w:rPr>
        <w:t>O</w:t>
      </w:r>
      <w:r w:rsidR="00AB1538" w:rsidRPr="00791033">
        <w:rPr>
          <w:sz w:val="18"/>
          <w:szCs w:val="18"/>
          <w:lang w:val="en-US"/>
        </w:rPr>
        <w:t xml:space="preserve">ne hundred and twenty </w:t>
      </w:r>
      <w:r w:rsidR="00563B37" w:rsidRPr="00791033">
        <w:rPr>
          <w:sz w:val="18"/>
          <w:szCs w:val="18"/>
          <w:lang w:val="en-US"/>
        </w:rPr>
        <w:t xml:space="preserve">Holstein-Friesian </w:t>
      </w:r>
      <w:r w:rsidR="00F50D5F">
        <w:rPr>
          <w:sz w:val="18"/>
          <w:szCs w:val="18"/>
          <w:lang w:val="en-US"/>
        </w:rPr>
        <w:t>bull</w:t>
      </w:r>
      <w:r w:rsidR="00563B37" w:rsidRPr="00791033">
        <w:rPr>
          <w:sz w:val="18"/>
          <w:szCs w:val="18"/>
          <w:lang w:val="en-US"/>
        </w:rPr>
        <w:t xml:space="preserve"> calves </w:t>
      </w:r>
      <w:r w:rsidR="00563B37" w:rsidRPr="00A64312">
        <w:rPr>
          <w:sz w:val="18"/>
          <w:szCs w:val="18"/>
          <w:lang w:val="en-US"/>
        </w:rPr>
        <w:t>(2.16±0.99</w:t>
      </w:r>
      <w:r w:rsidR="00E47C9C" w:rsidRPr="00A64312">
        <w:rPr>
          <w:sz w:val="18"/>
          <w:szCs w:val="18"/>
          <w:lang w:val="en-US"/>
        </w:rPr>
        <w:t xml:space="preserve"> </w:t>
      </w:r>
      <w:r w:rsidR="00563B37" w:rsidRPr="00A64312">
        <w:rPr>
          <w:sz w:val="18"/>
          <w:szCs w:val="18"/>
          <w:lang w:val="en-US"/>
        </w:rPr>
        <w:t>d of age; 43.1±3.56 kg BW</w:t>
      </w:r>
      <w:r w:rsidR="00563B37" w:rsidRPr="00791033">
        <w:rPr>
          <w:sz w:val="18"/>
          <w:szCs w:val="18"/>
          <w:lang w:val="en-US"/>
        </w:rPr>
        <w:t xml:space="preserve">) were enrolled. </w:t>
      </w:r>
      <w:r w:rsidR="00F551CA" w:rsidRPr="00791033">
        <w:rPr>
          <w:sz w:val="18"/>
          <w:szCs w:val="18"/>
          <w:lang w:val="en-US"/>
        </w:rPr>
        <w:t>At the dairy farm of origin, calves were fed either 2 or 6L of colostrum replacer (</w:t>
      </w:r>
      <w:r w:rsidR="00F551CA" w:rsidRPr="00791033">
        <w:rPr>
          <w:b/>
          <w:bCs/>
          <w:sz w:val="18"/>
          <w:szCs w:val="18"/>
          <w:lang w:val="en-US"/>
        </w:rPr>
        <w:t>CR</w:t>
      </w:r>
      <w:r w:rsidR="00F551CA" w:rsidRPr="00791033">
        <w:rPr>
          <w:sz w:val="18"/>
          <w:szCs w:val="18"/>
          <w:lang w:val="en-US"/>
        </w:rPr>
        <w:t>)</w:t>
      </w:r>
      <w:r w:rsidR="00F551CA">
        <w:rPr>
          <w:sz w:val="18"/>
          <w:szCs w:val="18"/>
          <w:lang w:val="en-US"/>
        </w:rPr>
        <w:t>,</w:t>
      </w:r>
      <w:r w:rsidR="00F551CA" w:rsidRPr="00791033">
        <w:rPr>
          <w:sz w:val="18"/>
          <w:szCs w:val="18"/>
          <w:lang w:val="en-US"/>
        </w:rPr>
        <w:t xml:space="preserve"> within 12h after birth</w:t>
      </w:r>
      <w:r w:rsidR="00F551CA">
        <w:rPr>
          <w:sz w:val="18"/>
          <w:szCs w:val="18"/>
          <w:lang w:val="en-US"/>
        </w:rPr>
        <w:t>,</w:t>
      </w:r>
      <w:r w:rsidR="00F551CA" w:rsidRPr="00791033">
        <w:rPr>
          <w:sz w:val="18"/>
          <w:szCs w:val="18"/>
          <w:lang w:val="en-US"/>
        </w:rPr>
        <w:t xml:space="preserve"> aiming to provide a total of 100 or 300g of IgG, to obtain either failure (</w:t>
      </w:r>
      <w:r w:rsidR="00F551CA" w:rsidRPr="00791033">
        <w:rPr>
          <w:b/>
          <w:bCs/>
          <w:sz w:val="18"/>
          <w:szCs w:val="18"/>
          <w:lang w:val="en-US"/>
        </w:rPr>
        <w:t>F</w:t>
      </w:r>
      <w:r w:rsidR="00F551CA" w:rsidRPr="00791033">
        <w:rPr>
          <w:sz w:val="18"/>
          <w:szCs w:val="18"/>
          <w:lang w:val="en-US"/>
        </w:rPr>
        <w:t>) or successful (</w:t>
      </w:r>
      <w:r w:rsidR="00F551CA" w:rsidRPr="00791033">
        <w:rPr>
          <w:b/>
          <w:bCs/>
          <w:sz w:val="18"/>
          <w:szCs w:val="18"/>
          <w:lang w:val="en-US"/>
        </w:rPr>
        <w:t>S</w:t>
      </w:r>
      <w:r w:rsidR="00F551CA" w:rsidRPr="00791033">
        <w:rPr>
          <w:sz w:val="18"/>
          <w:szCs w:val="18"/>
          <w:lang w:val="en-US"/>
        </w:rPr>
        <w:t>) transfer of passive immunity, respectively. Upon arrival at the facility, serum IgG levels were measured, therefore; F and S calves were identified accordingly</w:t>
      </w:r>
      <w:r w:rsidR="00F551CA">
        <w:rPr>
          <w:sz w:val="18"/>
          <w:szCs w:val="18"/>
          <w:lang w:val="en-US"/>
        </w:rPr>
        <w:t xml:space="preserve"> and blocked</w:t>
      </w:r>
      <w:r w:rsidR="00F551CA" w:rsidRPr="00791033">
        <w:rPr>
          <w:sz w:val="18"/>
          <w:szCs w:val="18"/>
          <w:lang w:val="en-US"/>
        </w:rPr>
        <w:t xml:space="preserve">, and </w:t>
      </w:r>
      <w:r w:rsidR="00F551CA">
        <w:rPr>
          <w:sz w:val="18"/>
          <w:szCs w:val="18"/>
          <w:lang w:val="en-US"/>
        </w:rPr>
        <w:t xml:space="preserve">subsequently were </w:t>
      </w:r>
      <w:r w:rsidR="00F551CA" w:rsidRPr="00791033">
        <w:rPr>
          <w:sz w:val="18"/>
          <w:szCs w:val="18"/>
          <w:lang w:val="en-US"/>
        </w:rPr>
        <w:t>randomly assigned to one of two milk replacer (</w:t>
      </w:r>
      <w:r w:rsidR="00F551CA" w:rsidRPr="00791033">
        <w:rPr>
          <w:b/>
          <w:bCs/>
          <w:sz w:val="18"/>
          <w:szCs w:val="18"/>
          <w:lang w:val="en-US"/>
        </w:rPr>
        <w:t>MR</w:t>
      </w:r>
      <w:r w:rsidR="00F551CA" w:rsidRPr="00791033">
        <w:rPr>
          <w:sz w:val="18"/>
          <w:szCs w:val="18"/>
          <w:lang w:val="en-US"/>
        </w:rPr>
        <w:t>) feeding schemes: Moderate (</w:t>
      </w:r>
      <w:r w:rsidR="00F551CA" w:rsidRPr="00791033">
        <w:rPr>
          <w:b/>
          <w:bCs/>
          <w:sz w:val="18"/>
          <w:szCs w:val="18"/>
          <w:lang w:val="en-US"/>
        </w:rPr>
        <w:t>M</w:t>
      </w:r>
      <w:r w:rsidR="00F551CA" w:rsidRPr="00791033">
        <w:rPr>
          <w:sz w:val="18"/>
          <w:szCs w:val="18"/>
          <w:lang w:val="en-US"/>
        </w:rPr>
        <w:t xml:space="preserve">; 0.25 </w:t>
      </w:r>
      <w:proofErr w:type="spellStart"/>
      <w:r w:rsidR="00F551CA" w:rsidRPr="00791033">
        <w:rPr>
          <w:sz w:val="18"/>
          <w:szCs w:val="18"/>
          <w:lang w:val="en-US"/>
        </w:rPr>
        <w:t>Mcal</w:t>
      </w:r>
      <w:proofErr w:type="spellEnd"/>
      <w:r w:rsidR="00F551CA" w:rsidRPr="00791033">
        <w:rPr>
          <w:sz w:val="18"/>
          <w:szCs w:val="18"/>
          <w:lang w:val="en-US"/>
        </w:rPr>
        <w:t xml:space="preserve"> of ME/kg of arrival BW</w:t>
      </w:r>
      <w:r w:rsidR="00F551CA" w:rsidRPr="00791033">
        <w:rPr>
          <w:sz w:val="18"/>
          <w:szCs w:val="18"/>
          <w:vertAlign w:val="superscript"/>
          <w:lang w:val="en-US"/>
        </w:rPr>
        <w:t>0.75</w:t>
      </w:r>
      <w:r w:rsidR="00F551CA" w:rsidRPr="00791033">
        <w:rPr>
          <w:sz w:val="18"/>
          <w:szCs w:val="18"/>
          <w:lang w:val="en-US"/>
        </w:rPr>
        <w:t>, with 15.0% solids/L of MR) or Low (</w:t>
      </w:r>
      <w:r w:rsidR="00F551CA" w:rsidRPr="00791033">
        <w:rPr>
          <w:b/>
          <w:bCs/>
          <w:sz w:val="18"/>
          <w:szCs w:val="18"/>
          <w:lang w:val="en-US"/>
        </w:rPr>
        <w:t>L</w:t>
      </w:r>
      <w:r w:rsidR="00F551CA" w:rsidRPr="00791033">
        <w:rPr>
          <w:sz w:val="18"/>
          <w:szCs w:val="18"/>
          <w:lang w:val="en-US"/>
        </w:rPr>
        <w:t xml:space="preserve">; 0.135 </w:t>
      </w:r>
      <w:proofErr w:type="spellStart"/>
      <w:r w:rsidR="00F551CA" w:rsidRPr="00791033">
        <w:rPr>
          <w:sz w:val="18"/>
          <w:szCs w:val="18"/>
          <w:lang w:val="en-US"/>
        </w:rPr>
        <w:t>Mcal</w:t>
      </w:r>
      <w:proofErr w:type="spellEnd"/>
      <w:r w:rsidR="00F551CA" w:rsidRPr="00791033">
        <w:rPr>
          <w:sz w:val="18"/>
          <w:szCs w:val="18"/>
          <w:lang w:val="en-US"/>
        </w:rPr>
        <w:t xml:space="preserve"> of ME/kg of arrival BW</w:t>
      </w:r>
      <w:r w:rsidR="00F551CA" w:rsidRPr="00791033">
        <w:rPr>
          <w:sz w:val="18"/>
          <w:szCs w:val="18"/>
          <w:vertAlign w:val="superscript"/>
          <w:lang w:val="en-US"/>
        </w:rPr>
        <w:t>0.75</w:t>
      </w:r>
      <w:r w:rsidR="00F551CA" w:rsidRPr="00791033">
        <w:rPr>
          <w:sz w:val="18"/>
          <w:szCs w:val="18"/>
          <w:lang w:val="en-US"/>
        </w:rPr>
        <w:t xml:space="preserve">, with 12.5% solids/L of MR). In total, there were 4 treatments resulting </w:t>
      </w:r>
      <w:r w:rsidR="00F551CA">
        <w:rPr>
          <w:sz w:val="18"/>
          <w:szCs w:val="18"/>
          <w:lang w:val="en-US"/>
        </w:rPr>
        <w:t xml:space="preserve">from the </w:t>
      </w:r>
      <w:r w:rsidR="00F551CA" w:rsidRPr="00791033">
        <w:rPr>
          <w:sz w:val="18"/>
          <w:szCs w:val="18"/>
          <w:lang w:val="en-US"/>
        </w:rPr>
        <w:t xml:space="preserve">2×2 factorial design: </w:t>
      </w:r>
      <w:r w:rsidR="00F551CA" w:rsidRPr="00791033">
        <w:rPr>
          <w:b/>
          <w:bCs/>
          <w:sz w:val="18"/>
          <w:szCs w:val="18"/>
          <w:lang w:val="en-US"/>
        </w:rPr>
        <w:t>FM, FL, SM, SL</w:t>
      </w:r>
      <w:r w:rsidR="00F551CA" w:rsidRPr="00791033">
        <w:rPr>
          <w:sz w:val="18"/>
          <w:szCs w:val="18"/>
          <w:lang w:val="en-US"/>
        </w:rPr>
        <w:t xml:space="preserve"> (n=30/treatment). Calves were individually housed and received their MR allowance twice daily in teat buckets until d42</w:t>
      </w:r>
      <w:r w:rsidR="00F551CA">
        <w:rPr>
          <w:sz w:val="18"/>
          <w:szCs w:val="18"/>
          <w:lang w:val="en-US"/>
        </w:rPr>
        <w:t>,</w:t>
      </w:r>
      <w:r w:rsidR="00F551CA" w:rsidRPr="00791033">
        <w:rPr>
          <w:sz w:val="18"/>
          <w:szCs w:val="18"/>
          <w:lang w:val="en-US"/>
        </w:rPr>
        <w:t xml:space="preserve"> and </w:t>
      </w:r>
      <w:r w:rsidR="00F551CA">
        <w:rPr>
          <w:sz w:val="18"/>
          <w:szCs w:val="18"/>
          <w:lang w:val="en-US"/>
        </w:rPr>
        <w:t xml:space="preserve">subsequently </w:t>
      </w:r>
      <w:r w:rsidR="00F551CA" w:rsidRPr="00791033">
        <w:rPr>
          <w:sz w:val="18"/>
          <w:szCs w:val="18"/>
          <w:lang w:val="en-US"/>
        </w:rPr>
        <w:t xml:space="preserve">gradually weaned until d56. Calves had free access to chopped straw and water during the entire study, and </w:t>
      </w:r>
      <w:r w:rsidR="00F551CA">
        <w:rPr>
          <w:sz w:val="18"/>
          <w:szCs w:val="18"/>
          <w:lang w:val="en-US"/>
        </w:rPr>
        <w:t xml:space="preserve">a </w:t>
      </w:r>
      <w:r w:rsidR="00F551CA" w:rsidRPr="00791033">
        <w:rPr>
          <w:sz w:val="18"/>
          <w:szCs w:val="18"/>
          <w:lang w:val="en-US"/>
        </w:rPr>
        <w:t xml:space="preserve">calf </w:t>
      </w:r>
      <w:r w:rsidR="00F551CA">
        <w:rPr>
          <w:sz w:val="18"/>
          <w:szCs w:val="18"/>
          <w:lang w:val="en-US"/>
        </w:rPr>
        <w:t xml:space="preserve">pelleted </w:t>
      </w:r>
      <w:r w:rsidR="00F551CA" w:rsidRPr="00791033">
        <w:rPr>
          <w:sz w:val="18"/>
          <w:szCs w:val="18"/>
          <w:lang w:val="en-US"/>
        </w:rPr>
        <w:t>sta</w:t>
      </w:r>
      <w:r w:rsidR="00F551CA">
        <w:rPr>
          <w:sz w:val="18"/>
          <w:szCs w:val="18"/>
          <w:lang w:val="en-US"/>
        </w:rPr>
        <w:t>r</w:t>
      </w:r>
      <w:r w:rsidR="00F551CA" w:rsidRPr="00791033">
        <w:rPr>
          <w:sz w:val="18"/>
          <w:szCs w:val="18"/>
          <w:lang w:val="en-US"/>
        </w:rPr>
        <w:t>ter was introduced on d22. To evaluate GIT development and composition, 10 calves/treatment were euthanized at 3 different timepoints (21, 42, and 84d of age). Other measurements included BW at arrival and weekly thereafter, and daily intakes</w:t>
      </w:r>
      <w:r w:rsidR="00F551CA">
        <w:rPr>
          <w:sz w:val="18"/>
          <w:szCs w:val="18"/>
          <w:lang w:val="en-US"/>
        </w:rPr>
        <w:t xml:space="preserve"> were individually recorded</w:t>
      </w:r>
      <w:r w:rsidR="00F551CA" w:rsidRPr="00791033">
        <w:rPr>
          <w:sz w:val="18"/>
          <w:szCs w:val="18"/>
          <w:lang w:val="en-US"/>
        </w:rPr>
        <w:t xml:space="preserve">. Data was </w:t>
      </w:r>
      <w:proofErr w:type="spellStart"/>
      <w:r w:rsidR="00F551CA" w:rsidRPr="00791033">
        <w:rPr>
          <w:sz w:val="18"/>
          <w:szCs w:val="18"/>
          <w:lang w:val="en-US"/>
        </w:rPr>
        <w:t>analy</w:t>
      </w:r>
      <w:r w:rsidR="00F551CA">
        <w:rPr>
          <w:sz w:val="18"/>
          <w:szCs w:val="18"/>
          <w:lang w:val="en-US"/>
        </w:rPr>
        <w:t>s</w:t>
      </w:r>
      <w:r w:rsidR="00F551CA" w:rsidRPr="00791033">
        <w:rPr>
          <w:sz w:val="18"/>
          <w:szCs w:val="18"/>
          <w:lang w:val="en-US"/>
        </w:rPr>
        <w:t>ed</w:t>
      </w:r>
      <w:proofErr w:type="spellEnd"/>
      <w:r w:rsidR="00F551CA" w:rsidRPr="00791033">
        <w:rPr>
          <w:sz w:val="18"/>
          <w:szCs w:val="18"/>
          <w:lang w:val="en-US"/>
        </w:rPr>
        <w:t xml:space="preserve"> by PROC MIXED in SAS accounting for the fixed effects CR, MR, and time, and their interaction, as well as the random effect of block. Time </w:t>
      </w:r>
      <w:r w:rsidR="00F551CA">
        <w:rPr>
          <w:sz w:val="18"/>
          <w:szCs w:val="18"/>
          <w:lang w:val="en-US"/>
        </w:rPr>
        <w:t xml:space="preserve">was </w:t>
      </w:r>
      <w:r w:rsidR="00F551CA" w:rsidRPr="00791033">
        <w:rPr>
          <w:sz w:val="18"/>
          <w:szCs w:val="18"/>
          <w:lang w:val="en-US"/>
        </w:rPr>
        <w:t xml:space="preserve">entered </w:t>
      </w:r>
      <w:r w:rsidR="00F551CA">
        <w:rPr>
          <w:sz w:val="18"/>
          <w:szCs w:val="18"/>
          <w:lang w:val="en-US"/>
        </w:rPr>
        <w:t xml:space="preserve">into </w:t>
      </w:r>
      <w:r w:rsidR="00F551CA" w:rsidRPr="00791033">
        <w:rPr>
          <w:sz w:val="18"/>
          <w:szCs w:val="18"/>
          <w:lang w:val="en-US"/>
        </w:rPr>
        <w:t xml:space="preserve">the model as a repeated statement and initial BW was used as </w:t>
      </w:r>
      <w:r w:rsidR="00F551CA">
        <w:rPr>
          <w:sz w:val="18"/>
          <w:szCs w:val="18"/>
          <w:lang w:val="en-US"/>
        </w:rPr>
        <w:t>covariable</w:t>
      </w:r>
      <w:r w:rsidR="00F551CA" w:rsidRPr="00791033">
        <w:rPr>
          <w:sz w:val="18"/>
          <w:szCs w:val="18"/>
          <w:lang w:val="en-US"/>
        </w:rPr>
        <w:t xml:space="preserve"> when appropriat</w:t>
      </w:r>
      <w:r w:rsidR="00F551CA">
        <w:rPr>
          <w:sz w:val="18"/>
          <w:szCs w:val="18"/>
          <w:lang w:val="en-US"/>
        </w:rPr>
        <w:t>e</w:t>
      </w:r>
      <w:r w:rsidR="00F551CA" w:rsidRPr="00791033">
        <w:rPr>
          <w:sz w:val="18"/>
          <w:szCs w:val="18"/>
          <w:lang w:val="en-US"/>
        </w:rPr>
        <w:t>.</w:t>
      </w:r>
    </w:p>
    <w:p w14:paraId="6AD5FEE7" w14:textId="2EFBC84F" w:rsidR="00E527D2" w:rsidRDefault="006254E8" w:rsidP="007774FE">
      <w:pPr>
        <w:pStyle w:val="Default"/>
        <w:jc w:val="both"/>
        <w:rPr>
          <w:sz w:val="18"/>
          <w:szCs w:val="18"/>
          <w:lang w:val="en-US"/>
        </w:rPr>
      </w:pPr>
      <w:r w:rsidRPr="00F50D5F">
        <w:rPr>
          <w:noProof/>
        </w:rPr>
        <w:drawing>
          <wp:anchor distT="0" distB="0" distL="114300" distR="114300" simplePos="0" relativeHeight="251661312" behindDoc="0" locked="0" layoutInCell="1" allowOverlap="1" wp14:anchorId="058CFC86" wp14:editId="2E522894">
            <wp:simplePos x="0" y="0"/>
            <wp:positionH relativeFrom="column">
              <wp:posOffset>918210</wp:posOffset>
            </wp:positionH>
            <wp:positionV relativeFrom="paragraph">
              <wp:posOffset>1226185</wp:posOffset>
            </wp:positionV>
            <wp:extent cx="3916680" cy="2311400"/>
            <wp:effectExtent l="0" t="0" r="0" b="0"/>
            <wp:wrapTopAndBottom/>
            <wp:docPr id="2856897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9EAF721" wp14:editId="20EB7070">
            <wp:simplePos x="0" y="0"/>
            <wp:positionH relativeFrom="margin">
              <wp:posOffset>1428115</wp:posOffset>
            </wp:positionH>
            <wp:positionV relativeFrom="paragraph">
              <wp:posOffset>1367470</wp:posOffset>
            </wp:positionV>
            <wp:extent cx="1362656" cy="529563"/>
            <wp:effectExtent l="0" t="0" r="0" b="4445"/>
            <wp:wrapNone/>
            <wp:docPr id="932562267" name="Picture 1" descr="A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62267" name="Picture 1" descr="A text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656" cy="529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D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CC7FA" wp14:editId="3A9BFFC1">
                <wp:simplePos x="0" y="0"/>
                <wp:positionH relativeFrom="column">
                  <wp:posOffset>179705</wp:posOffset>
                </wp:positionH>
                <wp:positionV relativeFrom="paragraph">
                  <wp:posOffset>3551555</wp:posOffset>
                </wp:positionV>
                <wp:extent cx="5403850" cy="635"/>
                <wp:effectExtent l="0" t="0" r="6350" b="0"/>
                <wp:wrapTopAndBottom/>
                <wp:docPr id="2053341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9A0D0C" w14:textId="0FA0115E" w:rsidR="00734273" w:rsidRPr="00734273" w:rsidRDefault="00734273" w:rsidP="00F50D5F">
                            <w:pPr>
                              <w:pStyle w:val="Caption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lang w:val="en-US"/>
                              </w:rPr>
                            </w:pPr>
                            <w:r w:rsidRPr="00734273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</w:rPr>
                              <w:t xml:space="preserve">Figure </w:t>
                            </w:r>
                            <w:r w:rsidRPr="00734273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</w:rPr>
                              <w:fldChar w:fldCharType="begin"/>
                            </w:r>
                            <w:r w:rsidRPr="00734273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</w:rPr>
                              <w:instrText xml:space="preserve"> SEQ Figure \* ARABIC </w:instrText>
                            </w:r>
                            <w:r w:rsidRPr="00734273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</w:rPr>
                              <w:fldChar w:fldCharType="separate"/>
                            </w:r>
                            <w:r w:rsidRPr="00734273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</w:rPr>
                              <w:t>1</w:t>
                            </w:r>
                            <w:r w:rsidRPr="00734273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</w:rPr>
                              <w:fldChar w:fldCharType="end"/>
                            </w:r>
                            <w:r w:rsidRPr="0073427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. Body weight </w:t>
                            </w:r>
                            <w:r w:rsid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at three different slaughter timepoints of surplus calves</w:t>
                            </w:r>
                            <w:r w:rsidR="00EA6AF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. Calves </w:t>
                            </w:r>
                            <w:r w:rsid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received one of the four treatments: </w:t>
                            </w:r>
                            <w:r w:rsidR="007774FE" w:rsidRP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SM = </w:t>
                            </w:r>
                            <w:r w:rsidR="00231CF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300g IgG + moderate milk allowance;</w:t>
                            </w:r>
                            <w:r w:rsid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 </w:t>
                            </w:r>
                            <w:r w:rsidR="007774FE" w:rsidRP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FM = </w:t>
                            </w:r>
                            <w:r w:rsidR="00231CF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100g IgG</w:t>
                            </w:r>
                            <w:r w:rsidR="007774FE" w:rsidRP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 + </w:t>
                            </w:r>
                            <w:r w:rsidR="00F50D5F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m</w:t>
                            </w:r>
                            <w:r w:rsidR="007774FE" w:rsidRP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oderate milk allowance</w:t>
                            </w:r>
                            <w:r w:rsid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;</w:t>
                            </w:r>
                            <w:r w:rsidR="007774FE" w:rsidRP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 SL = </w:t>
                            </w:r>
                            <w:r w:rsidR="00231CF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300g IgG</w:t>
                            </w:r>
                            <w:r w:rsidR="007774FE" w:rsidRP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 + </w:t>
                            </w:r>
                            <w:r w:rsidR="00F50D5F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l</w:t>
                            </w:r>
                            <w:r w:rsidR="007774FE" w:rsidRP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ow milk allowance; FL = </w:t>
                            </w:r>
                            <w:r w:rsidR="00231CF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100g IgG</w:t>
                            </w:r>
                            <w:r w:rsidR="007774FE" w:rsidRP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 + </w:t>
                            </w:r>
                            <w:r w:rsidR="00F50D5F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l</w:t>
                            </w:r>
                            <w:r w:rsidR="007774FE" w:rsidRP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ow milk allowance </w:t>
                            </w:r>
                            <w:r w:rsidR="007774F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(n =10 calves/treatment/slaughter time point)</w:t>
                            </w:r>
                            <w:r w:rsidR="00EA6AFB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CCC7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15pt;margin-top:279.65pt;width:425.5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" stroked="f">
                <v:textbox style="mso-fit-shape-to-text:t" inset="0,0,0,0">
                  <w:txbxContent>
                    <w:p w14:paraId="179A0D0C" w14:textId="0FA0115E" w:rsidR="00734273" w:rsidRPr="00734273" w:rsidRDefault="00734273" w:rsidP="00F50D5F">
                      <w:pPr>
                        <w:pStyle w:val="Caption"/>
                        <w:jc w:val="both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lang w:val="en-US"/>
                        </w:rPr>
                      </w:pPr>
                      <w:r w:rsidRPr="00734273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</w:rPr>
                        <w:t xml:space="preserve">Figure </w:t>
                      </w:r>
                      <w:r w:rsidRPr="00734273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</w:rPr>
                        <w:fldChar w:fldCharType="begin"/>
                      </w:r>
                      <w:r w:rsidRPr="00734273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</w:rPr>
                        <w:instrText xml:space="preserve"> SEQ Figure \* ARABIC </w:instrText>
                      </w:r>
                      <w:r w:rsidRPr="00734273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</w:rPr>
                        <w:fldChar w:fldCharType="separate"/>
                      </w:r>
                      <w:r w:rsidRPr="00734273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noProof/>
                          <w:color w:val="auto"/>
                        </w:rPr>
                        <w:t>1</w:t>
                      </w:r>
                      <w:r w:rsidRPr="00734273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</w:rPr>
                        <w:fldChar w:fldCharType="end"/>
                      </w:r>
                      <w:r w:rsidRPr="0073427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. Body weight </w:t>
                      </w:r>
                      <w:r w:rsid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at three different slaughter timepoints of surplus calves</w:t>
                      </w:r>
                      <w:r w:rsidR="00EA6AFB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. Calves </w:t>
                      </w:r>
                      <w:r w:rsid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received one of the four treatments: </w:t>
                      </w:r>
                      <w:r w:rsidR="007774FE" w:rsidRP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SM = </w:t>
                      </w:r>
                      <w:r w:rsidR="00231CF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300g IgG + moderate milk allowance;</w:t>
                      </w:r>
                      <w:r w:rsid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 </w:t>
                      </w:r>
                      <w:r w:rsidR="007774FE" w:rsidRP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FM = </w:t>
                      </w:r>
                      <w:r w:rsidR="00231CF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100g IgG</w:t>
                      </w:r>
                      <w:r w:rsidR="007774FE" w:rsidRP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 + </w:t>
                      </w:r>
                      <w:r w:rsidR="00F50D5F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m</w:t>
                      </w:r>
                      <w:r w:rsidR="007774FE" w:rsidRP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oderate milk allowance</w:t>
                      </w:r>
                      <w:r w:rsid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;</w:t>
                      </w:r>
                      <w:r w:rsidR="007774FE" w:rsidRP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 SL = </w:t>
                      </w:r>
                      <w:r w:rsidR="00231CF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300g IgG</w:t>
                      </w:r>
                      <w:r w:rsidR="007774FE" w:rsidRP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 + </w:t>
                      </w:r>
                      <w:r w:rsidR="00F50D5F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l</w:t>
                      </w:r>
                      <w:r w:rsidR="007774FE" w:rsidRP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ow milk allowance; FL = </w:t>
                      </w:r>
                      <w:r w:rsidR="00231CF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100g IgG</w:t>
                      </w:r>
                      <w:r w:rsidR="007774FE" w:rsidRP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 + </w:t>
                      </w:r>
                      <w:r w:rsidR="00F50D5F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l</w:t>
                      </w:r>
                      <w:r w:rsidR="007774FE" w:rsidRP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ow milk allowance </w:t>
                      </w:r>
                      <w:r w:rsidR="007774F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(n =10 calves/treatment/slaughter time point)</w:t>
                      </w:r>
                      <w:r w:rsidR="00EA6AFB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9627B" w:rsidRPr="00791033">
        <w:rPr>
          <w:b/>
          <w:bCs/>
          <w:i/>
          <w:iCs/>
          <w:sz w:val="18"/>
          <w:szCs w:val="18"/>
          <w:lang w:val="en-US"/>
        </w:rPr>
        <w:t>Results</w:t>
      </w:r>
      <w:r w:rsidR="00604C53" w:rsidRPr="00791033">
        <w:rPr>
          <w:b/>
          <w:bCs/>
          <w:i/>
          <w:iCs/>
          <w:sz w:val="18"/>
          <w:szCs w:val="18"/>
          <w:lang w:val="en-US"/>
        </w:rPr>
        <w:t>:</w:t>
      </w:r>
      <w:r w:rsidR="00604C53" w:rsidRPr="00791033">
        <w:rPr>
          <w:b/>
          <w:bCs/>
          <w:sz w:val="18"/>
          <w:szCs w:val="18"/>
          <w:lang w:val="en-US"/>
        </w:rPr>
        <w:t xml:space="preserve"> </w:t>
      </w:r>
      <w:r w:rsidR="00C31685" w:rsidRPr="00791033">
        <w:rPr>
          <w:sz w:val="18"/>
          <w:szCs w:val="18"/>
          <w:lang w:val="en-US"/>
        </w:rPr>
        <w:t xml:space="preserve">Initial BW was </w:t>
      </w:r>
      <w:r w:rsidR="000513E8">
        <w:rPr>
          <w:sz w:val="18"/>
          <w:szCs w:val="18"/>
          <w:lang w:val="en-US"/>
        </w:rPr>
        <w:t>not different</w:t>
      </w:r>
      <w:r w:rsidR="00C31685" w:rsidRPr="00791033">
        <w:rPr>
          <w:sz w:val="18"/>
          <w:szCs w:val="18"/>
          <w:lang w:val="en-US"/>
        </w:rPr>
        <w:t xml:space="preserve"> across treatments (</w:t>
      </w:r>
      <w:r w:rsidR="00734273">
        <w:rPr>
          <w:sz w:val="18"/>
          <w:szCs w:val="18"/>
          <w:lang w:val="en-US"/>
        </w:rPr>
        <w:t>Figure 1</w:t>
      </w:r>
      <w:r w:rsidR="00C31685" w:rsidRPr="00791033">
        <w:rPr>
          <w:sz w:val="18"/>
          <w:szCs w:val="18"/>
          <w:lang w:val="en-US"/>
        </w:rPr>
        <w:t>) while</w:t>
      </w:r>
      <w:r w:rsidR="00A04A7C">
        <w:rPr>
          <w:sz w:val="18"/>
          <w:szCs w:val="18"/>
          <w:lang w:val="en-US"/>
        </w:rPr>
        <w:t xml:space="preserve"> </w:t>
      </w:r>
      <w:r w:rsidR="00F50D5F">
        <w:rPr>
          <w:sz w:val="18"/>
          <w:szCs w:val="18"/>
          <w:lang w:val="en-US"/>
        </w:rPr>
        <w:t>serum</w:t>
      </w:r>
      <w:r w:rsidR="00C31685" w:rsidRPr="00791033">
        <w:rPr>
          <w:sz w:val="18"/>
          <w:szCs w:val="18"/>
          <w:lang w:val="en-US"/>
        </w:rPr>
        <w:t xml:space="preserve"> IgG was greater in S calves (S=</w:t>
      </w:r>
      <w:r w:rsidR="00AB1538" w:rsidRPr="00791033">
        <w:rPr>
          <w:sz w:val="18"/>
          <w:szCs w:val="18"/>
          <w:lang w:val="en-US"/>
        </w:rPr>
        <w:t>1962.9</w:t>
      </w:r>
      <w:r w:rsidR="00C31685" w:rsidRPr="00791033">
        <w:rPr>
          <w:sz w:val="18"/>
          <w:szCs w:val="18"/>
          <w:lang w:val="en-US"/>
        </w:rPr>
        <w:t xml:space="preserve"> </w:t>
      </w:r>
      <w:r w:rsidR="00C31685" w:rsidRPr="00791033">
        <w:rPr>
          <w:i/>
          <w:iCs/>
          <w:sz w:val="18"/>
          <w:szCs w:val="18"/>
          <w:lang w:val="en-US"/>
        </w:rPr>
        <w:t>vs</w:t>
      </w:r>
      <w:r w:rsidR="00C31685" w:rsidRPr="00791033">
        <w:rPr>
          <w:sz w:val="18"/>
          <w:szCs w:val="18"/>
          <w:lang w:val="en-US"/>
        </w:rPr>
        <w:t>. F=9</w:t>
      </w:r>
      <w:r w:rsidR="00AB1538" w:rsidRPr="00791033">
        <w:rPr>
          <w:sz w:val="18"/>
          <w:szCs w:val="18"/>
          <w:lang w:val="en-US"/>
        </w:rPr>
        <w:t>41.0</w:t>
      </w:r>
      <w:r w:rsidR="00C31685" w:rsidRPr="00791033">
        <w:rPr>
          <w:sz w:val="18"/>
          <w:szCs w:val="18"/>
          <w:lang w:val="en-US"/>
        </w:rPr>
        <w:t xml:space="preserve"> mg IgG/dL). </w:t>
      </w:r>
      <w:r w:rsidR="00F105A7" w:rsidRPr="00791033">
        <w:rPr>
          <w:sz w:val="18"/>
          <w:szCs w:val="18"/>
          <w:lang w:val="en-US"/>
        </w:rPr>
        <w:t xml:space="preserve">Throughout the experimental period, BW was </w:t>
      </w:r>
      <w:r w:rsidR="000513E8">
        <w:rPr>
          <w:sz w:val="18"/>
          <w:szCs w:val="18"/>
          <w:lang w:val="en-US"/>
        </w:rPr>
        <w:t xml:space="preserve">significantly </w:t>
      </w:r>
      <w:r w:rsidR="00F105A7" w:rsidRPr="00791033">
        <w:rPr>
          <w:sz w:val="18"/>
          <w:szCs w:val="18"/>
          <w:lang w:val="en-US"/>
        </w:rPr>
        <w:t xml:space="preserve">influenced by </w:t>
      </w:r>
      <w:r w:rsidR="001C4ADF" w:rsidRPr="00791033">
        <w:rPr>
          <w:sz w:val="18"/>
          <w:szCs w:val="18"/>
          <w:lang w:val="en-US"/>
        </w:rPr>
        <w:t xml:space="preserve">both </w:t>
      </w:r>
      <w:r w:rsidR="00F105A7" w:rsidRPr="00791033">
        <w:rPr>
          <w:sz w:val="18"/>
          <w:szCs w:val="18"/>
          <w:lang w:val="en-US"/>
        </w:rPr>
        <w:t>CR (</w:t>
      </w:r>
      <w:r w:rsidR="00F105A7" w:rsidRPr="00791033">
        <w:rPr>
          <w:i/>
          <w:iCs/>
          <w:sz w:val="18"/>
          <w:szCs w:val="18"/>
          <w:lang w:val="en-US"/>
        </w:rPr>
        <w:t>P</w:t>
      </w:r>
      <w:r w:rsidR="00F105A7" w:rsidRPr="00791033">
        <w:rPr>
          <w:sz w:val="18"/>
          <w:szCs w:val="18"/>
          <w:lang w:val="en-US"/>
        </w:rPr>
        <w:t>=0.012) and MR (</w:t>
      </w:r>
      <w:r w:rsidR="00F105A7" w:rsidRPr="00791033">
        <w:rPr>
          <w:i/>
          <w:iCs/>
          <w:sz w:val="18"/>
          <w:szCs w:val="18"/>
          <w:lang w:val="en-US"/>
        </w:rPr>
        <w:t>P</w:t>
      </w:r>
      <w:r w:rsidR="00E871F2" w:rsidRPr="00791033">
        <w:rPr>
          <w:sz w:val="18"/>
          <w:szCs w:val="18"/>
          <w:lang w:val="en-US"/>
        </w:rPr>
        <w:t>&lt;0.001</w:t>
      </w:r>
      <w:r w:rsidR="00F105A7" w:rsidRPr="00791033">
        <w:rPr>
          <w:sz w:val="18"/>
          <w:szCs w:val="18"/>
          <w:lang w:val="en-US"/>
        </w:rPr>
        <w:t xml:space="preserve">) treatments, </w:t>
      </w:r>
      <w:r w:rsidR="001C4ADF" w:rsidRPr="00791033">
        <w:rPr>
          <w:sz w:val="18"/>
          <w:szCs w:val="18"/>
          <w:lang w:val="en-US"/>
        </w:rPr>
        <w:t>with a tendency for a</w:t>
      </w:r>
      <w:r w:rsidR="002932D6" w:rsidRPr="00791033">
        <w:rPr>
          <w:sz w:val="18"/>
          <w:szCs w:val="18"/>
          <w:lang w:val="en-US"/>
        </w:rPr>
        <w:t xml:space="preserve">n interaction between </w:t>
      </w:r>
      <w:r w:rsidR="001C4ADF" w:rsidRPr="00791033">
        <w:rPr>
          <w:sz w:val="18"/>
          <w:szCs w:val="18"/>
          <w:lang w:val="en-US"/>
        </w:rPr>
        <w:t>CR</w:t>
      </w:r>
      <w:r w:rsidR="002932D6" w:rsidRPr="00791033">
        <w:rPr>
          <w:sz w:val="18"/>
          <w:szCs w:val="18"/>
          <w:lang w:val="en-US"/>
        </w:rPr>
        <w:t xml:space="preserve">, </w:t>
      </w:r>
      <w:r w:rsidR="00791033" w:rsidRPr="00791033">
        <w:rPr>
          <w:sz w:val="18"/>
          <w:szCs w:val="18"/>
          <w:lang w:val="en-US"/>
        </w:rPr>
        <w:t>MR,</w:t>
      </w:r>
      <w:r w:rsidR="001C4ADF" w:rsidRPr="00791033">
        <w:rPr>
          <w:sz w:val="18"/>
          <w:szCs w:val="18"/>
          <w:lang w:val="en-US"/>
        </w:rPr>
        <w:t xml:space="preserve"> </w:t>
      </w:r>
      <w:r w:rsidR="002932D6" w:rsidRPr="00791033">
        <w:rPr>
          <w:sz w:val="18"/>
          <w:szCs w:val="18"/>
          <w:lang w:val="en-US"/>
        </w:rPr>
        <w:t xml:space="preserve">and </w:t>
      </w:r>
      <w:r w:rsidR="001C4ADF" w:rsidRPr="00791033">
        <w:rPr>
          <w:sz w:val="18"/>
          <w:szCs w:val="18"/>
          <w:lang w:val="en-US"/>
        </w:rPr>
        <w:t>time</w:t>
      </w:r>
      <w:r w:rsidR="002932D6" w:rsidRPr="00791033">
        <w:rPr>
          <w:sz w:val="18"/>
          <w:szCs w:val="18"/>
          <w:lang w:val="en-US"/>
        </w:rPr>
        <w:t xml:space="preserve"> (</w:t>
      </w:r>
      <w:r w:rsidR="002932D6" w:rsidRPr="00791033">
        <w:rPr>
          <w:i/>
          <w:iCs/>
          <w:sz w:val="18"/>
          <w:szCs w:val="18"/>
          <w:lang w:val="en-US"/>
        </w:rPr>
        <w:t>P</w:t>
      </w:r>
      <w:r w:rsidR="002932D6" w:rsidRPr="00791033">
        <w:rPr>
          <w:sz w:val="18"/>
          <w:szCs w:val="18"/>
          <w:lang w:val="en-US"/>
        </w:rPr>
        <w:t>=0.09)</w:t>
      </w:r>
      <w:r w:rsidR="00E871F2" w:rsidRPr="00791033">
        <w:rPr>
          <w:sz w:val="18"/>
          <w:szCs w:val="18"/>
          <w:lang w:val="en-US"/>
        </w:rPr>
        <w:t xml:space="preserve">. </w:t>
      </w:r>
      <w:r w:rsidR="001C4ADF" w:rsidRPr="00791033">
        <w:rPr>
          <w:sz w:val="18"/>
          <w:szCs w:val="18"/>
          <w:lang w:val="en-US"/>
        </w:rPr>
        <w:t xml:space="preserve">The </w:t>
      </w:r>
      <w:r w:rsidR="00EA6AFB">
        <w:rPr>
          <w:sz w:val="18"/>
          <w:szCs w:val="18"/>
          <w:lang w:val="en-US"/>
        </w:rPr>
        <w:t>BW</w:t>
      </w:r>
      <w:r w:rsidR="001C4ADF" w:rsidRPr="00791033">
        <w:rPr>
          <w:sz w:val="18"/>
          <w:szCs w:val="18"/>
          <w:lang w:val="en-US"/>
        </w:rPr>
        <w:t xml:space="preserve"> at the three distinct slaughter ages </w:t>
      </w:r>
      <w:r w:rsidR="000513E8">
        <w:rPr>
          <w:sz w:val="18"/>
          <w:szCs w:val="18"/>
          <w:lang w:val="en-US"/>
        </w:rPr>
        <w:t>was</w:t>
      </w:r>
      <w:r w:rsidR="001C4ADF" w:rsidRPr="00791033">
        <w:rPr>
          <w:sz w:val="18"/>
          <w:szCs w:val="18"/>
          <w:lang w:val="en-US"/>
        </w:rPr>
        <w:t xml:space="preserve"> influenced by the allowance of MR (</w:t>
      </w:r>
      <w:r w:rsidR="001C4ADF" w:rsidRPr="00791033">
        <w:rPr>
          <w:i/>
          <w:iCs/>
          <w:sz w:val="18"/>
          <w:szCs w:val="18"/>
          <w:lang w:val="en-US"/>
        </w:rPr>
        <w:t>P</w:t>
      </w:r>
      <w:r w:rsidR="001C4ADF" w:rsidRPr="00791033">
        <w:rPr>
          <w:sz w:val="18"/>
          <w:szCs w:val="18"/>
          <w:lang w:val="en-US"/>
        </w:rPr>
        <w:t xml:space="preserve">&lt;0.001), wherein calves receiving </w:t>
      </w:r>
      <w:r w:rsidR="00A04A7C">
        <w:rPr>
          <w:sz w:val="18"/>
          <w:szCs w:val="18"/>
          <w:lang w:val="en-US"/>
        </w:rPr>
        <w:t>moderate</w:t>
      </w:r>
      <w:r w:rsidR="001C4ADF" w:rsidRPr="00791033">
        <w:rPr>
          <w:sz w:val="18"/>
          <w:szCs w:val="18"/>
          <w:lang w:val="en-US"/>
        </w:rPr>
        <w:t xml:space="preserve"> </w:t>
      </w:r>
      <w:r w:rsidR="00EA6AFB">
        <w:rPr>
          <w:sz w:val="18"/>
          <w:szCs w:val="18"/>
          <w:lang w:val="en-US"/>
        </w:rPr>
        <w:t>levels</w:t>
      </w:r>
      <w:r w:rsidR="001C4ADF" w:rsidRPr="00791033">
        <w:rPr>
          <w:sz w:val="18"/>
          <w:szCs w:val="18"/>
          <w:lang w:val="en-US"/>
        </w:rPr>
        <w:t xml:space="preserve"> (SM and FM) consistently exhibited higher weights compared to those receiving </w:t>
      </w:r>
      <w:r w:rsidR="00A04A7C">
        <w:rPr>
          <w:sz w:val="18"/>
          <w:szCs w:val="18"/>
          <w:lang w:val="en-US"/>
        </w:rPr>
        <w:t>low</w:t>
      </w:r>
      <w:r w:rsidR="001C4ADF" w:rsidRPr="00791033">
        <w:rPr>
          <w:sz w:val="18"/>
          <w:szCs w:val="18"/>
          <w:lang w:val="en-US"/>
        </w:rPr>
        <w:t xml:space="preserve"> allowance</w:t>
      </w:r>
      <w:r w:rsidR="000513E8">
        <w:rPr>
          <w:sz w:val="18"/>
          <w:szCs w:val="18"/>
          <w:lang w:val="en-US"/>
        </w:rPr>
        <w:t>s</w:t>
      </w:r>
      <w:r w:rsidR="001C4ADF" w:rsidRPr="00791033">
        <w:rPr>
          <w:sz w:val="18"/>
          <w:szCs w:val="18"/>
          <w:lang w:val="en-US"/>
        </w:rPr>
        <w:t>, regardless of colostrum treatment (</w:t>
      </w:r>
      <w:r w:rsidR="00734273">
        <w:rPr>
          <w:sz w:val="18"/>
          <w:szCs w:val="18"/>
          <w:lang w:val="en-US"/>
        </w:rPr>
        <w:t>Figure 1</w:t>
      </w:r>
      <w:r w:rsidR="001C4ADF" w:rsidRPr="00791033">
        <w:rPr>
          <w:sz w:val="18"/>
          <w:szCs w:val="18"/>
          <w:lang w:val="en-US"/>
        </w:rPr>
        <w:t>).</w:t>
      </w:r>
      <w:r w:rsidR="002932D6" w:rsidRPr="00791033">
        <w:rPr>
          <w:sz w:val="18"/>
          <w:szCs w:val="18"/>
          <w:lang w:val="en-US"/>
        </w:rPr>
        <w:t xml:space="preserve"> </w:t>
      </w:r>
      <w:r w:rsidR="00CB6504" w:rsidRPr="00791033">
        <w:rPr>
          <w:sz w:val="18"/>
          <w:szCs w:val="18"/>
          <w:lang w:val="en-US"/>
        </w:rPr>
        <w:t>Similarly, i</w:t>
      </w:r>
      <w:r w:rsidR="001D27D0" w:rsidRPr="00791033">
        <w:rPr>
          <w:sz w:val="18"/>
          <w:szCs w:val="18"/>
          <w:lang w:val="en-US"/>
        </w:rPr>
        <w:t xml:space="preserve">ncreased fresh tissue weights were </w:t>
      </w:r>
      <w:r w:rsidR="001D27D0" w:rsidRPr="00791033">
        <w:rPr>
          <w:sz w:val="18"/>
          <w:szCs w:val="18"/>
          <w:lang w:val="en-GB"/>
        </w:rPr>
        <w:t>observed</w:t>
      </w:r>
      <w:r w:rsidR="001D27D0" w:rsidRPr="00791033">
        <w:rPr>
          <w:sz w:val="18"/>
          <w:szCs w:val="18"/>
          <w:lang w:val="en-US"/>
        </w:rPr>
        <w:t xml:space="preserve"> in the duodenum, jejunum, ileum, cecum, and colon of SM and FM calves, with the influence of MR being evident (</w:t>
      </w:r>
      <w:r w:rsidR="001D27D0" w:rsidRPr="00791033">
        <w:rPr>
          <w:i/>
          <w:iCs/>
          <w:sz w:val="18"/>
          <w:szCs w:val="18"/>
          <w:lang w:val="en-US"/>
        </w:rPr>
        <w:t>P</w:t>
      </w:r>
      <w:r w:rsidR="001D27D0" w:rsidRPr="00791033">
        <w:rPr>
          <w:sz w:val="18"/>
          <w:szCs w:val="18"/>
          <w:lang w:val="en-US"/>
        </w:rPr>
        <w:t>&lt;0.05) across the three distinct dissection timepoints</w:t>
      </w:r>
      <w:r w:rsidR="0083622B" w:rsidRPr="00791033">
        <w:rPr>
          <w:sz w:val="18"/>
          <w:szCs w:val="18"/>
          <w:lang w:val="en-US"/>
        </w:rPr>
        <w:t xml:space="preserve">. </w:t>
      </w:r>
      <w:r w:rsidR="00660938">
        <w:rPr>
          <w:sz w:val="18"/>
          <w:szCs w:val="18"/>
          <w:lang w:val="en-US"/>
        </w:rPr>
        <w:t xml:space="preserve">By design, calves receiving moderate levels of MR </w:t>
      </w:r>
      <w:r w:rsidR="00EA6AFB">
        <w:rPr>
          <w:sz w:val="18"/>
          <w:szCs w:val="18"/>
          <w:lang w:val="en-US"/>
        </w:rPr>
        <w:t>had</w:t>
      </w:r>
      <w:r w:rsidR="00660938">
        <w:rPr>
          <w:sz w:val="18"/>
          <w:szCs w:val="18"/>
          <w:lang w:val="en-US"/>
        </w:rPr>
        <w:t xml:space="preserve"> greater milk intakes (</w:t>
      </w:r>
      <w:r w:rsidR="00A64312" w:rsidRPr="00A64312">
        <w:rPr>
          <w:i/>
          <w:iCs/>
          <w:sz w:val="18"/>
          <w:szCs w:val="18"/>
          <w:lang w:val="en-US"/>
        </w:rPr>
        <w:t>P</w:t>
      </w:r>
      <w:r w:rsidR="00A64312">
        <w:rPr>
          <w:sz w:val="18"/>
          <w:szCs w:val="18"/>
          <w:lang w:val="en-US"/>
        </w:rPr>
        <w:t>&lt;0.05)</w:t>
      </w:r>
      <w:r w:rsidR="00EA6AFB">
        <w:rPr>
          <w:sz w:val="18"/>
          <w:szCs w:val="18"/>
          <w:lang w:val="en-US"/>
        </w:rPr>
        <w:t>, while</w:t>
      </w:r>
      <w:r w:rsidR="00A64312">
        <w:rPr>
          <w:sz w:val="18"/>
          <w:szCs w:val="18"/>
          <w:lang w:val="en-US"/>
        </w:rPr>
        <w:t xml:space="preserve"> starter intake was influenced by CR (</w:t>
      </w:r>
      <w:r w:rsidR="00A64312" w:rsidRPr="00A64312">
        <w:rPr>
          <w:i/>
          <w:iCs/>
          <w:sz w:val="18"/>
          <w:szCs w:val="18"/>
          <w:lang w:val="en-US"/>
        </w:rPr>
        <w:t>P</w:t>
      </w:r>
      <w:r w:rsidR="00A64312">
        <w:rPr>
          <w:sz w:val="18"/>
          <w:szCs w:val="18"/>
          <w:lang w:val="en-US"/>
        </w:rPr>
        <w:t xml:space="preserve">=0.05) and </w:t>
      </w:r>
      <w:r w:rsidR="00A64312" w:rsidRPr="00A64312">
        <w:rPr>
          <w:sz w:val="18"/>
          <w:szCs w:val="18"/>
          <w:lang w:val="en-US"/>
        </w:rPr>
        <w:t>throughout the entire experiment, there was a</w:t>
      </w:r>
      <w:r w:rsidR="00A64312">
        <w:rPr>
          <w:sz w:val="18"/>
          <w:szCs w:val="18"/>
          <w:lang w:val="en-US"/>
        </w:rPr>
        <w:t xml:space="preserve"> tendency for an </w:t>
      </w:r>
      <w:r w:rsidR="00A64312" w:rsidRPr="00A64312">
        <w:rPr>
          <w:sz w:val="18"/>
          <w:szCs w:val="18"/>
          <w:lang w:val="en-US"/>
        </w:rPr>
        <w:t xml:space="preserve">interaction between </w:t>
      </w:r>
      <w:r w:rsidR="00A64312">
        <w:rPr>
          <w:sz w:val="18"/>
          <w:szCs w:val="18"/>
          <w:lang w:val="en-US"/>
        </w:rPr>
        <w:t>CR</w:t>
      </w:r>
      <w:r w:rsidR="00A64312" w:rsidRPr="00A64312">
        <w:rPr>
          <w:sz w:val="18"/>
          <w:szCs w:val="18"/>
          <w:lang w:val="en-US"/>
        </w:rPr>
        <w:t xml:space="preserve"> and MR</w:t>
      </w:r>
      <w:r w:rsidR="00A64312">
        <w:rPr>
          <w:sz w:val="18"/>
          <w:szCs w:val="18"/>
          <w:lang w:val="en-US"/>
        </w:rPr>
        <w:t xml:space="preserve"> (</w:t>
      </w:r>
      <w:r w:rsidR="00A64312" w:rsidRPr="00A64312">
        <w:rPr>
          <w:i/>
          <w:iCs/>
          <w:sz w:val="18"/>
          <w:szCs w:val="18"/>
          <w:lang w:val="en-US"/>
        </w:rPr>
        <w:t>P</w:t>
      </w:r>
      <w:r w:rsidR="00A64312">
        <w:rPr>
          <w:sz w:val="18"/>
          <w:szCs w:val="18"/>
          <w:lang w:val="en-US"/>
        </w:rPr>
        <w:t xml:space="preserve">=0.09). </w:t>
      </w:r>
    </w:p>
    <w:p w14:paraId="433ABF69" w14:textId="3A80F653" w:rsidR="0083622B" w:rsidRPr="00791033" w:rsidRDefault="00B9627B" w:rsidP="007774FE">
      <w:pPr>
        <w:pStyle w:val="Default"/>
        <w:jc w:val="both"/>
        <w:rPr>
          <w:sz w:val="18"/>
          <w:szCs w:val="18"/>
          <w:lang w:val="en-US"/>
        </w:rPr>
      </w:pPr>
      <w:r w:rsidRPr="00791033">
        <w:rPr>
          <w:b/>
          <w:bCs/>
          <w:i/>
          <w:iCs/>
          <w:sz w:val="18"/>
          <w:szCs w:val="18"/>
          <w:lang w:val="en-US"/>
        </w:rPr>
        <w:t>Conclusions</w:t>
      </w:r>
      <w:r w:rsidR="00604C53" w:rsidRPr="00791033">
        <w:rPr>
          <w:b/>
          <w:bCs/>
          <w:i/>
          <w:iCs/>
          <w:sz w:val="18"/>
          <w:szCs w:val="18"/>
          <w:lang w:val="en-US"/>
        </w:rPr>
        <w:t>:</w:t>
      </w:r>
      <w:r w:rsidR="00604C53" w:rsidRPr="00791033">
        <w:rPr>
          <w:b/>
          <w:bCs/>
          <w:sz w:val="18"/>
          <w:szCs w:val="18"/>
          <w:lang w:val="en-US"/>
        </w:rPr>
        <w:t xml:space="preserve"> </w:t>
      </w:r>
      <w:r w:rsidR="00550785" w:rsidRPr="00791033">
        <w:rPr>
          <w:sz w:val="18"/>
          <w:szCs w:val="18"/>
          <w:lang w:val="en-US"/>
        </w:rPr>
        <w:t xml:space="preserve">No morphological </w:t>
      </w:r>
      <w:r w:rsidR="00550785">
        <w:rPr>
          <w:sz w:val="18"/>
          <w:szCs w:val="18"/>
          <w:lang w:val="en-US"/>
        </w:rPr>
        <w:t>difference</w:t>
      </w:r>
      <w:r w:rsidR="00550785" w:rsidRPr="00791033">
        <w:rPr>
          <w:sz w:val="18"/>
          <w:szCs w:val="18"/>
          <w:lang w:val="en-US"/>
        </w:rPr>
        <w:t xml:space="preserve"> were observed </w:t>
      </w:r>
      <w:r w:rsidR="00550785">
        <w:rPr>
          <w:sz w:val="18"/>
          <w:szCs w:val="18"/>
          <w:lang w:val="en-US"/>
        </w:rPr>
        <w:t>from</w:t>
      </w:r>
      <w:r w:rsidR="00550785" w:rsidRPr="00791033">
        <w:rPr>
          <w:sz w:val="18"/>
          <w:szCs w:val="18"/>
          <w:lang w:val="en-US"/>
        </w:rPr>
        <w:t xml:space="preserve"> CR</w:t>
      </w:r>
      <w:r w:rsidR="00550785">
        <w:rPr>
          <w:sz w:val="18"/>
          <w:szCs w:val="18"/>
          <w:lang w:val="en-US"/>
        </w:rPr>
        <w:t xml:space="preserve"> supply</w:t>
      </w:r>
      <w:r w:rsidR="00550785" w:rsidRPr="00791033">
        <w:rPr>
          <w:sz w:val="18"/>
          <w:szCs w:val="18"/>
          <w:lang w:val="en-US"/>
        </w:rPr>
        <w:t xml:space="preserve">. However, the provision of MR </w:t>
      </w:r>
      <w:r w:rsidR="00550785">
        <w:rPr>
          <w:sz w:val="18"/>
          <w:szCs w:val="18"/>
          <w:lang w:val="en-US"/>
        </w:rPr>
        <w:t>strongly influenced the</w:t>
      </w:r>
      <w:r w:rsidR="00550785" w:rsidRPr="00791033">
        <w:rPr>
          <w:sz w:val="18"/>
          <w:szCs w:val="18"/>
          <w:lang w:val="en-US"/>
        </w:rPr>
        <w:t xml:space="preserve"> development of </w:t>
      </w:r>
      <w:r w:rsidR="00550785">
        <w:rPr>
          <w:sz w:val="18"/>
          <w:szCs w:val="18"/>
          <w:lang w:val="en-US"/>
        </w:rPr>
        <w:t xml:space="preserve">the </w:t>
      </w:r>
      <w:r w:rsidR="00550785" w:rsidRPr="00791033">
        <w:rPr>
          <w:sz w:val="18"/>
          <w:szCs w:val="18"/>
          <w:lang w:val="en-US"/>
        </w:rPr>
        <w:t>GIT. Notably, there was an increase in the tissue weight of the intestine in calves</w:t>
      </w:r>
      <w:r w:rsidR="00550785">
        <w:rPr>
          <w:sz w:val="18"/>
          <w:szCs w:val="18"/>
          <w:lang w:val="en-US"/>
        </w:rPr>
        <w:t xml:space="preserve"> receiving more milk</w:t>
      </w:r>
      <w:r w:rsidR="00550785" w:rsidRPr="00791033">
        <w:rPr>
          <w:sz w:val="18"/>
          <w:szCs w:val="18"/>
          <w:lang w:val="en-US"/>
        </w:rPr>
        <w:t xml:space="preserve">. This augmented weight might imply a potentially larger surface area for nutrient absorption, </w:t>
      </w:r>
      <w:r w:rsidR="00550785">
        <w:rPr>
          <w:sz w:val="18"/>
          <w:szCs w:val="18"/>
          <w:lang w:val="en-US"/>
        </w:rPr>
        <w:t>in line with the greater</w:t>
      </w:r>
      <w:r w:rsidR="00550785" w:rsidRPr="00791033">
        <w:rPr>
          <w:sz w:val="18"/>
          <w:szCs w:val="18"/>
          <w:lang w:val="en-US"/>
        </w:rPr>
        <w:t xml:space="preserve"> nutrient </w:t>
      </w:r>
      <w:r w:rsidR="00550785">
        <w:rPr>
          <w:sz w:val="18"/>
          <w:szCs w:val="18"/>
          <w:lang w:val="en-US"/>
        </w:rPr>
        <w:lastRenderedPageBreak/>
        <w:t>supply to</w:t>
      </w:r>
      <w:r w:rsidR="00550785" w:rsidRPr="00791033">
        <w:rPr>
          <w:sz w:val="18"/>
          <w:szCs w:val="18"/>
          <w:lang w:val="en-US"/>
        </w:rPr>
        <w:t xml:space="preserve"> these calves.</w:t>
      </w:r>
      <w:r w:rsidR="00550785">
        <w:rPr>
          <w:sz w:val="18"/>
          <w:szCs w:val="18"/>
          <w:lang w:val="en-US"/>
        </w:rPr>
        <w:t xml:space="preserve"> Further study of gut tissue morphology may describe more in depth the value of these interventions on the development of gastrointestinal competence of dairy surplus calves.</w:t>
      </w:r>
      <w:r w:rsidR="00842427">
        <w:rPr>
          <w:sz w:val="18"/>
          <w:szCs w:val="18"/>
          <w:lang w:val="en-US"/>
        </w:rPr>
        <w:t xml:space="preserve"> </w:t>
      </w:r>
    </w:p>
    <w:p w14:paraId="6A665C89" w14:textId="07F2847C" w:rsidR="00604C53" w:rsidRDefault="00791033" w:rsidP="00753F7C">
      <w:pPr>
        <w:pStyle w:val="Default"/>
        <w:jc w:val="both"/>
        <w:rPr>
          <w:sz w:val="18"/>
          <w:szCs w:val="18"/>
          <w:lang w:val="en-US"/>
        </w:rPr>
      </w:pPr>
      <w:r w:rsidRPr="00791033">
        <w:rPr>
          <w:b/>
          <w:bCs/>
          <w:i/>
          <w:iCs/>
          <w:sz w:val="18"/>
          <w:szCs w:val="18"/>
          <w:lang w:val="en-US"/>
        </w:rPr>
        <w:t>Acknowledgements</w:t>
      </w:r>
      <w:r w:rsidR="00604C53" w:rsidRPr="00791033">
        <w:rPr>
          <w:b/>
          <w:bCs/>
          <w:i/>
          <w:iCs/>
          <w:sz w:val="18"/>
          <w:szCs w:val="18"/>
          <w:lang w:val="en-US"/>
        </w:rPr>
        <w:t xml:space="preserve">: </w:t>
      </w:r>
      <w:r w:rsidR="00604C53" w:rsidRPr="00791033">
        <w:rPr>
          <w:sz w:val="18"/>
          <w:szCs w:val="18"/>
          <w:lang w:val="en-US"/>
        </w:rPr>
        <w:t xml:space="preserve">The authors acknowledge funding from the Dairy Farmers of Ontario, </w:t>
      </w:r>
      <w:r w:rsidR="00DD39D3">
        <w:rPr>
          <w:sz w:val="18"/>
          <w:szCs w:val="18"/>
          <w:lang w:val="en-US"/>
        </w:rPr>
        <w:t xml:space="preserve">NSERC, </w:t>
      </w:r>
      <w:r w:rsidRPr="00791033">
        <w:rPr>
          <w:sz w:val="18"/>
          <w:szCs w:val="18"/>
          <w:lang w:val="en-US"/>
        </w:rPr>
        <w:t>Canada</w:t>
      </w:r>
      <w:r w:rsidR="00604C53" w:rsidRPr="00791033">
        <w:rPr>
          <w:sz w:val="18"/>
          <w:szCs w:val="18"/>
          <w:lang w:val="en-US"/>
        </w:rPr>
        <w:t xml:space="preserve"> and </w:t>
      </w:r>
      <w:proofErr w:type="spellStart"/>
      <w:r w:rsidR="00604C53" w:rsidRPr="00791033">
        <w:rPr>
          <w:sz w:val="18"/>
          <w:szCs w:val="18"/>
          <w:lang w:val="en-US"/>
        </w:rPr>
        <w:t>Trouw</w:t>
      </w:r>
      <w:proofErr w:type="spellEnd"/>
      <w:r w:rsidR="00604C53" w:rsidRPr="00791033">
        <w:rPr>
          <w:sz w:val="18"/>
          <w:szCs w:val="18"/>
          <w:lang w:val="en-US"/>
        </w:rPr>
        <w:t xml:space="preserve"> Nutrition.</w:t>
      </w:r>
    </w:p>
    <w:p w14:paraId="60D76DF2" w14:textId="77777777" w:rsidR="00231CF3" w:rsidRDefault="00F5443F" w:rsidP="00753F7C">
      <w:pPr>
        <w:pStyle w:val="Default"/>
        <w:jc w:val="both"/>
        <w:rPr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 xml:space="preserve">References: </w:t>
      </w:r>
      <w:proofErr w:type="spellStart"/>
      <w:r w:rsidRPr="00F5443F">
        <w:rPr>
          <w:sz w:val="18"/>
          <w:szCs w:val="18"/>
          <w:lang w:val="en-US"/>
        </w:rPr>
        <w:t>Blättler</w:t>
      </w:r>
      <w:proofErr w:type="spellEnd"/>
      <w:r w:rsidRPr="00F5443F">
        <w:rPr>
          <w:sz w:val="18"/>
          <w:szCs w:val="18"/>
          <w:lang w:val="en-US"/>
        </w:rPr>
        <w:t>, U., Hammon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H. M., Morel,</w:t>
      </w:r>
      <w:r>
        <w:rPr>
          <w:sz w:val="18"/>
          <w:szCs w:val="18"/>
          <w:lang w:val="en-US"/>
        </w:rPr>
        <w:t xml:space="preserve"> </w:t>
      </w:r>
      <w:r w:rsidRPr="00F5443F">
        <w:rPr>
          <w:sz w:val="18"/>
          <w:szCs w:val="18"/>
          <w:lang w:val="en-US"/>
        </w:rPr>
        <w:t>C.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</w:t>
      </w:r>
      <w:proofErr w:type="spellStart"/>
      <w:r w:rsidRPr="00F5443F">
        <w:rPr>
          <w:sz w:val="18"/>
          <w:szCs w:val="18"/>
          <w:lang w:val="en-US"/>
        </w:rPr>
        <w:t>Philipona</w:t>
      </w:r>
      <w:proofErr w:type="spellEnd"/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C., </w:t>
      </w:r>
      <w:proofErr w:type="spellStart"/>
      <w:r w:rsidRPr="00F5443F">
        <w:rPr>
          <w:sz w:val="18"/>
          <w:szCs w:val="18"/>
          <w:lang w:val="en-US"/>
        </w:rPr>
        <w:t>Rauprich</w:t>
      </w:r>
      <w:proofErr w:type="spellEnd"/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A., </w:t>
      </w:r>
      <w:proofErr w:type="spellStart"/>
      <w:r w:rsidRPr="00F5443F">
        <w:rPr>
          <w:sz w:val="18"/>
          <w:szCs w:val="18"/>
          <w:lang w:val="en-US"/>
        </w:rPr>
        <w:t>Romé</w:t>
      </w:r>
      <w:proofErr w:type="spellEnd"/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V., and Blum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J. W. 2001. J. </w:t>
      </w:r>
      <w:proofErr w:type="spellStart"/>
      <w:r w:rsidRPr="00F5443F">
        <w:rPr>
          <w:sz w:val="18"/>
          <w:szCs w:val="18"/>
          <w:lang w:val="en-US"/>
        </w:rPr>
        <w:t>Nutr</w:t>
      </w:r>
      <w:proofErr w:type="spellEnd"/>
      <w:r w:rsidRPr="00F5443F">
        <w:rPr>
          <w:sz w:val="18"/>
          <w:szCs w:val="18"/>
          <w:lang w:val="en-US"/>
        </w:rPr>
        <w:t>. 13</w:t>
      </w:r>
      <w:r>
        <w:rPr>
          <w:sz w:val="18"/>
          <w:szCs w:val="18"/>
          <w:lang w:val="en-US"/>
        </w:rPr>
        <w:t>1,</w:t>
      </w:r>
      <w:r w:rsidRPr="00F5443F">
        <w:rPr>
          <w:sz w:val="18"/>
          <w:szCs w:val="18"/>
          <w:lang w:val="en-US"/>
        </w:rPr>
        <w:t xml:space="preserve"> 1256-1263</w:t>
      </w:r>
      <w:r w:rsidR="00231CF3">
        <w:rPr>
          <w:sz w:val="18"/>
          <w:szCs w:val="18"/>
          <w:lang w:val="en-US"/>
        </w:rPr>
        <w:t>.</w:t>
      </w:r>
    </w:p>
    <w:p w14:paraId="6EDB466B" w14:textId="743EAA51" w:rsidR="00231CF3" w:rsidRDefault="00F5443F" w:rsidP="00753F7C">
      <w:pPr>
        <w:pStyle w:val="Default"/>
        <w:jc w:val="both"/>
        <w:rPr>
          <w:sz w:val="18"/>
          <w:szCs w:val="18"/>
          <w:lang w:val="en-US"/>
        </w:rPr>
      </w:pPr>
      <w:r w:rsidRPr="00F5443F">
        <w:rPr>
          <w:sz w:val="18"/>
          <w:szCs w:val="18"/>
          <w:lang w:val="en-US"/>
        </w:rPr>
        <w:t>Khan, M., Lee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H., Lee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W., Kim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H., Ki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K., </w:t>
      </w:r>
      <w:r w:rsidR="00231CF3" w:rsidRPr="00F5443F">
        <w:rPr>
          <w:sz w:val="18"/>
          <w:szCs w:val="18"/>
          <w:lang w:val="en-US"/>
        </w:rPr>
        <w:t>Hur</w:t>
      </w:r>
      <w:r w:rsidR="00231CF3">
        <w:rPr>
          <w:sz w:val="18"/>
          <w:szCs w:val="18"/>
          <w:lang w:val="en-US"/>
        </w:rPr>
        <w:t xml:space="preserve">, </w:t>
      </w:r>
      <w:r w:rsidRPr="00F5443F">
        <w:rPr>
          <w:sz w:val="18"/>
          <w:szCs w:val="18"/>
          <w:lang w:val="en-US"/>
        </w:rPr>
        <w:t xml:space="preserve">T., </w:t>
      </w:r>
      <w:r w:rsidR="00231CF3" w:rsidRPr="00F5443F">
        <w:rPr>
          <w:sz w:val="18"/>
          <w:szCs w:val="18"/>
          <w:lang w:val="en-US"/>
        </w:rPr>
        <w:t>Suh</w:t>
      </w:r>
      <w:r w:rsidR="00231CF3">
        <w:rPr>
          <w:sz w:val="18"/>
          <w:szCs w:val="18"/>
          <w:lang w:val="en-US"/>
        </w:rPr>
        <w:t>,</w:t>
      </w:r>
      <w:r w:rsidR="00231CF3" w:rsidRPr="00F5443F">
        <w:rPr>
          <w:sz w:val="18"/>
          <w:szCs w:val="18"/>
          <w:lang w:val="en-US"/>
        </w:rPr>
        <w:t xml:space="preserve"> </w:t>
      </w:r>
      <w:r w:rsidRPr="00F5443F">
        <w:rPr>
          <w:sz w:val="18"/>
          <w:szCs w:val="18"/>
          <w:lang w:val="en-US"/>
        </w:rPr>
        <w:t xml:space="preserve">G., </w:t>
      </w:r>
      <w:r w:rsidR="00231CF3" w:rsidRPr="00F5443F">
        <w:rPr>
          <w:sz w:val="18"/>
          <w:szCs w:val="18"/>
          <w:lang w:val="en-US"/>
        </w:rPr>
        <w:t>Kang</w:t>
      </w:r>
      <w:r w:rsidR="00231CF3">
        <w:rPr>
          <w:sz w:val="18"/>
          <w:szCs w:val="18"/>
          <w:lang w:val="en-US"/>
        </w:rPr>
        <w:t>,</w:t>
      </w:r>
      <w:r w:rsidR="00231CF3" w:rsidRPr="00F5443F">
        <w:rPr>
          <w:sz w:val="18"/>
          <w:szCs w:val="18"/>
          <w:lang w:val="en-US"/>
        </w:rPr>
        <w:t xml:space="preserve"> </w:t>
      </w:r>
      <w:r w:rsidRPr="00F5443F">
        <w:rPr>
          <w:sz w:val="18"/>
          <w:szCs w:val="18"/>
          <w:lang w:val="en-US"/>
        </w:rPr>
        <w:t xml:space="preserve">S., </w:t>
      </w:r>
      <w:r w:rsidR="00231CF3" w:rsidRPr="00F5443F">
        <w:rPr>
          <w:sz w:val="18"/>
          <w:szCs w:val="18"/>
          <w:lang w:val="en-US"/>
        </w:rPr>
        <w:t xml:space="preserve">and Choi </w:t>
      </w:r>
      <w:r w:rsidRPr="00F5443F">
        <w:rPr>
          <w:sz w:val="18"/>
          <w:szCs w:val="18"/>
          <w:lang w:val="en-US"/>
        </w:rPr>
        <w:t>Y. 2007.</w:t>
      </w:r>
      <w:r w:rsidR="00231CF3">
        <w:rPr>
          <w:sz w:val="18"/>
          <w:szCs w:val="18"/>
          <w:lang w:val="en-US"/>
        </w:rPr>
        <w:t xml:space="preserve"> </w:t>
      </w:r>
      <w:r w:rsidRPr="00F5443F">
        <w:rPr>
          <w:sz w:val="18"/>
          <w:szCs w:val="18"/>
          <w:lang w:val="en-US"/>
        </w:rPr>
        <w:t>J. Dairy Sci. 90</w:t>
      </w:r>
      <w:r w:rsidR="00231CF3"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>3376–3387</w:t>
      </w:r>
      <w:r w:rsidR="00231CF3">
        <w:rPr>
          <w:sz w:val="18"/>
          <w:szCs w:val="18"/>
          <w:lang w:val="en-US"/>
        </w:rPr>
        <w:t>.</w:t>
      </w:r>
    </w:p>
    <w:p w14:paraId="042B89B2" w14:textId="77CC942A" w:rsidR="00F5443F" w:rsidRDefault="00F5443F" w:rsidP="00753F7C">
      <w:pPr>
        <w:pStyle w:val="Default"/>
        <w:jc w:val="both"/>
        <w:rPr>
          <w:sz w:val="18"/>
          <w:szCs w:val="18"/>
          <w:lang w:val="en-US"/>
        </w:rPr>
      </w:pPr>
      <w:proofErr w:type="spellStart"/>
      <w:r w:rsidRPr="00F5443F">
        <w:rPr>
          <w:sz w:val="18"/>
          <w:szCs w:val="18"/>
          <w:lang w:val="en-US"/>
        </w:rPr>
        <w:t>Ollivett</w:t>
      </w:r>
      <w:proofErr w:type="spellEnd"/>
      <w:r w:rsidRPr="00F5443F">
        <w:rPr>
          <w:sz w:val="18"/>
          <w:szCs w:val="18"/>
          <w:lang w:val="en-US"/>
        </w:rPr>
        <w:t>, T. L., Nydam,</w:t>
      </w:r>
      <w:r>
        <w:rPr>
          <w:sz w:val="18"/>
          <w:szCs w:val="18"/>
          <w:lang w:val="en-US"/>
        </w:rPr>
        <w:t xml:space="preserve"> </w:t>
      </w:r>
      <w:r w:rsidRPr="00F5443F">
        <w:rPr>
          <w:sz w:val="18"/>
          <w:szCs w:val="18"/>
          <w:lang w:val="en-US"/>
        </w:rPr>
        <w:t>D. V.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Linden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T. C., Bowman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D. D., and Amburgh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 xml:space="preserve"> M. E. V. 2012. J.</w:t>
      </w:r>
      <w:r w:rsidR="00842427">
        <w:rPr>
          <w:sz w:val="18"/>
          <w:szCs w:val="18"/>
          <w:lang w:val="en-US"/>
        </w:rPr>
        <w:t xml:space="preserve"> </w:t>
      </w:r>
      <w:r w:rsidRPr="00F5443F">
        <w:rPr>
          <w:sz w:val="18"/>
          <w:szCs w:val="18"/>
          <w:lang w:val="en-US"/>
        </w:rPr>
        <w:t>Am.</w:t>
      </w:r>
      <w:r w:rsidR="00842427">
        <w:rPr>
          <w:sz w:val="18"/>
          <w:szCs w:val="18"/>
          <w:lang w:val="en-US"/>
        </w:rPr>
        <w:t xml:space="preserve"> </w:t>
      </w:r>
      <w:r w:rsidRPr="00F5443F">
        <w:rPr>
          <w:sz w:val="18"/>
          <w:szCs w:val="18"/>
          <w:lang w:val="en-US"/>
        </w:rPr>
        <w:t>Vet.</w:t>
      </w:r>
      <w:r w:rsidR="00842427">
        <w:rPr>
          <w:sz w:val="18"/>
          <w:szCs w:val="18"/>
          <w:lang w:val="en-US"/>
        </w:rPr>
        <w:t xml:space="preserve"> </w:t>
      </w:r>
      <w:r w:rsidRPr="00F5443F">
        <w:rPr>
          <w:sz w:val="18"/>
          <w:szCs w:val="18"/>
          <w:lang w:val="en-US"/>
        </w:rPr>
        <w:t>Med.</w:t>
      </w:r>
      <w:r w:rsidR="00842427">
        <w:rPr>
          <w:sz w:val="18"/>
          <w:szCs w:val="18"/>
          <w:lang w:val="en-US"/>
        </w:rPr>
        <w:t xml:space="preserve"> </w:t>
      </w:r>
      <w:r w:rsidRPr="00F5443F">
        <w:rPr>
          <w:sz w:val="18"/>
          <w:szCs w:val="18"/>
          <w:lang w:val="en-US"/>
        </w:rPr>
        <w:t>Assoc.</w:t>
      </w:r>
      <w:r w:rsidR="00842427">
        <w:rPr>
          <w:sz w:val="18"/>
          <w:szCs w:val="18"/>
          <w:lang w:val="en-US"/>
        </w:rPr>
        <w:t xml:space="preserve"> </w:t>
      </w:r>
      <w:r w:rsidRPr="00F5443F">
        <w:rPr>
          <w:sz w:val="18"/>
          <w:szCs w:val="18"/>
          <w:lang w:val="en-US"/>
        </w:rPr>
        <w:t>24</w:t>
      </w:r>
      <w:r>
        <w:rPr>
          <w:sz w:val="18"/>
          <w:szCs w:val="18"/>
          <w:lang w:val="en-US"/>
        </w:rPr>
        <w:t>,</w:t>
      </w:r>
      <w:r w:rsidRPr="00F5443F">
        <w:rPr>
          <w:sz w:val="18"/>
          <w:szCs w:val="18"/>
          <w:lang w:val="en-US"/>
        </w:rPr>
        <w:t>1514–1520</w:t>
      </w:r>
      <w:r w:rsidR="00231CF3">
        <w:rPr>
          <w:sz w:val="18"/>
          <w:szCs w:val="18"/>
          <w:lang w:val="en-US"/>
        </w:rPr>
        <w:t>.</w:t>
      </w:r>
      <w:r w:rsidRPr="00F5443F">
        <w:rPr>
          <w:sz w:val="18"/>
          <w:szCs w:val="18"/>
          <w:lang w:val="en-US"/>
        </w:rPr>
        <w:t xml:space="preserve"> </w:t>
      </w:r>
    </w:p>
    <w:p w14:paraId="60867545" w14:textId="77777777" w:rsidR="00F5443F" w:rsidRPr="00F5443F" w:rsidRDefault="00F5443F" w:rsidP="00753F7C">
      <w:pPr>
        <w:pStyle w:val="Default"/>
        <w:jc w:val="both"/>
        <w:rPr>
          <w:sz w:val="18"/>
          <w:szCs w:val="18"/>
          <w:lang w:val="en-US"/>
        </w:rPr>
      </w:pPr>
    </w:p>
    <w:sectPr w:rsidR="00F5443F" w:rsidRPr="00F544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7B"/>
    <w:rsid w:val="00005547"/>
    <w:rsid w:val="00007FFD"/>
    <w:rsid w:val="0001189D"/>
    <w:rsid w:val="00012E09"/>
    <w:rsid w:val="000513E8"/>
    <w:rsid w:val="00064D68"/>
    <w:rsid w:val="000D4F20"/>
    <w:rsid w:val="00141524"/>
    <w:rsid w:val="00180C1F"/>
    <w:rsid w:val="001A353A"/>
    <w:rsid w:val="001B1ACA"/>
    <w:rsid w:val="001C4ADF"/>
    <w:rsid w:val="001D021A"/>
    <w:rsid w:val="001D27D0"/>
    <w:rsid w:val="00200FB0"/>
    <w:rsid w:val="0020191D"/>
    <w:rsid w:val="0021028C"/>
    <w:rsid w:val="0021254E"/>
    <w:rsid w:val="00215573"/>
    <w:rsid w:val="00231CF3"/>
    <w:rsid w:val="0023661A"/>
    <w:rsid w:val="002449A4"/>
    <w:rsid w:val="0025353B"/>
    <w:rsid w:val="00256506"/>
    <w:rsid w:val="002672A2"/>
    <w:rsid w:val="00291FEA"/>
    <w:rsid w:val="002932D6"/>
    <w:rsid w:val="002A02F3"/>
    <w:rsid w:val="002A2239"/>
    <w:rsid w:val="002B01B5"/>
    <w:rsid w:val="002F176E"/>
    <w:rsid w:val="00325C68"/>
    <w:rsid w:val="00326C66"/>
    <w:rsid w:val="0033774A"/>
    <w:rsid w:val="00341720"/>
    <w:rsid w:val="00380C15"/>
    <w:rsid w:val="00391CE5"/>
    <w:rsid w:val="003B48B3"/>
    <w:rsid w:val="003B7D87"/>
    <w:rsid w:val="003E1520"/>
    <w:rsid w:val="003E32EB"/>
    <w:rsid w:val="004163F1"/>
    <w:rsid w:val="004A2BF1"/>
    <w:rsid w:val="004A3A23"/>
    <w:rsid w:val="004D2CB1"/>
    <w:rsid w:val="004D41FB"/>
    <w:rsid w:val="004E7260"/>
    <w:rsid w:val="004E7D1F"/>
    <w:rsid w:val="00510B8D"/>
    <w:rsid w:val="00527297"/>
    <w:rsid w:val="00527FB8"/>
    <w:rsid w:val="00550785"/>
    <w:rsid w:val="005625EF"/>
    <w:rsid w:val="00563B37"/>
    <w:rsid w:val="005D16F4"/>
    <w:rsid w:val="005F5C66"/>
    <w:rsid w:val="00604C53"/>
    <w:rsid w:val="006254E8"/>
    <w:rsid w:val="00654D37"/>
    <w:rsid w:val="00660938"/>
    <w:rsid w:val="00675BE2"/>
    <w:rsid w:val="0067721B"/>
    <w:rsid w:val="00695FD8"/>
    <w:rsid w:val="006A6252"/>
    <w:rsid w:val="006D2936"/>
    <w:rsid w:val="0072106B"/>
    <w:rsid w:val="00734273"/>
    <w:rsid w:val="0074203F"/>
    <w:rsid w:val="007524B8"/>
    <w:rsid w:val="00753F7C"/>
    <w:rsid w:val="00760F0E"/>
    <w:rsid w:val="007774FE"/>
    <w:rsid w:val="00787685"/>
    <w:rsid w:val="00791033"/>
    <w:rsid w:val="0079333B"/>
    <w:rsid w:val="007E41FB"/>
    <w:rsid w:val="007F28CD"/>
    <w:rsid w:val="007F5E0F"/>
    <w:rsid w:val="008119A9"/>
    <w:rsid w:val="00822E2F"/>
    <w:rsid w:val="0083622B"/>
    <w:rsid w:val="008364FD"/>
    <w:rsid w:val="00842427"/>
    <w:rsid w:val="00866DAB"/>
    <w:rsid w:val="00882927"/>
    <w:rsid w:val="00883A2E"/>
    <w:rsid w:val="008A5EC5"/>
    <w:rsid w:val="008C5ADF"/>
    <w:rsid w:val="008E0CC9"/>
    <w:rsid w:val="009431B2"/>
    <w:rsid w:val="00975C47"/>
    <w:rsid w:val="009F1081"/>
    <w:rsid w:val="009F2BF1"/>
    <w:rsid w:val="00A04A7C"/>
    <w:rsid w:val="00A06201"/>
    <w:rsid w:val="00A136FE"/>
    <w:rsid w:val="00A36036"/>
    <w:rsid w:val="00A3664C"/>
    <w:rsid w:val="00A44023"/>
    <w:rsid w:val="00A52EDB"/>
    <w:rsid w:val="00A64312"/>
    <w:rsid w:val="00A7079F"/>
    <w:rsid w:val="00A9742B"/>
    <w:rsid w:val="00AB1538"/>
    <w:rsid w:val="00AB3EF1"/>
    <w:rsid w:val="00AB6784"/>
    <w:rsid w:val="00AC3FD6"/>
    <w:rsid w:val="00AC693D"/>
    <w:rsid w:val="00AF4A1B"/>
    <w:rsid w:val="00AF7859"/>
    <w:rsid w:val="00B02803"/>
    <w:rsid w:val="00B4388A"/>
    <w:rsid w:val="00B80CAC"/>
    <w:rsid w:val="00B83174"/>
    <w:rsid w:val="00B9627B"/>
    <w:rsid w:val="00BA4189"/>
    <w:rsid w:val="00BE2EC9"/>
    <w:rsid w:val="00BE43D5"/>
    <w:rsid w:val="00BF0523"/>
    <w:rsid w:val="00C029CC"/>
    <w:rsid w:val="00C31685"/>
    <w:rsid w:val="00C509E1"/>
    <w:rsid w:val="00C6309B"/>
    <w:rsid w:val="00C801C3"/>
    <w:rsid w:val="00C846EB"/>
    <w:rsid w:val="00CB4389"/>
    <w:rsid w:val="00CB6504"/>
    <w:rsid w:val="00CC478F"/>
    <w:rsid w:val="00CE47A9"/>
    <w:rsid w:val="00D43589"/>
    <w:rsid w:val="00D45FAE"/>
    <w:rsid w:val="00D8559F"/>
    <w:rsid w:val="00DC0D66"/>
    <w:rsid w:val="00DC48E7"/>
    <w:rsid w:val="00DD39D3"/>
    <w:rsid w:val="00E26B7E"/>
    <w:rsid w:val="00E44DCE"/>
    <w:rsid w:val="00E47C9C"/>
    <w:rsid w:val="00E527D2"/>
    <w:rsid w:val="00E62DDF"/>
    <w:rsid w:val="00E74A82"/>
    <w:rsid w:val="00E77249"/>
    <w:rsid w:val="00E871F2"/>
    <w:rsid w:val="00E904DF"/>
    <w:rsid w:val="00E92B13"/>
    <w:rsid w:val="00EA6AFB"/>
    <w:rsid w:val="00EF3E15"/>
    <w:rsid w:val="00EF5A57"/>
    <w:rsid w:val="00F105A7"/>
    <w:rsid w:val="00F26ED4"/>
    <w:rsid w:val="00F37305"/>
    <w:rsid w:val="00F50D5F"/>
    <w:rsid w:val="00F5443F"/>
    <w:rsid w:val="00F551CA"/>
    <w:rsid w:val="00FA44B8"/>
    <w:rsid w:val="00FB6C97"/>
    <w:rsid w:val="00FF0F86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78F0"/>
  <w15:docId w15:val="{5C45B887-3245-43D5-9BAC-D33464A1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6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2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7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0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D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7C9C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B1538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E5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880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 Ingrid</dc:creator>
  <cp:lastModifiedBy>Juanita Echeverry Munera</cp:lastModifiedBy>
  <cp:revision>9</cp:revision>
  <dcterms:created xsi:type="dcterms:W3CDTF">2023-12-21T10:45:00Z</dcterms:created>
  <dcterms:modified xsi:type="dcterms:W3CDTF">2023-12-27T09:30:00Z</dcterms:modified>
</cp:coreProperties>
</file>