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ECB3" w14:textId="4E713DFB" w:rsidR="007B30E3" w:rsidRPr="00A94E85" w:rsidRDefault="007B30E3" w:rsidP="00881606">
      <w:pPr>
        <w:jc w:val="both"/>
        <w:rPr>
          <w:b/>
          <w:bCs/>
          <w:lang w:val="en-US"/>
        </w:rPr>
      </w:pPr>
      <w:proofErr w:type="gramStart"/>
      <w:r>
        <w:rPr>
          <w:b/>
          <w:bCs/>
          <w:lang w:val="en-US"/>
        </w:rPr>
        <w:t>Application</w:t>
      </w:r>
      <w:r w:rsidR="00A94E85">
        <w:rPr>
          <w:b/>
          <w:bCs/>
          <w:lang w:val="en-US"/>
        </w:rPr>
        <w:t xml:space="preserve">  </w:t>
      </w:r>
      <w:r w:rsidR="00A94E85">
        <w:t>Variation</w:t>
      </w:r>
      <w:proofErr w:type="gramEnd"/>
      <w:r w:rsidR="00A94E85">
        <w:t xml:space="preserve"> in greenhouse gas emissions (</w:t>
      </w:r>
      <w:proofErr w:type="spellStart"/>
      <w:r w:rsidR="00A94E85">
        <w:t>GHGe</w:t>
      </w:r>
      <w:proofErr w:type="spellEnd"/>
      <w:r w:rsidR="00A94E85">
        <w:t>) across UK beef and sheep production systems may highlight opportunities for cutting carbon footprints of ruminant livestock.</w:t>
      </w:r>
    </w:p>
    <w:p w14:paraId="3A845EE9" w14:textId="77777777" w:rsidR="00CE071B" w:rsidRDefault="00CE071B" w:rsidP="00881606">
      <w:pPr>
        <w:jc w:val="both"/>
        <w:rPr>
          <w:b/>
          <w:bCs/>
          <w:lang w:val="en-US"/>
        </w:rPr>
      </w:pPr>
    </w:p>
    <w:p w14:paraId="79793918" w14:textId="6ED9F477" w:rsidR="00A94E85" w:rsidRPr="00A94E85" w:rsidRDefault="007B30E3" w:rsidP="00881606">
      <w:pPr>
        <w:jc w:val="both"/>
        <w:rPr>
          <w:b/>
          <w:bCs/>
          <w:lang w:val="en-US"/>
        </w:rPr>
      </w:pPr>
      <w:proofErr w:type="gramStart"/>
      <w:r>
        <w:rPr>
          <w:b/>
          <w:bCs/>
          <w:lang w:val="en-US"/>
        </w:rPr>
        <w:t>Introduction</w:t>
      </w:r>
      <w:r w:rsidR="00A94E85">
        <w:rPr>
          <w:b/>
          <w:bCs/>
          <w:lang w:val="en-US"/>
        </w:rPr>
        <w:t xml:space="preserve">  </w:t>
      </w:r>
      <w:r w:rsidR="00A94E85">
        <w:t>The</w:t>
      </w:r>
      <w:proofErr w:type="gramEnd"/>
      <w:r w:rsidR="00A94E85">
        <w:t xml:space="preserve"> sustainability of ruminant livestock systems is under considerable scrutiny given the contributions of methane and other greenhouse gases to climate change. Although data relating to </w:t>
      </w:r>
      <w:proofErr w:type="spellStart"/>
      <w:r w:rsidR="00A94E85">
        <w:t>GHGe</w:t>
      </w:r>
      <w:proofErr w:type="spellEnd"/>
      <w:r w:rsidR="00A94E85">
        <w:t xml:space="preserve"> from beef and sheep systems are widely reported, these data are either based on global averages that are not specific to or characteristic of UK systems; or are dated, both in terms of farm performance and </w:t>
      </w:r>
      <w:proofErr w:type="spellStart"/>
      <w:r w:rsidR="00A94E85">
        <w:t>GHGe</w:t>
      </w:r>
      <w:proofErr w:type="spellEnd"/>
      <w:r w:rsidR="00A94E85">
        <w:t xml:space="preserve"> calculation methodology. Reducing </w:t>
      </w:r>
      <w:proofErr w:type="spellStart"/>
      <w:r w:rsidR="00A94E85">
        <w:t>GHGe</w:t>
      </w:r>
      <w:proofErr w:type="spellEnd"/>
      <w:r w:rsidR="00A94E85">
        <w:t xml:space="preserve"> from UK beef and sheep production therefore relies on a trifurcate approach: 1) establish the baseline, 2) quantify the impacts of specific management practices and systems, and 3) evoke behavioural change such that producers adopt new practices and/or improve existing operations. On-farm practices account for up to 90% of the </w:t>
      </w:r>
      <w:proofErr w:type="spellStart"/>
      <w:r w:rsidR="00A94E85">
        <w:t>GHGe</w:t>
      </w:r>
      <w:proofErr w:type="spellEnd"/>
      <w:r w:rsidR="00A94E85">
        <w:t xml:space="preserve"> from beef and lamb production from farm to fork, therefore meat processors have an obvious interest in encouraging mitigation measures to reduce their Scope III emissions. As the largest beef and lamb processor in the UK, ABP Foods therefore initiated the PRISM2030 programme to enhance the sustainability (</w:t>
      </w:r>
      <w:proofErr w:type="spellStart"/>
      <w:r w:rsidR="00A94E85">
        <w:t>GHGe</w:t>
      </w:r>
      <w:proofErr w:type="spellEnd"/>
      <w:r w:rsidR="00A94E85">
        <w:t xml:space="preserve"> plus wider environmental, economic and social metrics) of their suppliers.</w:t>
      </w:r>
    </w:p>
    <w:p w14:paraId="167B5498" w14:textId="631D69F0" w:rsidR="007B30E3" w:rsidRDefault="00A94E85" w:rsidP="00881606">
      <w:pPr>
        <w:jc w:val="both"/>
      </w:pPr>
      <w:r w:rsidRPr="000357F3">
        <w:t xml:space="preserve">The objective of this study was to quantify </w:t>
      </w:r>
      <w:r w:rsidR="000F6F21" w:rsidRPr="000357F3">
        <w:t>a</w:t>
      </w:r>
      <w:r w:rsidRPr="000357F3">
        <w:t xml:space="preserve"> baseline </w:t>
      </w:r>
      <w:r w:rsidR="000F6F21" w:rsidRPr="000357F3">
        <w:t xml:space="preserve">for </w:t>
      </w:r>
      <w:proofErr w:type="spellStart"/>
      <w:r w:rsidRPr="000357F3">
        <w:t>GHGe</w:t>
      </w:r>
      <w:proofErr w:type="spellEnd"/>
      <w:r w:rsidRPr="000357F3">
        <w:t xml:space="preserve"> from UK beef and sheep</w:t>
      </w:r>
      <w:r>
        <w:t xml:space="preserve"> </w:t>
      </w:r>
      <w:r w:rsidRPr="00F93389">
        <w:t xml:space="preserve">operations </w:t>
      </w:r>
      <w:r>
        <w:t>(</w:t>
      </w:r>
      <w:r w:rsidRPr="00F93389">
        <w:t xml:space="preserve">as represented by 352 farms </w:t>
      </w:r>
      <w:r>
        <w:t>nationwide)</w:t>
      </w:r>
      <w:r w:rsidRPr="00F93389">
        <w:t xml:space="preserve"> and to identify the range of key</w:t>
      </w:r>
      <w:r>
        <w:t xml:space="preserve"> performance indicators (KPI) associated with these operations.</w:t>
      </w:r>
    </w:p>
    <w:p w14:paraId="3CD630FD" w14:textId="77777777" w:rsidR="00A94E85" w:rsidRPr="00A94E85" w:rsidRDefault="00A94E85" w:rsidP="00A94E85">
      <w:pPr>
        <w:jc w:val="both"/>
      </w:pPr>
    </w:p>
    <w:p w14:paraId="1F63B1C6" w14:textId="53B437EA" w:rsidR="007B30E3" w:rsidRPr="00A94E85" w:rsidRDefault="007B30E3" w:rsidP="00A94E85">
      <w:pPr>
        <w:jc w:val="both"/>
      </w:pPr>
      <w:r>
        <w:rPr>
          <w:b/>
          <w:bCs/>
          <w:lang w:val="en-US"/>
        </w:rPr>
        <w:t xml:space="preserve">Materials and </w:t>
      </w:r>
      <w:proofErr w:type="gramStart"/>
      <w:r>
        <w:rPr>
          <w:b/>
          <w:bCs/>
          <w:lang w:val="en-US"/>
        </w:rPr>
        <w:t>Methods</w:t>
      </w:r>
      <w:r w:rsidR="00A94E85">
        <w:rPr>
          <w:b/>
          <w:bCs/>
          <w:lang w:val="en-US"/>
        </w:rPr>
        <w:t xml:space="preserve">  </w:t>
      </w:r>
      <w:r w:rsidR="00A94E85" w:rsidRPr="00176D4E">
        <w:t>A</w:t>
      </w:r>
      <w:proofErr w:type="gramEnd"/>
      <w:r w:rsidR="00A94E85" w:rsidRPr="00176D4E">
        <w:t xml:space="preserve"> total of 352 beef and/or sheep farms were identified and recruited into the PRISM2030 programme. All farms supplied beef cattle, lambs or both into ABP’s British (300 farms) or Northern Irish (52 farms) red meat supply chain and were recruited through recommendations from livestock buyers, posts on social media and in email newsletters, or word of mouth from farmers in the programme. Farms were assessed against the demographics of the ABP red meat supply chain to ensure that there was a wide spread of flock or herd sizes, enterprise types, locations and elevations across the sample population. Farm consultants visited each farm, collecting data with which to</w:t>
      </w:r>
      <w:r w:rsidR="00A94E85">
        <w:t xml:space="preserve"> populate the Agrecalc (</w:t>
      </w:r>
      <w:r w:rsidR="00A94E85" w:rsidRPr="006C72DA">
        <w:t>https://www.agrecalc.com/</w:t>
      </w:r>
      <w:r w:rsidR="00A94E85">
        <w:t>) farm carbon calculator</w:t>
      </w:r>
      <w:r w:rsidR="00881606">
        <w:t xml:space="preserve"> to quantify on-farm </w:t>
      </w:r>
      <w:proofErr w:type="spellStart"/>
      <w:r w:rsidR="00881606">
        <w:t>GHGe</w:t>
      </w:r>
      <w:proofErr w:type="spellEnd"/>
      <w:r w:rsidR="00A94E85">
        <w:t xml:space="preserve">. Farms that had an additional beef or sheep enterprise on farm that did not supply ABP, or that had insufficient sales to calculate accurate </w:t>
      </w:r>
      <w:proofErr w:type="spellStart"/>
      <w:r w:rsidR="00A94E85">
        <w:t>GHGe</w:t>
      </w:r>
      <w:proofErr w:type="spellEnd"/>
      <w:r w:rsidR="00A94E85">
        <w:t xml:space="preserve"> were excluded from the analysis. The </w:t>
      </w:r>
      <w:proofErr w:type="spellStart"/>
      <w:r w:rsidR="00A94E85">
        <w:t>GHGe</w:t>
      </w:r>
      <w:proofErr w:type="spellEnd"/>
      <w:r w:rsidR="00A94E85">
        <w:t xml:space="preserve"> data from the resulting sample populations (332 beef and 200 sheep enterprises) were used to calculate overall and sector-specific baselines within which to compare data. Statistical analyses on the </w:t>
      </w:r>
      <w:proofErr w:type="spellStart"/>
      <w:r w:rsidR="00A94E85">
        <w:t>GHGe</w:t>
      </w:r>
      <w:proofErr w:type="spellEnd"/>
      <w:r w:rsidR="00A94E85">
        <w:t xml:space="preserve"> data were executed using a single-factor ANOVA followed by f-tests and t-tests to determine differences between variance and means.</w:t>
      </w:r>
    </w:p>
    <w:p w14:paraId="31DE43A2" w14:textId="77777777" w:rsidR="007B30E3" w:rsidRDefault="007B30E3">
      <w:pPr>
        <w:rPr>
          <w:b/>
          <w:bCs/>
          <w:lang w:val="en-US"/>
        </w:rPr>
      </w:pPr>
    </w:p>
    <w:p w14:paraId="3FC3836E" w14:textId="3909043C" w:rsidR="00A94E85" w:rsidRDefault="007B30E3" w:rsidP="00A94E85">
      <w:pPr>
        <w:jc w:val="both"/>
      </w:pPr>
      <w:proofErr w:type="gramStart"/>
      <w:r>
        <w:rPr>
          <w:b/>
          <w:bCs/>
          <w:lang w:val="en-US"/>
        </w:rPr>
        <w:t>Results</w:t>
      </w:r>
      <w:r w:rsidR="00A94E85">
        <w:rPr>
          <w:b/>
          <w:bCs/>
          <w:lang w:val="en-US"/>
        </w:rPr>
        <w:t xml:space="preserve">  </w:t>
      </w:r>
      <w:r w:rsidR="00A94E85">
        <w:t>Data</w:t>
      </w:r>
      <w:proofErr w:type="gramEnd"/>
      <w:r w:rsidR="00A94E85">
        <w:t xml:space="preserve"> relating to KPI are summarised in Table 1. Lowland suckler cattle herds within the population were bigger, had heavier cows and a younger age at first calving, although calving </w:t>
      </w:r>
      <w:r w:rsidR="00A94E85" w:rsidRPr="00072F97">
        <w:t>percentages were similar between lowland and upland/hill enterprises. Suckler</w:t>
      </w:r>
      <w:r w:rsidR="00881606" w:rsidRPr="00072F97">
        <w:t xml:space="preserve"> breeder</w:t>
      </w:r>
      <w:r w:rsidR="00A94E85" w:rsidRPr="00072F97">
        <w:t xml:space="preserve">-finisher cattle were slaughtered earlier, but with lower slaughter weights and DLWG compared to </w:t>
      </w:r>
      <w:r w:rsidR="00F26C97" w:rsidRPr="00072F97">
        <w:t xml:space="preserve">cattle reared on </w:t>
      </w:r>
      <w:r w:rsidR="00A94E85" w:rsidRPr="00072F97">
        <w:t>finish</w:t>
      </w:r>
      <w:r w:rsidR="00F26C97" w:rsidRPr="00072F97">
        <w:t>ing units</w:t>
      </w:r>
      <w:r w:rsidR="00A94E85" w:rsidRPr="00072F97">
        <w:t xml:space="preserve">. Crossbred and </w:t>
      </w:r>
      <w:proofErr w:type="gramStart"/>
      <w:r w:rsidR="00A94E85" w:rsidRPr="00072F97">
        <w:t>early-lambing</w:t>
      </w:r>
      <w:proofErr w:type="gramEnd"/>
      <w:r w:rsidR="00A94E85" w:rsidRPr="00072F97">
        <w:t xml:space="preserve"> ewe flocks had increased lambing % and slaughter weights but lower flock sizes compared to late lambing or hill flocks.</w:t>
      </w:r>
    </w:p>
    <w:p w14:paraId="4A95E17C" w14:textId="31271B7B" w:rsidR="00A94E85" w:rsidRDefault="00A94E85" w:rsidP="00A94E85">
      <w:pPr>
        <w:jc w:val="both"/>
      </w:pPr>
      <w:r>
        <w:t xml:space="preserve">The overall mean </w:t>
      </w:r>
      <w:proofErr w:type="spellStart"/>
      <w:r>
        <w:t>GHGe</w:t>
      </w:r>
      <w:proofErr w:type="spellEnd"/>
      <w:r>
        <w:t xml:space="preserve"> intensities from UK beef and sheep production were 26.7 kg CO</w:t>
      </w:r>
      <w:r>
        <w:rPr>
          <w:vertAlign w:val="subscript"/>
        </w:rPr>
        <w:t>2</w:t>
      </w:r>
      <w:r>
        <w:t>e/kg dwt and 23.47</w:t>
      </w:r>
      <w:r w:rsidRPr="00176D4E">
        <w:t xml:space="preserve"> </w:t>
      </w:r>
      <w:r>
        <w:t>kg CO</w:t>
      </w:r>
      <w:r>
        <w:rPr>
          <w:vertAlign w:val="subscript"/>
        </w:rPr>
        <w:t>2</w:t>
      </w:r>
      <w:r>
        <w:t xml:space="preserve">e/kg dwt, respectively. However, mean </w:t>
      </w:r>
      <w:proofErr w:type="spellStart"/>
      <w:r>
        <w:t>GHGe</w:t>
      </w:r>
      <w:proofErr w:type="spellEnd"/>
      <w:r>
        <w:t xml:space="preserve"> intensity varied considerably </w:t>
      </w:r>
      <w:r>
        <w:lastRenderedPageBreak/>
        <w:t xml:space="preserve">between beef enterprise types. Suckler enterprises had significantly higher </w:t>
      </w:r>
      <w:proofErr w:type="spellStart"/>
      <w:r>
        <w:t>GHGe</w:t>
      </w:r>
      <w:proofErr w:type="spellEnd"/>
      <w:r>
        <w:t xml:space="preserve"> intensities compared to finisher enterprises (P&lt;0.001), ranging from, 22.6 kg CO</w:t>
      </w:r>
      <w:r>
        <w:rPr>
          <w:vertAlign w:val="subscript"/>
        </w:rPr>
        <w:t>2</w:t>
      </w:r>
      <w:r>
        <w:t>e/kg dwt for dairy-bred finishers to 32.9 kg CO</w:t>
      </w:r>
      <w:r>
        <w:rPr>
          <w:vertAlign w:val="subscript"/>
        </w:rPr>
        <w:t>2</w:t>
      </w:r>
      <w:r>
        <w:t>e/kg dwt for upland and hill suckler-finishers</w:t>
      </w:r>
      <w:r w:rsidR="00A70AFA">
        <w:t xml:space="preserve"> (Table 2)</w:t>
      </w:r>
      <w:r>
        <w:t xml:space="preserve">. Similar trends were exhibited by ewe flocks compared to store lamb enterprises, with store lamb enterprises having a significantly lower (P&lt;0.01) </w:t>
      </w:r>
      <w:proofErr w:type="spellStart"/>
      <w:r>
        <w:t>GHGe</w:t>
      </w:r>
      <w:proofErr w:type="spellEnd"/>
      <w:r>
        <w:t xml:space="preserve"> intensity than crossbred, hill or late-lambing flocks</w:t>
      </w:r>
      <w:r w:rsidR="00474879">
        <w:t>;</w:t>
      </w:r>
      <w:r>
        <w:t xml:space="preserve"> but a similar </w:t>
      </w:r>
      <w:proofErr w:type="spellStart"/>
      <w:r>
        <w:t>GHGe</w:t>
      </w:r>
      <w:proofErr w:type="spellEnd"/>
      <w:r>
        <w:t xml:space="preserve"> intensity to early-lambing ewe flocks</w:t>
      </w:r>
      <w:r w:rsidR="00CD302C">
        <w:t xml:space="preserve"> (Table 2)</w:t>
      </w:r>
      <w:r>
        <w:t xml:space="preserve">. </w:t>
      </w:r>
    </w:p>
    <w:p w14:paraId="7028BB23" w14:textId="77777777" w:rsidR="00DD076D" w:rsidRDefault="00DD076D" w:rsidP="00A94E85">
      <w:pPr>
        <w:jc w:val="both"/>
      </w:pPr>
    </w:p>
    <w:p w14:paraId="4A34E091" w14:textId="77777777" w:rsidR="00A94E85" w:rsidRPr="00AA0608" w:rsidRDefault="00A94E85" w:rsidP="00A94E85">
      <w:pPr>
        <w:jc w:val="both"/>
        <w:rPr>
          <w:b/>
          <w:bCs/>
          <w:vertAlign w:val="superscript"/>
        </w:rPr>
      </w:pPr>
      <w:r w:rsidRPr="00414B38">
        <w:rPr>
          <w:b/>
          <w:bCs/>
        </w:rPr>
        <w:t xml:space="preserve">Table 1. </w:t>
      </w:r>
      <w:r>
        <w:rPr>
          <w:b/>
          <w:bCs/>
        </w:rPr>
        <w:t>K</w:t>
      </w:r>
      <w:r w:rsidRPr="00414B38">
        <w:rPr>
          <w:b/>
          <w:bCs/>
        </w:rPr>
        <w:t>ey performance indicators from 332 beef and 200 sheep enterprises across the UK</w:t>
      </w:r>
      <w:r>
        <w:rPr>
          <w:b/>
          <w:bCs/>
          <w:vertAlign w:val="superscript"/>
        </w:rPr>
        <w:t>1</w:t>
      </w:r>
    </w:p>
    <w:tbl>
      <w:tblPr>
        <w:tblStyle w:val="TableGrid"/>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1985"/>
      </w:tblGrid>
      <w:tr w:rsidR="00A94E85" w:rsidRPr="00A17572" w14:paraId="7C208518" w14:textId="77777777" w:rsidTr="001225B3">
        <w:tc>
          <w:tcPr>
            <w:tcW w:w="2127" w:type="dxa"/>
            <w:tcBorders>
              <w:top w:val="single" w:sz="18" w:space="0" w:color="auto"/>
            </w:tcBorders>
          </w:tcPr>
          <w:p w14:paraId="69980273" w14:textId="77777777" w:rsidR="00A94E85" w:rsidRPr="00A17572" w:rsidRDefault="00A94E85" w:rsidP="0071660F">
            <w:pPr>
              <w:jc w:val="both"/>
              <w:rPr>
                <w:b/>
                <w:bCs/>
                <w:sz w:val="18"/>
                <w:szCs w:val="18"/>
              </w:rPr>
            </w:pPr>
            <w:r w:rsidRPr="00A17572">
              <w:rPr>
                <w:b/>
                <w:bCs/>
                <w:sz w:val="18"/>
                <w:szCs w:val="18"/>
              </w:rPr>
              <w:t>Suckler Cattle</w:t>
            </w:r>
          </w:p>
        </w:tc>
        <w:tc>
          <w:tcPr>
            <w:tcW w:w="2409" w:type="dxa"/>
            <w:tcBorders>
              <w:top w:val="single" w:sz="18" w:space="0" w:color="auto"/>
            </w:tcBorders>
          </w:tcPr>
          <w:p w14:paraId="07A2E593" w14:textId="77777777" w:rsidR="00A94E85" w:rsidRPr="00A17572" w:rsidRDefault="00A94E85" w:rsidP="0071660F">
            <w:pPr>
              <w:jc w:val="right"/>
              <w:rPr>
                <w:b/>
                <w:bCs/>
                <w:sz w:val="18"/>
                <w:szCs w:val="18"/>
              </w:rPr>
            </w:pPr>
            <w:r w:rsidRPr="00A17572">
              <w:rPr>
                <w:b/>
                <w:bCs/>
                <w:sz w:val="18"/>
                <w:szCs w:val="18"/>
              </w:rPr>
              <w:t>Cow liveweight (kg)</w:t>
            </w:r>
          </w:p>
        </w:tc>
        <w:tc>
          <w:tcPr>
            <w:tcW w:w="2410" w:type="dxa"/>
            <w:tcBorders>
              <w:top w:val="single" w:sz="18" w:space="0" w:color="auto"/>
            </w:tcBorders>
          </w:tcPr>
          <w:p w14:paraId="0F4DEC2E" w14:textId="77777777" w:rsidR="00A94E85" w:rsidRPr="00A17572" w:rsidRDefault="00A94E85" w:rsidP="0071660F">
            <w:pPr>
              <w:jc w:val="right"/>
              <w:rPr>
                <w:b/>
                <w:bCs/>
                <w:sz w:val="18"/>
                <w:szCs w:val="18"/>
              </w:rPr>
            </w:pPr>
            <w:r w:rsidRPr="00A17572">
              <w:rPr>
                <w:b/>
                <w:bCs/>
                <w:sz w:val="18"/>
                <w:szCs w:val="18"/>
              </w:rPr>
              <w:t>Age at first calving (</w:t>
            </w:r>
            <w:proofErr w:type="spellStart"/>
            <w:r w:rsidRPr="00A17572">
              <w:rPr>
                <w:b/>
                <w:bCs/>
                <w:sz w:val="18"/>
                <w:szCs w:val="18"/>
              </w:rPr>
              <w:t>mo</w:t>
            </w:r>
            <w:proofErr w:type="spellEnd"/>
            <w:r w:rsidRPr="00A17572">
              <w:rPr>
                <w:b/>
                <w:bCs/>
                <w:sz w:val="18"/>
                <w:szCs w:val="18"/>
              </w:rPr>
              <w:t>)</w:t>
            </w:r>
          </w:p>
        </w:tc>
        <w:tc>
          <w:tcPr>
            <w:tcW w:w="1985" w:type="dxa"/>
            <w:tcBorders>
              <w:top w:val="single" w:sz="18" w:space="0" w:color="auto"/>
            </w:tcBorders>
          </w:tcPr>
          <w:p w14:paraId="3B6A67E5" w14:textId="77777777" w:rsidR="00A94E85" w:rsidRPr="00A17572" w:rsidRDefault="00A94E85" w:rsidP="0071660F">
            <w:pPr>
              <w:jc w:val="right"/>
              <w:rPr>
                <w:b/>
                <w:bCs/>
                <w:sz w:val="18"/>
                <w:szCs w:val="18"/>
              </w:rPr>
            </w:pPr>
            <w:r w:rsidRPr="00A17572">
              <w:rPr>
                <w:b/>
                <w:bCs/>
                <w:sz w:val="18"/>
                <w:szCs w:val="18"/>
              </w:rPr>
              <w:t>Calving %</w:t>
            </w:r>
          </w:p>
        </w:tc>
      </w:tr>
      <w:tr w:rsidR="00A94E85" w:rsidRPr="00A17572" w14:paraId="4CDDA98E" w14:textId="77777777" w:rsidTr="0071660F">
        <w:tc>
          <w:tcPr>
            <w:tcW w:w="2127" w:type="dxa"/>
          </w:tcPr>
          <w:p w14:paraId="069EDFCF" w14:textId="77777777" w:rsidR="00A94E85" w:rsidRPr="00AA0608" w:rsidRDefault="00A94E85" w:rsidP="0071660F">
            <w:pPr>
              <w:jc w:val="both"/>
              <w:rPr>
                <w:sz w:val="18"/>
                <w:szCs w:val="18"/>
                <w:vertAlign w:val="superscript"/>
              </w:rPr>
            </w:pPr>
            <w:r w:rsidRPr="00A17572">
              <w:rPr>
                <w:sz w:val="18"/>
                <w:szCs w:val="18"/>
              </w:rPr>
              <w:t>Lowland</w:t>
            </w:r>
            <w:r>
              <w:rPr>
                <w:sz w:val="18"/>
                <w:szCs w:val="18"/>
                <w:vertAlign w:val="superscript"/>
              </w:rPr>
              <w:t>2</w:t>
            </w:r>
          </w:p>
        </w:tc>
        <w:tc>
          <w:tcPr>
            <w:tcW w:w="2409" w:type="dxa"/>
          </w:tcPr>
          <w:p w14:paraId="17FCC5DE" w14:textId="77777777" w:rsidR="00A94E85" w:rsidRPr="00A17572" w:rsidRDefault="00A94E85" w:rsidP="0071660F">
            <w:pPr>
              <w:jc w:val="right"/>
              <w:rPr>
                <w:sz w:val="18"/>
                <w:szCs w:val="18"/>
              </w:rPr>
            </w:pPr>
            <w:r w:rsidRPr="00A17572">
              <w:rPr>
                <w:sz w:val="18"/>
                <w:szCs w:val="18"/>
              </w:rPr>
              <w:t>667</w:t>
            </w:r>
            <w:r>
              <w:rPr>
                <w:sz w:val="18"/>
                <w:szCs w:val="18"/>
              </w:rPr>
              <w:t xml:space="preserve"> (61.2)</w:t>
            </w:r>
          </w:p>
        </w:tc>
        <w:tc>
          <w:tcPr>
            <w:tcW w:w="2410" w:type="dxa"/>
          </w:tcPr>
          <w:p w14:paraId="573F9BEE" w14:textId="77777777" w:rsidR="00A94E85" w:rsidRPr="00A17572" w:rsidRDefault="00A94E85" w:rsidP="0071660F">
            <w:pPr>
              <w:jc w:val="right"/>
              <w:rPr>
                <w:sz w:val="18"/>
                <w:szCs w:val="18"/>
              </w:rPr>
            </w:pPr>
            <w:r w:rsidRPr="00A17572">
              <w:rPr>
                <w:sz w:val="18"/>
                <w:szCs w:val="18"/>
              </w:rPr>
              <w:t>27.0</w:t>
            </w:r>
            <w:r>
              <w:rPr>
                <w:sz w:val="18"/>
                <w:szCs w:val="18"/>
              </w:rPr>
              <w:t xml:space="preserve"> (3.97)</w:t>
            </w:r>
          </w:p>
        </w:tc>
        <w:tc>
          <w:tcPr>
            <w:tcW w:w="1985" w:type="dxa"/>
          </w:tcPr>
          <w:p w14:paraId="3E4DE1D6" w14:textId="77777777" w:rsidR="00A94E85" w:rsidRPr="00A17572" w:rsidRDefault="00A94E85" w:rsidP="0071660F">
            <w:pPr>
              <w:jc w:val="right"/>
              <w:rPr>
                <w:sz w:val="18"/>
                <w:szCs w:val="18"/>
              </w:rPr>
            </w:pPr>
            <w:r w:rsidRPr="00A17572">
              <w:rPr>
                <w:sz w:val="18"/>
                <w:szCs w:val="18"/>
              </w:rPr>
              <w:t>95.4</w:t>
            </w:r>
            <w:r>
              <w:rPr>
                <w:sz w:val="18"/>
                <w:szCs w:val="18"/>
              </w:rPr>
              <w:t xml:space="preserve"> (6.49)</w:t>
            </w:r>
          </w:p>
        </w:tc>
      </w:tr>
      <w:tr w:rsidR="00A94E85" w:rsidRPr="00A17572" w14:paraId="65D5D8BA" w14:textId="77777777" w:rsidTr="0071660F">
        <w:tc>
          <w:tcPr>
            <w:tcW w:w="2127" w:type="dxa"/>
          </w:tcPr>
          <w:p w14:paraId="6EBE8C1E" w14:textId="77777777" w:rsidR="00A94E85" w:rsidRPr="00A17572" w:rsidRDefault="00A94E85" w:rsidP="0071660F">
            <w:pPr>
              <w:jc w:val="both"/>
              <w:rPr>
                <w:sz w:val="18"/>
                <w:szCs w:val="18"/>
              </w:rPr>
            </w:pPr>
            <w:r w:rsidRPr="00A17572">
              <w:rPr>
                <w:sz w:val="18"/>
                <w:szCs w:val="18"/>
              </w:rPr>
              <w:t>Upland and hill</w:t>
            </w:r>
            <w:r>
              <w:rPr>
                <w:sz w:val="18"/>
                <w:szCs w:val="18"/>
                <w:vertAlign w:val="superscript"/>
              </w:rPr>
              <w:t>3</w:t>
            </w:r>
            <w:r w:rsidRPr="00A17572">
              <w:rPr>
                <w:sz w:val="18"/>
                <w:szCs w:val="18"/>
              </w:rPr>
              <w:t xml:space="preserve"> </w:t>
            </w:r>
          </w:p>
        </w:tc>
        <w:tc>
          <w:tcPr>
            <w:tcW w:w="2409" w:type="dxa"/>
          </w:tcPr>
          <w:p w14:paraId="1F124B71" w14:textId="77777777" w:rsidR="00A94E85" w:rsidRPr="00A17572" w:rsidRDefault="00A94E85" w:rsidP="0071660F">
            <w:pPr>
              <w:jc w:val="right"/>
              <w:rPr>
                <w:sz w:val="18"/>
                <w:szCs w:val="18"/>
              </w:rPr>
            </w:pPr>
            <w:r w:rsidRPr="00A17572">
              <w:rPr>
                <w:sz w:val="18"/>
                <w:szCs w:val="18"/>
              </w:rPr>
              <w:t>636</w:t>
            </w:r>
            <w:r>
              <w:rPr>
                <w:sz w:val="18"/>
                <w:szCs w:val="18"/>
              </w:rPr>
              <w:t xml:space="preserve"> (57.3)</w:t>
            </w:r>
          </w:p>
        </w:tc>
        <w:tc>
          <w:tcPr>
            <w:tcW w:w="2410" w:type="dxa"/>
          </w:tcPr>
          <w:p w14:paraId="1BE50126" w14:textId="77777777" w:rsidR="00A94E85" w:rsidRPr="00A17572" w:rsidRDefault="00A94E85" w:rsidP="0071660F">
            <w:pPr>
              <w:jc w:val="right"/>
              <w:rPr>
                <w:sz w:val="18"/>
                <w:szCs w:val="18"/>
              </w:rPr>
            </w:pPr>
            <w:r w:rsidRPr="00A17572">
              <w:rPr>
                <w:sz w:val="18"/>
                <w:szCs w:val="18"/>
              </w:rPr>
              <w:t>28.9</w:t>
            </w:r>
            <w:r>
              <w:rPr>
                <w:sz w:val="18"/>
                <w:szCs w:val="18"/>
              </w:rPr>
              <w:t xml:space="preserve"> (4.43)</w:t>
            </w:r>
          </w:p>
        </w:tc>
        <w:tc>
          <w:tcPr>
            <w:tcW w:w="1985" w:type="dxa"/>
          </w:tcPr>
          <w:p w14:paraId="3B69D324" w14:textId="77777777" w:rsidR="00A94E85" w:rsidRPr="00A17572" w:rsidRDefault="00A94E85" w:rsidP="0071660F">
            <w:pPr>
              <w:jc w:val="right"/>
              <w:rPr>
                <w:sz w:val="18"/>
                <w:szCs w:val="18"/>
              </w:rPr>
            </w:pPr>
            <w:r w:rsidRPr="00A17572">
              <w:rPr>
                <w:sz w:val="18"/>
                <w:szCs w:val="18"/>
              </w:rPr>
              <w:t>95.4</w:t>
            </w:r>
            <w:r>
              <w:rPr>
                <w:sz w:val="18"/>
                <w:szCs w:val="18"/>
              </w:rPr>
              <w:t xml:space="preserve"> (6.75)</w:t>
            </w:r>
          </w:p>
        </w:tc>
      </w:tr>
      <w:tr w:rsidR="00A94E85" w:rsidRPr="00A17572" w14:paraId="63A66407" w14:textId="77777777" w:rsidTr="0071660F">
        <w:tc>
          <w:tcPr>
            <w:tcW w:w="2127" w:type="dxa"/>
            <w:tcBorders>
              <w:bottom w:val="single" w:sz="4" w:space="0" w:color="auto"/>
            </w:tcBorders>
          </w:tcPr>
          <w:p w14:paraId="57E850CE" w14:textId="77777777" w:rsidR="00A94E85" w:rsidRPr="00A17572" w:rsidRDefault="00A94E85" w:rsidP="0071660F">
            <w:pPr>
              <w:jc w:val="both"/>
              <w:rPr>
                <w:sz w:val="18"/>
                <w:szCs w:val="18"/>
              </w:rPr>
            </w:pPr>
          </w:p>
        </w:tc>
        <w:tc>
          <w:tcPr>
            <w:tcW w:w="2409" w:type="dxa"/>
            <w:tcBorders>
              <w:bottom w:val="single" w:sz="4" w:space="0" w:color="auto"/>
            </w:tcBorders>
          </w:tcPr>
          <w:p w14:paraId="0670C4A2" w14:textId="77777777" w:rsidR="00A94E85" w:rsidRPr="00A17572" w:rsidRDefault="00A94E85" w:rsidP="0071660F">
            <w:pPr>
              <w:jc w:val="right"/>
              <w:rPr>
                <w:sz w:val="18"/>
                <w:szCs w:val="18"/>
              </w:rPr>
            </w:pPr>
          </w:p>
        </w:tc>
        <w:tc>
          <w:tcPr>
            <w:tcW w:w="2410" w:type="dxa"/>
            <w:tcBorders>
              <w:bottom w:val="single" w:sz="4" w:space="0" w:color="auto"/>
            </w:tcBorders>
          </w:tcPr>
          <w:p w14:paraId="2F342D81" w14:textId="77777777" w:rsidR="00A94E85" w:rsidRPr="00A17572" w:rsidRDefault="00A94E85" w:rsidP="0071660F">
            <w:pPr>
              <w:jc w:val="right"/>
              <w:rPr>
                <w:sz w:val="18"/>
                <w:szCs w:val="18"/>
              </w:rPr>
            </w:pPr>
          </w:p>
        </w:tc>
        <w:tc>
          <w:tcPr>
            <w:tcW w:w="1985" w:type="dxa"/>
            <w:tcBorders>
              <w:bottom w:val="single" w:sz="4" w:space="0" w:color="auto"/>
            </w:tcBorders>
          </w:tcPr>
          <w:p w14:paraId="7FC27F9B" w14:textId="77777777" w:rsidR="00A94E85" w:rsidRPr="00A17572" w:rsidRDefault="00A94E85" w:rsidP="0071660F">
            <w:pPr>
              <w:jc w:val="right"/>
              <w:rPr>
                <w:sz w:val="18"/>
                <w:szCs w:val="18"/>
              </w:rPr>
            </w:pPr>
          </w:p>
        </w:tc>
      </w:tr>
      <w:tr w:rsidR="00A94E85" w:rsidRPr="00A17572" w14:paraId="3990B44B" w14:textId="77777777" w:rsidTr="0071660F">
        <w:tc>
          <w:tcPr>
            <w:tcW w:w="2127" w:type="dxa"/>
            <w:tcBorders>
              <w:top w:val="single" w:sz="4" w:space="0" w:color="auto"/>
              <w:bottom w:val="nil"/>
            </w:tcBorders>
          </w:tcPr>
          <w:p w14:paraId="01585104" w14:textId="77777777" w:rsidR="00A94E85" w:rsidRPr="00A17572" w:rsidRDefault="00A94E85" w:rsidP="0071660F">
            <w:pPr>
              <w:jc w:val="both"/>
              <w:rPr>
                <w:b/>
                <w:bCs/>
                <w:sz w:val="18"/>
                <w:szCs w:val="18"/>
              </w:rPr>
            </w:pPr>
            <w:r w:rsidRPr="00A17572">
              <w:rPr>
                <w:b/>
                <w:bCs/>
                <w:sz w:val="18"/>
                <w:szCs w:val="18"/>
              </w:rPr>
              <w:t>Finishers</w:t>
            </w:r>
          </w:p>
        </w:tc>
        <w:tc>
          <w:tcPr>
            <w:tcW w:w="2409" w:type="dxa"/>
            <w:tcBorders>
              <w:top w:val="single" w:sz="4" w:space="0" w:color="auto"/>
              <w:bottom w:val="nil"/>
            </w:tcBorders>
          </w:tcPr>
          <w:p w14:paraId="3428AC38" w14:textId="77777777" w:rsidR="00A94E85" w:rsidRPr="00A17572" w:rsidRDefault="00A94E85" w:rsidP="0071660F">
            <w:pPr>
              <w:jc w:val="right"/>
              <w:rPr>
                <w:b/>
                <w:bCs/>
                <w:sz w:val="18"/>
                <w:szCs w:val="18"/>
              </w:rPr>
            </w:pPr>
            <w:r w:rsidRPr="00A17572">
              <w:rPr>
                <w:b/>
                <w:bCs/>
                <w:sz w:val="18"/>
                <w:szCs w:val="18"/>
              </w:rPr>
              <w:t>DWLG (kg/d)</w:t>
            </w:r>
          </w:p>
        </w:tc>
        <w:tc>
          <w:tcPr>
            <w:tcW w:w="2410" w:type="dxa"/>
            <w:tcBorders>
              <w:top w:val="single" w:sz="4" w:space="0" w:color="auto"/>
              <w:bottom w:val="nil"/>
            </w:tcBorders>
          </w:tcPr>
          <w:p w14:paraId="1763A8CE" w14:textId="77777777" w:rsidR="00A94E85" w:rsidRPr="00A17572" w:rsidRDefault="00A94E85" w:rsidP="0071660F">
            <w:pPr>
              <w:jc w:val="right"/>
              <w:rPr>
                <w:b/>
                <w:bCs/>
                <w:sz w:val="18"/>
                <w:szCs w:val="18"/>
              </w:rPr>
            </w:pPr>
            <w:r w:rsidRPr="00A17572">
              <w:rPr>
                <w:b/>
                <w:bCs/>
                <w:sz w:val="18"/>
                <w:szCs w:val="18"/>
              </w:rPr>
              <w:t>Age at slaughter (</w:t>
            </w:r>
            <w:proofErr w:type="spellStart"/>
            <w:r w:rsidRPr="00A17572">
              <w:rPr>
                <w:b/>
                <w:bCs/>
                <w:sz w:val="18"/>
                <w:szCs w:val="18"/>
              </w:rPr>
              <w:t>mo</w:t>
            </w:r>
            <w:proofErr w:type="spellEnd"/>
            <w:r w:rsidRPr="00A17572">
              <w:rPr>
                <w:b/>
                <w:bCs/>
                <w:sz w:val="18"/>
                <w:szCs w:val="18"/>
              </w:rPr>
              <w:t>)</w:t>
            </w:r>
          </w:p>
        </w:tc>
        <w:tc>
          <w:tcPr>
            <w:tcW w:w="1985" w:type="dxa"/>
            <w:tcBorders>
              <w:top w:val="single" w:sz="4" w:space="0" w:color="auto"/>
              <w:bottom w:val="nil"/>
            </w:tcBorders>
          </w:tcPr>
          <w:p w14:paraId="654F9840" w14:textId="77777777" w:rsidR="00A94E85" w:rsidRPr="00A17572" w:rsidRDefault="00A94E85" w:rsidP="0071660F">
            <w:pPr>
              <w:jc w:val="right"/>
              <w:rPr>
                <w:b/>
                <w:bCs/>
                <w:sz w:val="18"/>
                <w:szCs w:val="18"/>
              </w:rPr>
            </w:pPr>
            <w:r w:rsidRPr="00A17572">
              <w:rPr>
                <w:b/>
                <w:bCs/>
                <w:sz w:val="18"/>
                <w:szCs w:val="18"/>
              </w:rPr>
              <w:t>Slaughter weight (kg)</w:t>
            </w:r>
          </w:p>
        </w:tc>
      </w:tr>
      <w:tr w:rsidR="00A94E85" w:rsidRPr="00A17572" w14:paraId="62664B62" w14:textId="77777777" w:rsidTr="0071660F">
        <w:tc>
          <w:tcPr>
            <w:tcW w:w="2127" w:type="dxa"/>
            <w:tcBorders>
              <w:top w:val="nil"/>
              <w:bottom w:val="nil"/>
            </w:tcBorders>
          </w:tcPr>
          <w:p w14:paraId="7F6165BA" w14:textId="77777777" w:rsidR="00A94E85" w:rsidRPr="00A17572" w:rsidRDefault="00A94E85" w:rsidP="0071660F">
            <w:pPr>
              <w:jc w:val="both"/>
              <w:rPr>
                <w:sz w:val="18"/>
                <w:szCs w:val="18"/>
              </w:rPr>
            </w:pPr>
            <w:r w:rsidRPr="00A17572">
              <w:rPr>
                <w:sz w:val="18"/>
                <w:szCs w:val="18"/>
              </w:rPr>
              <w:t>Lowland</w:t>
            </w:r>
            <w:r>
              <w:rPr>
                <w:sz w:val="18"/>
                <w:szCs w:val="18"/>
                <w:vertAlign w:val="superscript"/>
              </w:rPr>
              <w:t>2</w:t>
            </w:r>
          </w:p>
        </w:tc>
        <w:tc>
          <w:tcPr>
            <w:tcW w:w="2409" w:type="dxa"/>
            <w:tcBorders>
              <w:top w:val="nil"/>
              <w:bottom w:val="nil"/>
            </w:tcBorders>
          </w:tcPr>
          <w:p w14:paraId="56889185" w14:textId="77777777" w:rsidR="00A94E85" w:rsidRPr="00A17572" w:rsidRDefault="00A94E85" w:rsidP="0071660F">
            <w:pPr>
              <w:jc w:val="right"/>
              <w:rPr>
                <w:sz w:val="18"/>
                <w:szCs w:val="18"/>
              </w:rPr>
            </w:pPr>
            <w:r w:rsidRPr="00A17572">
              <w:rPr>
                <w:sz w:val="18"/>
                <w:szCs w:val="18"/>
              </w:rPr>
              <w:t>1.10</w:t>
            </w:r>
            <w:r>
              <w:rPr>
                <w:sz w:val="18"/>
                <w:szCs w:val="18"/>
              </w:rPr>
              <w:t xml:space="preserve"> (0.23)</w:t>
            </w:r>
          </w:p>
        </w:tc>
        <w:tc>
          <w:tcPr>
            <w:tcW w:w="2410" w:type="dxa"/>
            <w:tcBorders>
              <w:top w:val="nil"/>
              <w:bottom w:val="nil"/>
            </w:tcBorders>
          </w:tcPr>
          <w:p w14:paraId="50438C62" w14:textId="77777777" w:rsidR="00A94E85" w:rsidRPr="00A17572" w:rsidRDefault="00A94E85" w:rsidP="0071660F">
            <w:pPr>
              <w:jc w:val="right"/>
              <w:rPr>
                <w:sz w:val="18"/>
                <w:szCs w:val="18"/>
              </w:rPr>
            </w:pPr>
            <w:r w:rsidRPr="00A17572">
              <w:rPr>
                <w:sz w:val="18"/>
                <w:szCs w:val="18"/>
              </w:rPr>
              <w:t>20.1</w:t>
            </w:r>
            <w:r>
              <w:rPr>
                <w:sz w:val="18"/>
                <w:szCs w:val="18"/>
              </w:rPr>
              <w:t xml:space="preserve"> (4.11)</w:t>
            </w:r>
          </w:p>
        </w:tc>
        <w:tc>
          <w:tcPr>
            <w:tcW w:w="1985" w:type="dxa"/>
            <w:tcBorders>
              <w:top w:val="nil"/>
              <w:bottom w:val="nil"/>
            </w:tcBorders>
          </w:tcPr>
          <w:p w14:paraId="4A6D691D" w14:textId="77777777" w:rsidR="00A94E85" w:rsidRPr="00A17572" w:rsidRDefault="00A94E85" w:rsidP="0071660F">
            <w:pPr>
              <w:jc w:val="right"/>
              <w:rPr>
                <w:sz w:val="18"/>
                <w:szCs w:val="18"/>
              </w:rPr>
            </w:pPr>
            <w:r w:rsidRPr="00A17572">
              <w:rPr>
                <w:sz w:val="18"/>
                <w:szCs w:val="18"/>
              </w:rPr>
              <w:t>621</w:t>
            </w:r>
            <w:r>
              <w:rPr>
                <w:sz w:val="18"/>
                <w:szCs w:val="18"/>
              </w:rPr>
              <w:t xml:space="preserve"> (62.4)</w:t>
            </w:r>
          </w:p>
        </w:tc>
      </w:tr>
      <w:tr w:rsidR="00A94E85" w:rsidRPr="00A17572" w14:paraId="219B87DA" w14:textId="77777777" w:rsidTr="0071660F">
        <w:tc>
          <w:tcPr>
            <w:tcW w:w="2127" w:type="dxa"/>
            <w:tcBorders>
              <w:top w:val="nil"/>
              <w:bottom w:val="nil"/>
            </w:tcBorders>
          </w:tcPr>
          <w:p w14:paraId="0966E43E" w14:textId="77777777" w:rsidR="00A94E85" w:rsidRPr="00A17572" w:rsidRDefault="00A94E85" w:rsidP="0071660F">
            <w:pPr>
              <w:jc w:val="both"/>
              <w:rPr>
                <w:sz w:val="18"/>
                <w:szCs w:val="18"/>
              </w:rPr>
            </w:pPr>
            <w:r w:rsidRPr="00A17572">
              <w:rPr>
                <w:sz w:val="18"/>
                <w:szCs w:val="18"/>
              </w:rPr>
              <w:t>Upland and hill</w:t>
            </w:r>
            <w:r>
              <w:rPr>
                <w:sz w:val="18"/>
                <w:szCs w:val="18"/>
                <w:vertAlign w:val="superscript"/>
              </w:rPr>
              <w:t>3</w:t>
            </w:r>
          </w:p>
        </w:tc>
        <w:tc>
          <w:tcPr>
            <w:tcW w:w="2409" w:type="dxa"/>
            <w:tcBorders>
              <w:top w:val="nil"/>
              <w:bottom w:val="nil"/>
            </w:tcBorders>
          </w:tcPr>
          <w:p w14:paraId="4B4ED8BE" w14:textId="77777777" w:rsidR="00A94E85" w:rsidRPr="00A17572" w:rsidRDefault="00A94E85" w:rsidP="0071660F">
            <w:pPr>
              <w:jc w:val="right"/>
              <w:rPr>
                <w:sz w:val="18"/>
                <w:szCs w:val="18"/>
              </w:rPr>
            </w:pPr>
            <w:r w:rsidRPr="00A17572">
              <w:rPr>
                <w:sz w:val="18"/>
                <w:szCs w:val="18"/>
              </w:rPr>
              <w:t>1.01</w:t>
            </w:r>
            <w:r>
              <w:rPr>
                <w:sz w:val="18"/>
                <w:szCs w:val="18"/>
              </w:rPr>
              <w:t xml:space="preserve"> (0.22)</w:t>
            </w:r>
          </w:p>
        </w:tc>
        <w:tc>
          <w:tcPr>
            <w:tcW w:w="2410" w:type="dxa"/>
            <w:tcBorders>
              <w:top w:val="nil"/>
              <w:bottom w:val="nil"/>
            </w:tcBorders>
          </w:tcPr>
          <w:p w14:paraId="2ADDD009" w14:textId="77777777" w:rsidR="00A94E85" w:rsidRPr="00A17572" w:rsidRDefault="00A94E85" w:rsidP="0071660F">
            <w:pPr>
              <w:jc w:val="right"/>
              <w:rPr>
                <w:sz w:val="18"/>
                <w:szCs w:val="18"/>
              </w:rPr>
            </w:pPr>
            <w:r w:rsidRPr="00A17572">
              <w:rPr>
                <w:sz w:val="18"/>
                <w:szCs w:val="18"/>
              </w:rPr>
              <w:t>20.5</w:t>
            </w:r>
            <w:r>
              <w:rPr>
                <w:sz w:val="18"/>
                <w:szCs w:val="18"/>
              </w:rPr>
              <w:t xml:space="preserve"> (4.76)</w:t>
            </w:r>
          </w:p>
        </w:tc>
        <w:tc>
          <w:tcPr>
            <w:tcW w:w="1985" w:type="dxa"/>
            <w:tcBorders>
              <w:top w:val="nil"/>
              <w:bottom w:val="nil"/>
            </w:tcBorders>
          </w:tcPr>
          <w:p w14:paraId="1A82A909" w14:textId="77777777" w:rsidR="00A94E85" w:rsidRPr="00A17572" w:rsidRDefault="00A94E85" w:rsidP="0071660F">
            <w:pPr>
              <w:jc w:val="right"/>
              <w:rPr>
                <w:sz w:val="18"/>
                <w:szCs w:val="18"/>
              </w:rPr>
            </w:pPr>
            <w:r w:rsidRPr="00A17572">
              <w:rPr>
                <w:sz w:val="18"/>
                <w:szCs w:val="18"/>
              </w:rPr>
              <w:t>624</w:t>
            </w:r>
            <w:r>
              <w:rPr>
                <w:sz w:val="18"/>
                <w:szCs w:val="18"/>
              </w:rPr>
              <w:t xml:space="preserve"> (80.2)</w:t>
            </w:r>
          </w:p>
        </w:tc>
      </w:tr>
      <w:tr w:rsidR="00A94E85" w:rsidRPr="00A17572" w14:paraId="5E75A03A" w14:textId="77777777" w:rsidTr="0071660F">
        <w:tc>
          <w:tcPr>
            <w:tcW w:w="2127" w:type="dxa"/>
            <w:tcBorders>
              <w:top w:val="nil"/>
              <w:bottom w:val="nil"/>
            </w:tcBorders>
          </w:tcPr>
          <w:p w14:paraId="66B777E8" w14:textId="77777777" w:rsidR="00A94E85" w:rsidRPr="00A17572" w:rsidRDefault="00A94E85" w:rsidP="0071660F">
            <w:pPr>
              <w:jc w:val="both"/>
              <w:rPr>
                <w:sz w:val="18"/>
                <w:szCs w:val="18"/>
              </w:rPr>
            </w:pPr>
            <w:r w:rsidRPr="00A17572">
              <w:rPr>
                <w:sz w:val="18"/>
                <w:szCs w:val="18"/>
              </w:rPr>
              <w:t>Beef-bred</w:t>
            </w:r>
          </w:p>
        </w:tc>
        <w:tc>
          <w:tcPr>
            <w:tcW w:w="2409" w:type="dxa"/>
            <w:tcBorders>
              <w:top w:val="nil"/>
              <w:bottom w:val="nil"/>
            </w:tcBorders>
          </w:tcPr>
          <w:p w14:paraId="277FE496" w14:textId="77777777" w:rsidR="00A94E85" w:rsidRPr="00A17572" w:rsidRDefault="00A94E85" w:rsidP="0071660F">
            <w:pPr>
              <w:jc w:val="right"/>
              <w:rPr>
                <w:sz w:val="18"/>
                <w:szCs w:val="18"/>
              </w:rPr>
            </w:pPr>
            <w:r w:rsidRPr="00A17572">
              <w:rPr>
                <w:sz w:val="18"/>
                <w:szCs w:val="18"/>
              </w:rPr>
              <w:t>1.19</w:t>
            </w:r>
            <w:r>
              <w:rPr>
                <w:sz w:val="18"/>
                <w:szCs w:val="18"/>
              </w:rPr>
              <w:t xml:space="preserve"> (0.30)</w:t>
            </w:r>
          </w:p>
        </w:tc>
        <w:tc>
          <w:tcPr>
            <w:tcW w:w="2410" w:type="dxa"/>
            <w:tcBorders>
              <w:top w:val="nil"/>
              <w:bottom w:val="nil"/>
            </w:tcBorders>
          </w:tcPr>
          <w:p w14:paraId="70711825" w14:textId="77777777" w:rsidR="00A94E85" w:rsidRPr="00A17572" w:rsidRDefault="00A94E85" w:rsidP="0071660F">
            <w:pPr>
              <w:jc w:val="right"/>
              <w:rPr>
                <w:sz w:val="18"/>
                <w:szCs w:val="18"/>
              </w:rPr>
            </w:pPr>
            <w:r w:rsidRPr="00A17572">
              <w:rPr>
                <w:sz w:val="18"/>
                <w:szCs w:val="18"/>
              </w:rPr>
              <w:t>22.2</w:t>
            </w:r>
            <w:r>
              <w:rPr>
                <w:sz w:val="18"/>
                <w:szCs w:val="18"/>
              </w:rPr>
              <w:t xml:space="preserve"> (3.12)</w:t>
            </w:r>
          </w:p>
        </w:tc>
        <w:tc>
          <w:tcPr>
            <w:tcW w:w="1985" w:type="dxa"/>
            <w:tcBorders>
              <w:top w:val="nil"/>
              <w:bottom w:val="nil"/>
            </w:tcBorders>
          </w:tcPr>
          <w:p w14:paraId="3DB8327C" w14:textId="77777777" w:rsidR="00A94E85" w:rsidRPr="00A17572" w:rsidRDefault="00A94E85" w:rsidP="0071660F">
            <w:pPr>
              <w:jc w:val="right"/>
              <w:rPr>
                <w:sz w:val="18"/>
                <w:szCs w:val="18"/>
              </w:rPr>
            </w:pPr>
            <w:r w:rsidRPr="00A17572">
              <w:rPr>
                <w:sz w:val="18"/>
                <w:szCs w:val="18"/>
              </w:rPr>
              <w:t>659</w:t>
            </w:r>
            <w:r>
              <w:rPr>
                <w:sz w:val="18"/>
                <w:szCs w:val="18"/>
              </w:rPr>
              <w:t xml:space="preserve"> (54.3)</w:t>
            </w:r>
          </w:p>
        </w:tc>
      </w:tr>
      <w:tr w:rsidR="00A94E85" w:rsidRPr="00A17572" w14:paraId="70F0D00F" w14:textId="77777777" w:rsidTr="0071660F">
        <w:tc>
          <w:tcPr>
            <w:tcW w:w="2127" w:type="dxa"/>
            <w:tcBorders>
              <w:top w:val="nil"/>
              <w:bottom w:val="nil"/>
            </w:tcBorders>
          </w:tcPr>
          <w:p w14:paraId="6190C176" w14:textId="77777777" w:rsidR="00A94E85" w:rsidRPr="00A17572" w:rsidRDefault="00A94E85" w:rsidP="0071660F">
            <w:pPr>
              <w:jc w:val="both"/>
              <w:rPr>
                <w:sz w:val="18"/>
                <w:szCs w:val="18"/>
              </w:rPr>
            </w:pPr>
            <w:r w:rsidRPr="00A17572">
              <w:rPr>
                <w:sz w:val="18"/>
                <w:szCs w:val="18"/>
              </w:rPr>
              <w:t>Dairy-bred</w:t>
            </w:r>
          </w:p>
        </w:tc>
        <w:tc>
          <w:tcPr>
            <w:tcW w:w="2409" w:type="dxa"/>
            <w:tcBorders>
              <w:top w:val="nil"/>
              <w:bottom w:val="nil"/>
            </w:tcBorders>
          </w:tcPr>
          <w:p w14:paraId="095AB765" w14:textId="77777777" w:rsidR="00A94E85" w:rsidRPr="00A17572" w:rsidRDefault="00A94E85" w:rsidP="0071660F">
            <w:pPr>
              <w:jc w:val="right"/>
              <w:rPr>
                <w:sz w:val="18"/>
                <w:szCs w:val="18"/>
              </w:rPr>
            </w:pPr>
            <w:r w:rsidRPr="00A17572">
              <w:rPr>
                <w:sz w:val="18"/>
                <w:szCs w:val="18"/>
              </w:rPr>
              <w:t>1.05</w:t>
            </w:r>
            <w:r>
              <w:rPr>
                <w:sz w:val="18"/>
                <w:szCs w:val="18"/>
              </w:rPr>
              <w:t xml:space="preserve"> (0.27)</w:t>
            </w:r>
          </w:p>
        </w:tc>
        <w:tc>
          <w:tcPr>
            <w:tcW w:w="2410" w:type="dxa"/>
            <w:tcBorders>
              <w:top w:val="nil"/>
              <w:bottom w:val="nil"/>
            </w:tcBorders>
          </w:tcPr>
          <w:p w14:paraId="783A43E7" w14:textId="77777777" w:rsidR="00A94E85" w:rsidRPr="00A17572" w:rsidRDefault="00A94E85" w:rsidP="0071660F">
            <w:pPr>
              <w:jc w:val="right"/>
              <w:rPr>
                <w:sz w:val="18"/>
                <w:szCs w:val="18"/>
              </w:rPr>
            </w:pPr>
            <w:r w:rsidRPr="00A17572">
              <w:rPr>
                <w:sz w:val="18"/>
                <w:szCs w:val="18"/>
              </w:rPr>
              <w:t>22.2</w:t>
            </w:r>
            <w:r>
              <w:rPr>
                <w:sz w:val="18"/>
                <w:szCs w:val="18"/>
              </w:rPr>
              <w:t xml:space="preserve"> (3.88)</w:t>
            </w:r>
          </w:p>
        </w:tc>
        <w:tc>
          <w:tcPr>
            <w:tcW w:w="1985" w:type="dxa"/>
            <w:tcBorders>
              <w:top w:val="nil"/>
              <w:bottom w:val="nil"/>
            </w:tcBorders>
          </w:tcPr>
          <w:p w14:paraId="6E4BE72E" w14:textId="77777777" w:rsidR="00A94E85" w:rsidRPr="00A17572" w:rsidRDefault="00A94E85" w:rsidP="0071660F">
            <w:pPr>
              <w:jc w:val="right"/>
              <w:rPr>
                <w:sz w:val="18"/>
                <w:szCs w:val="18"/>
              </w:rPr>
            </w:pPr>
            <w:r w:rsidRPr="00A17572">
              <w:rPr>
                <w:sz w:val="18"/>
                <w:szCs w:val="18"/>
              </w:rPr>
              <w:t>608</w:t>
            </w:r>
            <w:r>
              <w:rPr>
                <w:sz w:val="18"/>
                <w:szCs w:val="18"/>
              </w:rPr>
              <w:t xml:space="preserve"> (65.0)</w:t>
            </w:r>
          </w:p>
        </w:tc>
      </w:tr>
      <w:tr w:rsidR="00A94E85" w:rsidRPr="00A17572" w14:paraId="1AC1F61A" w14:textId="77777777" w:rsidTr="0071660F">
        <w:tc>
          <w:tcPr>
            <w:tcW w:w="2127" w:type="dxa"/>
            <w:tcBorders>
              <w:top w:val="nil"/>
              <w:bottom w:val="single" w:sz="4" w:space="0" w:color="auto"/>
            </w:tcBorders>
          </w:tcPr>
          <w:p w14:paraId="616AD57F" w14:textId="77777777" w:rsidR="00A94E85" w:rsidRPr="00A17572" w:rsidRDefault="00A94E85" w:rsidP="0071660F">
            <w:pPr>
              <w:jc w:val="both"/>
              <w:rPr>
                <w:b/>
                <w:bCs/>
                <w:sz w:val="18"/>
                <w:szCs w:val="18"/>
              </w:rPr>
            </w:pPr>
          </w:p>
        </w:tc>
        <w:tc>
          <w:tcPr>
            <w:tcW w:w="2409" w:type="dxa"/>
            <w:tcBorders>
              <w:top w:val="nil"/>
              <w:bottom w:val="single" w:sz="4" w:space="0" w:color="auto"/>
            </w:tcBorders>
          </w:tcPr>
          <w:p w14:paraId="5A8D4153" w14:textId="77777777" w:rsidR="00A94E85" w:rsidRPr="00A17572" w:rsidRDefault="00A94E85" w:rsidP="0071660F">
            <w:pPr>
              <w:jc w:val="right"/>
              <w:rPr>
                <w:b/>
                <w:bCs/>
                <w:sz w:val="18"/>
                <w:szCs w:val="18"/>
              </w:rPr>
            </w:pPr>
          </w:p>
        </w:tc>
        <w:tc>
          <w:tcPr>
            <w:tcW w:w="2410" w:type="dxa"/>
            <w:tcBorders>
              <w:top w:val="nil"/>
              <w:bottom w:val="single" w:sz="4" w:space="0" w:color="auto"/>
            </w:tcBorders>
          </w:tcPr>
          <w:p w14:paraId="78100556" w14:textId="77777777" w:rsidR="00A94E85" w:rsidRPr="00A17572" w:rsidRDefault="00A94E85" w:rsidP="0071660F">
            <w:pPr>
              <w:jc w:val="right"/>
              <w:rPr>
                <w:b/>
                <w:bCs/>
                <w:sz w:val="18"/>
                <w:szCs w:val="18"/>
              </w:rPr>
            </w:pPr>
          </w:p>
        </w:tc>
        <w:tc>
          <w:tcPr>
            <w:tcW w:w="1985" w:type="dxa"/>
            <w:tcBorders>
              <w:top w:val="nil"/>
              <w:bottom w:val="single" w:sz="4" w:space="0" w:color="auto"/>
            </w:tcBorders>
          </w:tcPr>
          <w:p w14:paraId="19A99B92" w14:textId="77777777" w:rsidR="00A94E85" w:rsidRPr="00A17572" w:rsidRDefault="00A94E85" w:rsidP="0071660F">
            <w:pPr>
              <w:jc w:val="right"/>
              <w:rPr>
                <w:b/>
                <w:bCs/>
                <w:sz w:val="18"/>
                <w:szCs w:val="18"/>
              </w:rPr>
            </w:pPr>
          </w:p>
        </w:tc>
      </w:tr>
      <w:tr w:rsidR="00A94E85" w:rsidRPr="00A17572" w14:paraId="50B95701" w14:textId="77777777" w:rsidTr="0071660F">
        <w:tc>
          <w:tcPr>
            <w:tcW w:w="2127" w:type="dxa"/>
            <w:tcBorders>
              <w:top w:val="single" w:sz="4" w:space="0" w:color="auto"/>
            </w:tcBorders>
          </w:tcPr>
          <w:p w14:paraId="1E0AF08E" w14:textId="77777777" w:rsidR="00A94E85" w:rsidRPr="00A17572" w:rsidRDefault="00A94E85" w:rsidP="0071660F">
            <w:pPr>
              <w:jc w:val="both"/>
              <w:rPr>
                <w:b/>
                <w:bCs/>
                <w:sz w:val="18"/>
                <w:szCs w:val="18"/>
              </w:rPr>
            </w:pPr>
            <w:r w:rsidRPr="00A17572">
              <w:rPr>
                <w:b/>
                <w:bCs/>
                <w:sz w:val="18"/>
                <w:szCs w:val="18"/>
              </w:rPr>
              <w:t>Sheep</w:t>
            </w:r>
          </w:p>
        </w:tc>
        <w:tc>
          <w:tcPr>
            <w:tcW w:w="2409" w:type="dxa"/>
            <w:tcBorders>
              <w:top w:val="single" w:sz="4" w:space="0" w:color="auto"/>
            </w:tcBorders>
          </w:tcPr>
          <w:p w14:paraId="24BB3867" w14:textId="77777777" w:rsidR="00A94E85" w:rsidRPr="00A17572" w:rsidRDefault="00A94E85" w:rsidP="0071660F">
            <w:pPr>
              <w:jc w:val="right"/>
              <w:rPr>
                <w:b/>
                <w:bCs/>
                <w:sz w:val="18"/>
                <w:szCs w:val="18"/>
              </w:rPr>
            </w:pPr>
            <w:r w:rsidRPr="00A17572">
              <w:rPr>
                <w:b/>
                <w:bCs/>
                <w:sz w:val="18"/>
                <w:szCs w:val="18"/>
              </w:rPr>
              <w:t>Ewe numbers (head)</w:t>
            </w:r>
          </w:p>
        </w:tc>
        <w:tc>
          <w:tcPr>
            <w:tcW w:w="2410" w:type="dxa"/>
            <w:tcBorders>
              <w:top w:val="single" w:sz="4" w:space="0" w:color="auto"/>
            </w:tcBorders>
          </w:tcPr>
          <w:p w14:paraId="3D6F7F77" w14:textId="77777777" w:rsidR="00A94E85" w:rsidRPr="00A17572" w:rsidRDefault="00A94E85" w:rsidP="0071660F">
            <w:pPr>
              <w:jc w:val="right"/>
              <w:rPr>
                <w:b/>
                <w:bCs/>
                <w:sz w:val="18"/>
                <w:szCs w:val="18"/>
              </w:rPr>
            </w:pPr>
            <w:r w:rsidRPr="00A17572">
              <w:rPr>
                <w:b/>
                <w:bCs/>
                <w:sz w:val="18"/>
                <w:szCs w:val="18"/>
              </w:rPr>
              <w:t>Lambing %</w:t>
            </w:r>
          </w:p>
        </w:tc>
        <w:tc>
          <w:tcPr>
            <w:tcW w:w="1985" w:type="dxa"/>
            <w:tcBorders>
              <w:top w:val="single" w:sz="4" w:space="0" w:color="auto"/>
            </w:tcBorders>
          </w:tcPr>
          <w:p w14:paraId="7979CCF9" w14:textId="77777777" w:rsidR="00A94E85" w:rsidRPr="00A17572" w:rsidRDefault="00A94E85" w:rsidP="0071660F">
            <w:pPr>
              <w:jc w:val="right"/>
              <w:rPr>
                <w:b/>
                <w:bCs/>
                <w:sz w:val="18"/>
                <w:szCs w:val="18"/>
              </w:rPr>
            </w:pPr>
            <w:r w:rsidRPr="00A17572">
              <w:rPr>
                <w:b/>
                <w:bCs/>
                <w:sz w:val="18"/>
                <w:szCs w:val="18"/>
              </w:rPr>
              <w:t>Slaughter weight (kg)</w:t>
            </w:r>
          </w:p>
        </w:tc>
      </w:tr>
      <w:tr w:rsidR="00A94E85" w:rsidRPr="00A17572" w14:paraId="4D41015F" w14:textId="77777777" w:rsidTr="0071660F">
        <w:tc>
          <w:tcPr>
            <w:tcW w:w="2127" w:type="dxa"/>
          </w:tcPr>
          <w:p w14:paraId="714BA670" w14:textId="77777777" w:rsidR="00A94E85" w:rsidRPr="00A17572" w:rsidRDefault="00A94E85" w:rsidP="0071660F">
            <w:pPr>
              <w:jc w:val="both"/>
              <w:rPr>
                <w:sz w:val="18"/>
                <w:szCs w:val="18"/>
              </w:rPr>
            </w:pPr>
            <w:r w:rsidRPr="00A17572">
              <w:rPr>
                <w:sz w:val="18"/>
                <w:szCs w:val="18"/>
              </w:rPr>
              <w:t xml:space="preserve">Crossbred </w:t>
            </w:r>
            <w:r>
              <w:rPr>
                <w:sz w:val="18"/>
                <w:szCs w:val="18"/>
              </w:rPr>
              <w:t>flock</w:t>
            </w:r>
          </w:p>
        </w:tc>
        <w:tc>
          <w:tcPr>
            <w:tcW w:w="2409" w:type="dxa"/>
          </w:tcPr>
          <w:p w14:paraId="7E3D1829" w14:textId="77777777" w:rsidR="00A94E85" w:rsidRPr="00A17572" w:rsidRDefault="00A94E85" w:rsidP="0071660F">
            <w:pPr>
              <w:jc w:val="right"/>
              <w:rPr>
                <w:sz w:val="18"/>
                <w:szCs w:val="18"/>
              </w:rPr>
            </w:pPr>
            <w:r w:rsidRPr="00A17572">
              <w:rPr>
                <w:sz w:val="18"/>
                <w:szCs w:val="18"/>
              </w:rPr>
              <w:t>453</w:t>
            </w:r>
            <w:r>
              <w:rPr>
                <w:sz w:val="18"/>
                <w:szCs w:val="18"/>
              </w:rPr>
              <w:t xml:space="preserve"> (495)</w:t>
            </w:r>
          </w:p>
        </w:tc>
        <w:tc>
          <w:tcPr>
            <w:tcW w:w="2410" w:type="dxa"/>
          </w:tcPr>
          <w:p w14:paraId="08D4D84E" w14:textId="77777777" w:rsidR="00A94E85" w:rsidRPr="00A17572" w:rsidRDefault="00A94E85" w:rsidP="0071660F">
            <w:pPr>
              <w:jc w:val="right"/>
              <w:rPr>
                <w:sz w:val="18"/>
                <w:szCs w:val="18"/>
              </w:rPr>
            </w:pPr>
            <w:r w:rsidRPr="00A17572">
              <w:rPr>
                <w:sz w:val="18"/>
                <w:szCs w:val="18"/>
              </w:rPr>
              <w:t>169</w:t>
            </w:r>
            <w:r>
              <w:rPr>
                <w:sz w:val="18"/>
                <w:szCs w:val="18"/>
              </w:rPr>
              <w:t xml:space="preserve"> (21.7)</w:t>
            </w:r>
          </w:p>
        </w:tc>
        <w:tc>
          <w:tcPr>
            <w:tcW w:w="1985" w:type="dxa"/>
          </w:tcPr>
          <w:p w14:paraId="687AE21A" w14:textId="77777777" w:rsidR="00A94E85" w:rsidRPr="00A17572" w:rsidRDefault="00A94E85" w:rsidP="0071660F">
            <w:pPr>
              <w:jc w:val="right"/>
              <w:rPr>
                <w:sz w:val="18"/>
                <w:szCs w:val="18"/>
              </w:rPr>
            </w:pPr>
            <w:r w:rsidRPr="00A17572">
              <w:rPr>
                <w:sz w:val="18"/>
                <w:szCs w:val="18"/>
              </w:rPr>
              <w:t>66.9</w:t>
            </w:r>
            <w:r>
              <w:rPr>
                <w:sz w:val="18"/>
                <w:szCs w:val="18"/>
              </w:rPr>
              <w:t xml:space="preserve"> (11.0)</w:t>
            </w:r>
          </w:p>
        </w:tc>
      </w:tr>
      <w:tr w:rsidR="00A94E85" w:rsidRPr="00A17572" w14:paraId="084A8C89" w14:textId="77777777" w:rsidTr="0071660F">
        <w:tc>
          <w:tcPr>
            <w:tcW w:w="2127" w:type="dxa"/>
          </w:tcPr>
          <w:p w14:paraId="51DE7200" w14:textId="77777777" w:rsidR="00A94E85" w:rsidRPr="00A17572" w:rsidRDefault="00A94E85" w:rsidP="0071660F">
            <w:pPr>
              <w:jc w:val="both"/>
              <w:rPr>
                <w:sz w:val="18"/>
                <w:szCs w:val="18"/>
              </w:rPr>
            </w:pPr>
            <w:r w:rsidRPr="00A17572">
              <w:rPr>
                <w:sz w:val="18"/>
                <w:szCs w:val="18"/>
              </w:rPr>
              <w:t xml:space="preserve">Hill </w:t>
            </w:r>
            <w:r>
              <w:rPr>
                <w:sz w:val="18"/>
                <w:szCs w:val="18"/>
              </w:rPr>
              <w:t>flock</w:t>
            </w:r>
            <w:r w:rsidRPr="00A17572">
              <w:rPr>
                <w:sz w:val="18"/>
                <w:szCs w:val="18"/>
              </w:rPr>
              <w:t xml:space="preserve"> </w:t>
            </w:r>
          </w:p>
        </w:tc>
        <w:tc>
          <w:tcPr>
            <w:tcW w:w="2409" w:type="dxa"/>
          </w:tcPr>
          <w:p w14:paraId="5DC857B2" w14:textId="77777777" w:rsidR="00A94E85" w:rsidRPr="00A17572" w:rsidRDefault="00A94E85" w:rsidP="0071660F">
            <w:pPr>
              <w:jc w:val="right"/>
              <w:rPr>
                <w:sz w:val="18"/>
                <w:szCs w:val="18"/>
              </w:rPr>
            </w:pPr>
            <w:r w:rsidRPr="00A17572">
              <w:rPr>
                <w:sz w:val="18"/>
                <w:szCs w:val="18"/>
              </w:rPr>
              <w:t>554</w:t>
            </w:r>
            <w:r>
              <w:rPr>
                <w:sz w:val="18"/>
                <w:szCs w:val="18"/>
              </w:rPr>
              <w:t xml:space="preserve"> (444)</w:t>
            </w:r>
          </w:p>
        </w:tc>
        <w:tc>
          <w:tcPr>
            <w:tcW w:w="2410" w:type="dxa"/>
          </w:tcPr>
          <w:p w14:paraId="69D91E81" w14:textId="77777777" w:rsidR="00A94E85" w:rsidRPr="00A17572" w:rsidRDefault="00A94E85" w:rsidP="0071660F">
            <w:pPr>
              <w:jc w:val="right"/>
              <w:rPr>
                <w:sz w:val="18"/>
                <w:szCs w:val="18"/>
              </w:rPr>
            </w:pPr>
            <w:r w:rsidRPr="00A17572">
              <w:rPr>
                <w:sz w:val="18"/>
                <w:szCs w:val="18"/>
              </w:rPr>
              <w:t>146</w:t>
            </w:r>
            <w:r>
              <w:rPr>
                <w:sz w:val="18"/>
                <w:szCs w:val="18"/>
              </w:rPr>
              <w:t xml:space="preserve"> (19.8)</w:t>
            </w:r>
          </w:p>
        </w:tc>
        <w:tc>
          <w:tcPr>
            <w:tcW w:w="1985" w:type="dxa"/>
          </w:tcPr>
          <w:p w14:paraId="497428B5" w14:textId="77777777" w:rsidR="00A94E85" w:rsidRPr="00A17572" w:rsidRDefault="00A94E85" w:rsidP="0071660F">
            <w:pPr>
              <w:jc w:val="right"/>
              <w:rPr>
                <w:sz w:val="18"/>
                <w:szCs w:val="18"/>
              </w:rPr>
            </w:pPr>
            <w:r w:rsidRPr="00A17572">
              <w:rPr>
                <w:sz w:val="18"/>
                <w:szCs w:val="18"/>
              </w:rPr>
              <w:t>56.3</w:t>
            </w:r>
            <w:r>
              <w:rPr>
                <w:sz w:val="18"/>
                <w:szCs w:val="18"/>
              </w:rPr>
              <w:t xml:space="preserve"> (8.60)</w:t>
            </w:r>
          </w:p>
        </w:tc>
      </w:tr>
      <w:tr w:rsidR="00A94E85" w:rsidRPr="00A17572" w14:paraId="3923B711" w14:textId="77777777" w:rsidTr="0071660F">
        <w:tc>
          <w:tcPr>
            <w:tcW w:w="2127" w:type="dxa"/>
          </w:tcPr>
          <w:p w14:paraId="2EFE2303" w14:textId="77777777" w:rsidR="00A94E85" w:rsidRPr="00A17572" w:rsidRDefault="00A94E85" w:rsidP="0071660F">
            <w:pPr>
              <w:jc w:val="both"/>
              <w:rPr>
                <w:sz w:val="18"/>
                <w:szCs w:val="18"/>
              </w:rPr>
            </w:pPr>
            <w:r w:rsidRPr="00A17572">
              <w:rPr>
                <w:sz w:val="18"/>
                <w:szCs w:val="18"/>
              </w:rPr>
              <w:t xml:space="preserve">Early </w:t>
            </w:r>
            <w:r>
              <w:rPr>
                <w:sz w:val="18"/>
                <w:szCs w:val="18"/>
              </w:rPr>
              <w:t>flock</w:t>
            </w:r>
          </w:p>
        </w:tc>
        <w:tc>
          <w:tcPr>
            <w:tcW w:w="2409" w:type="dxa"/>
          </w:tcPr>
          <w:p w14:paraId="6691E941" w14:textId="77777777" w:rsidR="00A94E85" w:rsidRPr="00A17572" w:rsidRDefault="00A94E85" w:rsidP="0071660F">
            <w:pPr>
              <w:jc w:val="right"/>
              <w:rPr>
                <w:sz w:val="18"/>
                <w:szCs w:val="18"/>
              </w:rPr>
            </w:pPr>
            <w:r w:rsidRPr="00A17572">
              <w:rPr>
                <w:sz w:val="18"/>
                <w:szCs w:val="18"/>
              </w:rPr>
              <w:t>410</w:t>
            </w:r>
            <w:r>
              <w:rPr>
                <w:sz w:val="18"/>
                <w:szCs w:val="18"/>
              </w:rPr>
              <w:t xml:space="preserve"> (319)</w:t>
            </w:r>
          </w:p>
        </w:tc>
        <w:tc>
          <w:tcPr>
            <w:tcW w:w="2410" w:type="dxa"/>
          </w:tcPr>
          <w:p w14:paraId="06AE412D" w14:textId="77777777" w:rsidR="00A94E85" w:rsidRPr="00A17572" w:rsidRDefault="00A94E85" w:rsidP="0071660F">
            <w:pPr>
              <w:jc w:val="right"/>
              <w:rPr>
                <w:sz w:val="18"/>
                <w:szCs w:val="18"/>
              </w:rPr>
            </w:pPr>
            <w:r w:rsidRPr="00A17572">
              <w:rPr>
                <w:sz w:val="18"/>
                <w:szCs w:val="18"/>
              </w:rPr>
              <w:t>162</w:t>
            </w:r>
            <w:r>
              <w:rPr>
                <w:sz w:val="18"/>
                <w:szCs w:val="18"/>
              </w:rPr>
              <w:t xml:space="preserve"> (22.7)</w:t>
            </w:r>
          </w:p>
        </w:tc>
        <w:tc>
          <w:tcPr>
            <w:tcW w:w="1985" w:type="dxa"/>
          </w:tcPr>
          <w:p w14:paraId="660717AA" w14:textId="77777777" w:rsidR="00A94E85" w:rsidRPr="00A17572" w:rsidRDefault="00A94E85" w:rsidP="0071660F">
            <w:pPr>
              <w:jc w:val="right"/>
              <w:rPr>
                <w:sz w:val="18"/>
                <w:szCs w:val="18"/>
              </w:rPr>
            </w:pPr>
            <w:r>
              <w:rPr>
                <w:sz w:val="18"/>
                <w:szCs w:val="18"/>
              </w:rPr>
              <w:t>67</w:t>
            </w:r>
            <w:r w:rsidRPr="00A17572">
              <w:rPr>
                <w:sz w:val="18"/>
                <w:szCs w:val="18"/>
              </w:rPr>
              <w:t>.</w:t>
            </w:r>
            <w:r>
              <w:rPr>
                <w:sz w:val="18"/>
                <w:szCs w:val="18"/>
              </w:rPr>
              <w:t>4 (10.6)</w:t>
            </w:r>
          </w:p>
        </w:tc>
      </w:tr>
      <w:tr w:rsidR="00A94E85" w:rsidRPr="00A17572" w14:paraId="71C15CF2" w14:textId="77777777" w:rsidTr="0071660F">
        <w:tc>
          <w:tcPr>
            <w:tcW w:w="2127" w:type="dxa"/>
          </w:tcPr>
          <w:p w14:paraId="2A32C6A4" w14:textId="77777777" w:rsidR="00A94E85" w:rsidRPr="00A17572" w:rsidRDefault="00A94E85" w:rsidP="0071660F">
            <w:pPr>
              <w:jc w:val="both"/>
              <w:rPr>
                <w:sz w:val="18"/>
                <w:szCs w:val="18"/>
              </w:rPr>
            </w:pPr>
            <w:r w:rsidRPr="00A17572">
              <w:rPr>
                <w:sz w:val="18"/>
                <w:szCs w:val="18"/>
              </w:rPr>
              <w:t xml:space="preserve">Late </w:t>
            </w:r>
            <w:r>
              <w:rPr>
                <w:sz w:val="18"/>
                <w:szCs w:val="18"/>
              </w:rPr>
              <w:t>flock</w:t>
            </w:r>
          </w:p>
        </w:tc>
        <w:tc>
          <w:tcPr>
            <w:tcW w:w="2409" w:type="dxa"/>
          </w:tcPr>
          <w:p w14:paraId="78FB55A5" w14:textId="77777777" w:rsidR="00A94E85" w:rsidRPr="00A17572" w:rsidRDefault="00A94E85" w:rsidP="0071660F">
            <w:pPr>
              <w:jc w:val="right"/>
              <w:rPr>
                <w:sz w:val="18"/>
                <w:szCs w:val="18"/>
              </w:rPr>
            </w:pPr>
            <w:r w:rsidRPr="00A17572">
              <w:rPr>
                <w:sz w:val="18"/>
                <w:szCs w:val="18"/>
              </w:rPr>
              <w:t>573</w:t>
            </w:r>
            <w:r>
              <w:rPr>
                <w:sz w:val="18"/>
                <w:szCs w:val="18"/>
              </w:rPr>
              <w:t xml:space="preserve"> (503)</w:t>
            </w:r>
          </w:p>
        </w:tc>
        <w:tc>
          <w:tcPr>
            <w:tcW w:w="2410" w:type="dxa"/>
          </w:tcPr>
          <w:p w14:paraId="5D119380" w14:textId="77777777" w:rsidR="00A94E85" w:rsidRPr="00A17572" w:rsidRDefault="00A94E85" w:rsidP="0071660F">
            <w:pPr>
              <w:jc w:val="right"/>
              <w:rPr>
                <w:sz w:val="18"/>
                <w:szCs w:val="18"/>
              </w:rPr>
            </w:pPr>
            <w:r w:rsidRPr="00A17572">
              <w:rPr>
                <w:sz w:val="18"/>
                <w:szCs w:val="18"/>
              </w:rPr>
              <w:t>147</w:t>
            </w:r>
            <w:r>
              <w:rPr>
                <w:sz w:val="18"/>
                <w:szCs w:val="18"/>
              </w:rPr>
              <w:t xml:space="preserve"> (24.3)</w:t>
            </w:r>
          </w:p>
        </w:tc>
        <w:tc>
          <w:tcPr>
            <w:tcW w:w="1985" w:type="dxa"/>
          </w:tcPr>
          <w:p w14:paraId="06547962" w14:textId="77777777" w:rsidR="00A94E85" w:rsidRPr="00A17572" w:rsidRDefault="00A94E85" w:rsidP="0071660F">
            <w:pPr>
              <w:jc w:val="right"/>
              <w:rPr>
                <w:sz w:val="18"/>
                <w:szCs w:val="18"/>
              </w:rPr>
            </w:pPr>
            <w:r w:rsidRPr="00A17572">
              <w:rPr>
                <w:sz w:val="18"/>
                <w:szCs w:val="18"/>
              </w:rPr>
              <w:t>62.3</w:t>
            </w:r>
            <w:r>
              <w:rPr>
                <w:sz w:val="18"/>
                <w:szCs w:val="18"/>
              </w:rPr>
              <w:t xml:space="preserve"> (13.9)</w:t>
            </w:r>
          </w:p>
        </w:tc>
      </w:tr>
      <w:tr w:rsidR="00A94E85" w:rsidRPr="00A17572" w14:paraId="00E47CB9" w14:textId="77777777" w:rsidTr="001225B3">
        <w:tc>
          <w:tcPr>
            <w:tcW w:w="2127" w:type="dxa"/>
            <w:tcBorders>
              <w:bottom w:val="single" w:sz="18" w:space="0" w:color="auto"/>
            </w:tcBorders>
          </w:tcPr>
          <w:p w14:paraId="2217A089" w14:textId="77777777" w:rsidR="00A94E85" w:rsidRPr="00A17572" w:rsidRDefault="00A94E85" w:rsidP="0071660F">
            <w:pPr>
              <w:jc w:val="both"/>
              <w:rPr>
                <w:sz w:val="18"/>
                <w:szCs w:val="18"/>
              </w:rPr>
            </w:pPr>
            <w:r w:rsidRPr="00A17572">
              <w:rPr>
                <w:sz w:val="18"/>
                <w:szCs w:val="18"/>
              </w:rPr>
              <w:t>Store lambs</w:t>
            </w:r>
          </w:p>
        </w:tc>
        <w:tc>
          <w:tcPr>
            <w:tcW w:w="2409" w:type="dxa"/>
            <w:tcBorders>
              <w:bottom w:val="single" w:sz="18" w:space="0" w:color="auto"/>
            </w:tcBorders>
          </w:tcPr>
          <w:p w14:paraId="7F765B8B" w14:textId="77777777" w:rsidR="00A94E85" w:rsidRPr="00A17572" w:rsidRDefault="00A94E85" w:rsidP="0071660F">
            <w:pPr>
              <w:jc w:val="right"/>
              <w:rPr>
                <w:sz w:val="18"/>
                <w:szCs w:val="18"/>
              </w:rPr>
            </w:pPr>
            <w:r w:rsidRPr="00A17572">
              <w:rPr>
                <w:sz w:val="18"/>
                <w:szCs w:val="18"/>
              </w:rPr>
              <w:t>-</w:t>
            </w:r>
          </w:p>
        </w:tc>
        <w:tc>
          <w:tcPr>
            <w:tcW w:w="2410" w:type="dxa"/>
            <w:tcBorders>
              <w:bottom w:val="single" w:sz="18" w:space="0" w:color="auto"/>
            </w:tcBorders>
          </w:tcPr>
          <w:p w14:paraId="7AA2D10A" w14:textId="77777777" w:rsidR="00A94E85" w:rsidRPr="00A17572" w:rsidRDefault="00A94E85" w:rsidP="0071660F">
            <w:pPr>
              <w:jc w:val="right"/>
              <w:rPr>
                <w:sz w:val="18"/>
                <w:szCs w:val="18"/>
              </w:rPr>
            </w:pPr>
            <w:r w:rsidRPr="00A17572">
              <w:rPr>
                <w:sz w:val="18"/>
                <w:szCs w:val="18"/>
              </w:rPr>
              <w:t>-</w:t>
            </w:r>
          </w:p>
        </w:tc>
        <w:tc>
          <w:tcPr>
            <w:tcW w:w="1985" w:type="dxa"/>
            <w:tcBorders>
              <w:bottom w:val="single" w:sz="18" w:space="0" w:color="auto"/>
            </w:tcBorders>
          </w:tcPr>
          <w:p w14:paraId="533A5BE7" w14:textId="77777777" w:rsidR="00A94E85" w:rsidRPr="00A17572" w:rsidRDefault="00A94E85" w:rsidP="0071660F">
            <w:pPr>
              <w:jc w:val="right"/>
              <w:rPr>
                <w:sz w:val="18"/>
                <w:szCs w:val="18"/>
              </w:rPr>
            </w:pPr>
            <w:r w:rsidRPr="00A17572">
              <w:rPr>
                <w:sz w:val="18"/>
                <w:szCs w:val="18"/>
              </w:rPr>
              <w:t>58.3</w:t>
            </w:r>
            <w:r>
              <w:rPr>
                <w:sz w:val="18"/>
                <w:szCs w:val="18"/>
              </w:rPr>
              <w:t xml:space="preserve"> (14.8)</w:t>
            </w:r>
          </w:p>
        </w:tc>
      </w:tr>
    </w:tbl>
    <w:p w14:paraId="5891637A" w14:textId="51E36B1B" w:rsidR="00A94E85" w:rsidRPr="001225B3" w:rsidRDefault="00A94E85" w:rsidP="001225B3">
      <w:pPr>
        <w:spacing w:after="0"/>
        <w:jc w:val="both"/>
        <w:rPr>
          <w:sz w:val="18"/>
          <w:szCs w:val="18"/>
        </w:rPr>
      </w:pPr>
      <w:r w:rsidRPr="001225B3">
        <w:rPr>
          <w:sz w:val="18"/>
          <w:szCs w:val="18"/>
          <w:vertAlign w:val="superscript"/>
        </w:rPr>
        <w:t xml:space="preserve">1 </w:t>
      </w:r>
      <w:r w:rsidRPr="001225B3">
        <w:rPr>
          <w:sz w:val="18"/>
          <w:szCs w:val="18"/>
        </w:rPr>
        <w:t>Means followed by standard deviation in brackets</w:t>
      </w:r>
    </w:p>
    <w:p w14:paraId="5CA227D8" w14:textId="77777777" w:rsidR="00A94E85" w:rsidRPr="001225B3" w:rsidRDefault="00A94E85" w:rsidP="001225B3">
      <w:pPr>
        <w:spacing w:after="0"/>
        <w:jc w:val="both"/>
        <w:rPr>
          <w:sz w:val="18"/>
          <w:szCs w:val="18"/>
        </w:rPr>
      </w:pPr>
      <w:r w:rsidRPr="001225B3">
        <w:rPr>
          <w:sz w:val="18"/>
          <w:szCs w:val="18"/>
          <w:vertAlign w:val="superscript"/>
        </w:rPr>
        <w:t xml:space="preserve">2 </w:t>
      </w:r>
      <w:r w:rsidRPr="001225B3">
        <w:rPr>
          <w:sz w:val="18"/>
          <w:szCs w:val="18"/>
        </w:rPr>
        <w:t>Lowland suckler-finisher enterprises</w:t>
      </w:r>
    </w:p>
    <w:p w14:paraId="53DF7DAF" w14:textId="77777777" w:rsidR="00A94E85" w:rsidRPr="001225B3" w:rsidRDefault="00A94E85" w:rsidP="001225B3">
      <w:pPr>
        <w:spacing w:after="0"/>
        <w:jc w:val="both"/>
        <w:rPr>
          <w:sz w:val="18"/>
          <w:szCs w:val="18"/>
        </w:rPr>
      </w:pPr>
      <w:r w:rsidRPr="001225B3">
        <w:rPr>
          <w:sz w:val="18"/>
          <w:szCs w:val="18"/>
          <w:vertAlign w:val="superscript"/>
        </w:rPr>
        <w:t xml:space="preserve">3 </w:t>
      </w:r>
      <w:r w:rsidRPr="001225B3">
        <w:rPr>
          <w:sz w:val="18"/>
          <w:szCs w:val="18"/>
        </w:rPr>
        <w:t>Upland suckler-finisher enterprises</w:t>
      </w:r>
    </w:p>
    <w:p w14:paraId="3FE571D9" w14:textId="77777777" w:rsidR="00A94E85" w:rsidRDefault="00A94E85" w:rsidP="00A94E85">
      <w:pPr>
        <w:jc w:val="both"/>
        <w:rPr>
          <w:sz w:val="20"/>
          <w:szCs w:val="20"/>
        </w:rPr>
      </w:pPr>
    </w:p>
    <w:p w14:paraId="604D726A" w14:textId="43AE76AE" w:rsidR="00A94E85" w:rsidRPr="001225B3" w:rsidRDefault="00A94E85" w:rsidP="00A94E85">
      <w:pPr>
        <w:jc w:val="both"/>
        <w:rPr>
          <w:b/>
          <w:bCs/>
          <w:vertAlign w:val="superscript"/>
        </w:rPr>
      </w:pPr>
      <w:r w:rsidRPr="00414B38">
        <w:rPr>
          <w:b/>
          <w:bCs/>
        </w:rPr>
        <w:t xml:space="preserve">Table </w:t>
      </w:r>
      <w:r>
        <w:rPr>
          <w:b/>
          <w:bCs/>
        </w:rPr>
        <w:t>2</w:t>
      </w:r>
      <w:r w:rsidRPr="00414B38">
        <w:rPr>
          <w:b/>
          <w:bCs/>
        </w:rPr>
        <w:t xml:space="preserve">. </w:t>
      </w:r>
      <w:r>
        <w:rPr>
          <w:b/>
          <w:bCs/>
        </w:rPr>
        <w:t>Greenhouse gas emission intensities from UK beef</w:t>
      </w:r>
      <w:r w:rsidR="00F26C97">
        <w:rPr>
          <w:b/>
          <w:bCs/>
        </w:rPr>
        <w:t xml:space="preserve"> and sheep</w:t>
      </w:r>
      <w:r>
        <w:rPr>
          <w:b/>
          <w:bCs/>
        </w:rPr>
        <w:t xml:space="preserve"> enterprises</w:t>
      </w:r>
      <w:r w:rsidR="001225B3">
        <w:rPr>
          <w:b/>
          <w:bCs/>
          <w:vertAlign w:val="superscript"/>
        </w:rPr>
        <w:t>1</w:t>
      </w:r>
    </w:p>
    <w:tbl>
      <w:tblPr>
        <w:tblStyle w:val="TableGrid"/>
        <w:tblW w:w="9072" w:type="dxa"/>
        <w:tblBorders>
          <w:top w:val="single" w:sz="18" w:space="0" w:color="auto"/>
          <w:left w:val="none" w:sz="0" w:space="0" w:color="auto"/>
          <w:bottom w:val="single" w:sz="18" w:space="0" w:color="auto"/>
          <w:right w:val="none" w:sz="0" w:space="0" w:color="auto"/>
          <w:insideV w:val="none" w:sz="0" w:space="0" w:color="auto"/>
        </w:tblBorders>
        <w:tblLook w:val="04A0" w:firstRow="1" w:lastRow="0" w:firstColumn="1" w:lastColumn="0" w:noHBand="0" w:noVBand="1"/>
      </w:tblPr>
      <w:tblGrid>
        <w:gridCol w:w="1843"/>
        <w:gridCol w:w="1701"/>
        <w:gridCol w:w="1418"/>
        <w:gridCol w:w="425"/>
        <w:gridCol w:w="850"/>
        <w:gridCol w:w="142"/>
        <w:gridCol w:w="851"/>
        <w:gridCol w:w="110"/>
        <w:gridCol w:w="457"/>
        <w:gridCol w:w="1275"/>
      </w:tblGrid>
      <w:tr w:rsidR="00F26C97" w:rsidRPr="00CB56D5" w14:paraId="4085D9F2" w14:textId="767C2CA2" w:rsidTr="001225B3">
        <w:tc>
          <w:tcPr>
            <w:tcW w:w="1843" w:type="dxa"/>
          </w:tcPr>
          <w:p w14:paraId="162B2B85" w14:textId="6AD7894B" w:rsidR="00F26C97" w:rsidRPr="00CB56D5" w:rsidRDefault="00F26C97" w:rsidP="0071660F">
            <w:pPr>
              <w:jc w:val="both"/>
              <w:rPr>
                <w:b/>
                <w:bCs/>
                <w:sz w:val="18"/>
                <w:szCs w:val="18"/>
              </w:rPr>
            </w:pPr>
            <w:r>
              <w:rPr>
                <w:b/>
                <w:bCs/>
                <w:sz w:val="18"/>
                <w:szCs w:val="18"/>
              </w:rPr>
              <w:t>Beef enterprise</w:t>
            </w:r>
            <w:r w:rsidRPr="00CB56D5">
              <w:rPr>
                <w:b/>
                <w:bCs/>
                <w:sz w:val="18"/>
                <w:szCs w:val="18"/>
              </w:rPr>
              <w:t xml:space="preserve"> </w:t>
            </w:r>
          </w:p>
        </w:tc>
        <w:tc>
          <w:tcPr>
            <w:tcW w:w="1701" w:type="dxa"/>
          </w:tcPr>
          <w:p w14:paraId="11314D15" w14:textId="77777777" w:rsidR="00F26C97" w:rsidRPr="00CB56D5" w:rsidRDefault="00F26C97" w:rsidP="0071660F">
            <w:pPr>
              <w:jc w:val="both"/>
              <w:rPr>
                <w:b/>
                <w:bCs/>
                <w:sz w:val="18"/>
                <w:szCs w:val="18"/>
              </w:rPr>
            </w:pPr>
            <w:r w:rsidRPr="00CB56D5">
              <w:rPr>
                <w:b/>
                <w:bCs/>
                <w:sz w:val="18"/>
                <w:szCs w:val="18"/>
              </w:rPr>
              <w:t>Lowland Suckler</w:t>
            </w:r>
          </w:p>
        </w:tc>
        <w:tc>
          <w:tcPr>
            <w:tcW w:w="1843" w:type="dxa"/>
            <w:gridSpan w:val="2"/>
          </w:tcPr>
          <w:p w14:paraId="2B66E836" w14:textId="77777777" w:rsidR="00F26C97" w:rsidRPr="00CB56D5" w:rsidRDefault="00F26C97" w:rsidP="0071660F">
            <w:pPr>
              <w:jc w:val="both"/>
              <w:rPr>
                <w:b/>
                <w:bCs/>
                <w:sz w:val="18"/>
                <w:szCs w:val="18"/>
              </w:rPr>
            </w:pPr>
            <w:r w:rsidRPr="00CB56D5">
              <w:rPr>
                <w:b/>
                <w:bCs/>
                <w:sz w:val="18"/>
                <w:szCs w:val="18"/>
              </w:rPr>
              <w:t>Upland/hill suckler</w:t>
            </w:r>
          </w:p>
        </w:tc>
        <w:tc>
          <w:tcPr>
            <w:tcW w:w="1843" w:type="dxa"/>
            <w:gridSpan w:val="3"/>
          </w:tcPr>
          <w:p w14:paraId="25E72155" w14:textId="77777777" w:rsidR="00F26C97" w:rsidRPr="00CB56D5" w:rsidRDefault="00F26C97" w:rsidP="0071660F">
            <w:pPr>
              <w:jc w:val="both"/>
              <w:rPr>
                <w:b/>
                <w:bCs/>
                <w:sz w:val="18"/>
                <w:szCs w:val="18"/>
              </w:rPr>
            </w:pPr>
            <w:r w:rsidRPr="00CB56D5">
              <w:rPr>
                <w:b/>
                <w:bCs/>
                <w:sz w:val="18"/>
                <w:szCs w:val="18"/>
              </w:rPr>
              <w:t>Beef-bred finisher</w:t>
            </w:r>
          </w:p>
        </w:tc>
        <w:tc>
          <w:tcPr>
            <w:tcW w:w="1842" w:type="dxa"/>
            <w:gridSpan w:val="3"/>
          </w:tcPr>
          <w:p w14:paraId="14C93FE9" w14:textId="226DFFC2" w:rsidR="00F26C97" w:rsidRPr="00CB56D5" w:rsidRDefault="00F26C97" w:rsidP="0071660F">
            <w:pPr>
              <w:jc w:val="both"/>
              <w:rPr>
                <w:b/>
                <w:bCs/>
                <w:sz w:val="18"/>
                <w:szCs w:val="18"/>
              </w:rPr>
            </w:pPr>
            <w:r w:rsidRPr="00CB56D5">
              <w:rPr>
                <w:b/>
                <w:bCs/>
                <w:sz w:val="18"/>
                <w:szCs w:val="18"/>
              </w:rPr>
              <w:t>Dairy-bred finisher</w:t>
            </w:r>
          </w:p>
        </w:tc>
      </w:tr>
      <w:tr w:rsidR="00F26C97" w:rsidRPr="00CB56D5" w14:paraId="5CC773FA" w14:textId="07A58745" w:rsidTr="001225B3">
        <w:tc>
          <w:tcPr>
            <w:tcW w:w="1843" w:type="dxa"/>
          </w:tcPr>
          <w:p w14:paraId="39D075FB" w14:textId="77777777" w:rsidR="00F26C97" w:rsidRDefault="00F26C97" w:rsidP="0071660F">
            <w:pPr>
              <w:jc w:val="both"/>
              <w:rPr>
                <w:b/>
                <w:bCs/>
                <w:sz w:val="18"/>
                <w:szCs w:val="18"/>
              </w:rPr>
            </w:pPr>
            <w:proofErr w:type="spellStart"/>
            <w:r w:rsidRPr="00CB56D5">
              <w:rPr>
                <w:b/>
                <w:bCs/>
                <w:sz w:val="18"/>
                <w:szCs w:val="18"/>
              </w:rPr>
              <w:t>GHGe</w:t>
            </w:r>
            <w:proofErr w:type="spellEnd"/>
            <w:r w:rsidRPr="00CB56D5">
              <w:rPr>
                <w:b/>
                <w:bCs/>
                <w:sz w:val="18"/>
                <w:szCs w:val="18"/>
              </w:rPr>
              <w:t xml:space="preserve"> </w:t>
            </w:r>
          </w:p>
          <w:p w14:paraId="6A06E198" w14:textId="1D2544E3" w:rsidR="00F26C97" w:rsidRPr="00CB56D5" w:rsidRDefault="00F26C97" w:rsidP="0071660F">
            <w:pPr>
              <w:jc w:val="both"/>
              <w:rPr>
                <w:b/>
                <w:bCs/>
                <w:sz w:val="18"/>
                <w:szCs w:val="18"/>
              </w:rPr>
            </w:pPr>
            <w:r w:rsidRPr="00CB56D5">
              <w:rPr>
                <w:b/>
                <w:bCs/>
                <w:sz w:val="18"/>
                <w:szCs w:val="18"/>
              </w:rPr>
              <w:t>(kg CO</w:t>
            </w:r>
            <w:r w:rsidRPr="00CB56D5">
              <w:rPr>
                <w:b/>
                <w:bCs/>
                <w:sz w:val="18"/>
                <w:szCs w:val="18"/>
                <w:vertAlign w:val="subscript"/>
              </w:rPr>
              <w:t>2</w:t>
            </w:r>
            <w:r w:rsidRPr="00CB56D5">
              <w:rPr>
                <w:b/>
                <w:bCs/>
                <w:sz w:val="18"/>
                <w:szCs w:val="18"/>
              </w:rPr>
              <w:t>e/kg dwt)</w:t>
            </w:r>
          </w:p>
        </w:tc>
        <w:tc>
          <w:tcPr>
            <w:tcW w:w="1701" w:type="dxa"/>
          </w:tcPr>
          <w:p w14:paraId="25096567" w14:textId="77777777" w:rsidR="00F26C97" w:rsidRPr="005A6A39" w:rsidRDefault="00F26C97" w:rsidP="0071660F">
            <w:pPr>
              <w:jc w:val="both"/>
              <w:rPr>
                <w:b/>
                <w:bCs/>
                <w:sz w:val="18"/>
                <w:szCs w:val="18"/>
                <w:vertAlign w:val="superscript"/>
              </w:rPr>
            </w:pPr>
            <w:r w:rsidRPr="00A17572">
              <w:rPr>
                <w:sz w:val="18"/>
                <w:szCs w:val="18"/>
              </w:rPr>
              <w:t>30.5</w:t>
            </w:r>
            <w:r>
              <w:rPr>
                <w:sz w:val="18"/>
                <w:szCs w:val="18"/>
                <w:vertAlign w:val="superscript"/>
              </w:rPr>
              <w:t>a</w:t>
            </w:r>
            <w:r>
              <w:rPr>
                <w:sz w:val="18"/>
                <w:szCs w:val="18"/>
              </w:rPr>
              <w:t xml:space="preserve"> (10.0)</w:t>
            </w:r>
          </w:p>
        </w:tc>
        <w:tc>
          <w:tcPr>
            <w:tcW w:w="1843" w:type="dxa"/>
            <w:gridSpan w:val="2"/>
          </w:tcPr>
          <w:p w14:paraId="7483EA72" w14:textId="77777777" w:rsidR="00F26C97" w:rsidRPr="00BB0EDB" w:rsidRDefault="00F26C97" w:rsidP="0071660F">
            <w:pPr>
              <w:jc w:val="both"/>
              <w:rPr>
                <w:b/>
                <w:bCs/>
                <w:sz w:val="18"/>
                <w:szCs w:val="18"/>
                <w:vertAlign w:val="superscript"/>
              </w:rPr>
            </w:pPr>
            <w:r w:rsidRPr="00A17572">
              <w:rPr>
                <w:sz w:val="18"/>
                <w:szCs w:val="18"/>
              </w:rPr>
              <w:t>32.9</w:t>
            </w:r>
            <w:r>
              <w:rPr>
                <w:sz w:val="18"/>
                <w:szCs w:val="18"/>
                <w:vertAlign w:val="superscript"/>
              </w:rPr>
              <w:t>a</w:t>
            </w:r>
            <w:r>
              <w:rPr>
                <w:sz w:val="18"/>
                <w:szCs w:val="18"/>
              </w:rPr>
              <w:t xml:space="preserve"> (13.9)</w:t>
            </w:r>
          </w:p>
        </w:tc>
        <w:tc>
          <w:tcPr>
            <w:tcW w:w="1843" w:type="dxa"/>
            <w:gridSpan w:val="3"/>
          </w:tcPr>
          <w:p w14:paraId="03C602F1" w14:textId="77777777" w:rsidR="00F26C97" w:rsidRPr="00BB0EDB" w:rsidRDefault="00F26C97" w:rsidP="0071660F">
            <w:pPr>
              <w:jc w:val="both"/>
              <w:rPr>
                <w:b/>
                <w:bCs/>
                <w:sz w:val="18"/>
                <w:szCs w:val="18"/>
                <w:vertAlign w:val="superscript"/>
              </w:rPr>
            </w:pPr>
            <w:r w:rsidRPr="00A17572">
              <w:rPr>
                <w:sz w:val="18"/>
                <w:szCs w:val="18"/>
              </w:rPr>
              <w:t>24.0</w:t>
            </w:r>
            <w:r>
              <w:rPr>
                <w:sz w:val="18"/>
                <w:szCs w:val="18"/>
                <w:vertAlign w:val="superscript"/>
              </w:rPr>
              <w:t>b</w:t>
            </w:r>
            <w:r>
              <w:rPr>
                <w:sz w:val="18"/>
                <w:szCs w:val="18"/>
              </w:rPr>
              <w:t xml:space="preserve"> (13.9)</w:t>
            </w:r>
          </w:p>
        </w:tc>
        <w:tc>
          <w:tcPr>
            <w:tcW w:w="1842" w:type="dxa"/>
            <w:gridSpan w:val="3"/>
          </w:tcPr>
          <w:p w14:paraId="74430953" w14:textId="2086937C" w:rsidR="00F26C97" w:rsidRPr="00A17572" w:rsidRDefault="00F26C97" w:rsidP="0071660F">
            <w:pPr>
              <w:jc w:val="both"/>
              <w:rPr>
                <w:sz w:val="18"/>
                <w:szCs w:val="18"/>
              </w:rPr>
            </w:pPr>
            <w:r w:rsidRPr="00A17572">
              <w:rPr>
                <w:sz w:val="18"/>
                <w:szCs w:val="18"/>
              </w:rPr>
              <w:t>22.6</w:t>
            </w:r>
            <w:r>
              <w:rPr>
                <w:sz w:val="18"/>
                <w:szCs w:val="18"/>
                <w:vertAlign w:val="superscript"/>
              </w:rPr>
              <w:t>b</w:t>
            </w:r>
            <w:r>
              <w:rPr>
                <w:sz w:val="18"/>
                <w:szCs w:val="18"/>
              </w:rPr>
              <w:t xml:space="preserve"> (8.03)</w:t>
            </w:r>
          </w:p>
        </w:tc>
      </w:tr>
      <w:tr w:rsidR="00F26C97" w:rsidRPr="00CB56D5" w14:paraId="1C41A35F" w14:textId="77777777" w:rsidTr="001225B3">
        <w:tc>
          <w:tcPr>
            <w:tcW w:w="1843" w:type="dxa"/>
            <w:shd w:val="pct30" w:color="auto" w:fill="auto"/>
          </w:tcPr>
          <w:p w14:paraId="7F15CA01" w14:textId="77777777" w:rsidR="00F26C97" w:rsidRDefault="00F26C97" w:rsidP="008F3D22">
            <w:pPr>
              <w:jc w:val="both"/>
              <w:rPr>
                <w:b/>
                <w:bCs/>
                <w:sz w:val="18"/>
                <w:szCs w:val="18"/>
              </w:rPr>
            </w:pPr>
          </w:p>
        </w:tc>
        <w:tc>
          <w:tcPr>
            <w:tcW w:w="1701" w:type="dxa"/>
            <w:shd w:val="pct30" w:color="auto" w:fill="auto"/>
          </w:tcPr>
          <w:p w14:paraId="01F384E6" w14:textId="77777777" w:rsidR="00F26C97" w:rsidRDefault="00F26C97" w:rsidP="008F3D22">
            <w:pPr>
              <w:jc w:val="both"/>
              <w:rPr>
                <w:b/>
                <w:bCs/>
                <w:sz w:val="18"/>
                <w:szCs w:val="18"/>
              </w:rPr>
            </w:pPr>
          </w:p>
        </w:tc>
        <w:tc>
          <w:tcPr>
            <w:tcW w:w="1418" w:type="dxa"/>
            <w:shd w:val="pct30" w:color="auto" w:fill="auto"/>
          </w:tcPr>
          <w:p w14:paraId="763E1AAE" w14:textId="77777777" w:rsidR="00F26C97" w:rsidRDefault="00F26C97" w:rsidP="008F3D22">
            <w:pPr>
              <w:jc w:val="both"/>
              <w:rPr>
                <w:b/>
                <w:bCs/>
                <w:sz w:val="18"/>
                <w:szCs w:val="18"/>
              </w:rPr>
            </w:pPr>
          </w:p>
        </w:tc>
        <w:tc>
          <w:tcPr>
            <w:tcW w:w="1275" w:type="dxa"/>
            <w:gridSpan w:val="2"/>
            <w:shd w:val="pct30" w:color="auto" w:fill="auto"/>
          </w:tcPr>
          <w:p w14:paraId="47928F15" w14:textId="77777777" w:rsidR="00F26C97" w:rsidRDefault="00F26C97" w:rsidP="008F3D22">
            <w:pPr>
              <w:jc w:val="both"/>
              <w:rPr>
                <w:b/>
                <w:bCs/>
                <w:sz w:val="18"/>
                <w:szCs w:val="18"/>
              </w:rPr>
            </w:pPr>
          </w:p>
        </w:tc>
        <w:tc>
          <w:tcPr>
            <w:tcW w:w="1103" w:type="dxa"/>
            <w:gridSpan w:val="3"/>
            <w:shd w:val="pct30" w:color="auto" w:fill="auto"/>
          </w:tcPr>
          <w:p w14:paraId="5C87EB6C" w14:textId="77777777" w:rsidR="00F26C97" w:rsidRDefault="00F26C97" w:rsidP="008F3D22">
            <w:pPr>
              <w:jc w:val="both"/>
              <w:rPr>
                <w:b/>
                <w:bCs/>
                <w:sz w:val="18"/>
                <w:szCs w:val="18"/>
              </w:rPr>
            </w:pPr>
          </w:p>
        </w:tc>
        <w:tc>
          <w:tcPr>
            <w:tcW w:w="1732" w:type="dxa"/>
            <w:gridSpan w:val="2"/>
            <w:shd w:val="pct30" w:color="auto" w:fill="auto"/>
          </w:tcPr>
          <w:p w14:paraId="655F836C" w14:textId="77777777" w:rsidR="00F26C97" w:rsidRDefault="00F26C97" w:rsidP="008F3D22">
            <w:pPr>
              <w:jc w:val="both"/>
              <w:rPr>
                <w:b/>
                <w:bCs/>
                <w:sz w:val="18"/>
                <w:szCs w:val="18"/>
              </w:rPr>
            </w:pPr>
          </w:p>
        </w:tc>
      </w:tr>
      <w:tr w:rsidR="00F26C97" w:rsidRPr="00CB56D5" w14:paraId="1CD30008" w14:textId="77777777" w:rsidTr="001225B3">
        <w:tc>
          <w:tcPr>
            <w:tcW w:w="1843" w:type="dxa"/>
          </w:tcPr>
          <w:p w14:paraId="3CF1E8A4" w14:textId="0027D84A" w:rsidR="00F26C97" w:rsidRPr="00CB56D5" w:rsidRDefault="00F26C97" w:rsidP="008F3D22">
            <w:pPr>
              <w:jc w:val="both"/>
              <w:rPr>
                <w:b/>
                <w:bCs/>
                <w:sz w:val="18"/>
                <w:szCs w:val="18"/>
              </w:rPr>
            </w:pPr>
            <w:r>
              <w:rPr>
                <w:b/>
                <w:bCs/>
                <w:sz w:val="18"/>
                <w:szCs w:val="18"/>
              </w:rPr>
              <w:t>Sheep e</w:t>
            </w:r>
            <w:r w:rsidRPr="00CB56D5">
              <w:rPr>
                <w:b/>
                <w:bCs/>
                <w:sz w:val="18"/>
                <w:szCs w:val="18"/>
              </w:rPr>
              <w:t>nterprise</w:t>
            </w:r>
          </w:p>
        </w:tc>
        <w:tc>
          <w:tcPr>
            <w:tcW w:w="1701" w:type="dxa"/>
          </w:tcPr>
          <w:p w14:paraId="2776B3D8" w14:textId="77777777" w:rsidR="00F26C97" w:rsidRPr="00CB56D5" w:rsidRDefault="00F26C97" w:rsidP="008F3D22">
            <w:pPr>
              <w:jc w:val="both"/>
              <w:rPr>
                <w:b/>
                <w:bCs/>
                <w:sz w:val="18"/>
                <w:szCs w:val="18"/>
              </w:rPr>
            </w:pPr>
            <w:r>
              <w:rPr>
                <w:b/>
                <w:bCs/>
                <w:sz w:val="18"/>
                <w:szCs w:val="18"/>
              </w:rPr>
              <w:t>Crossbred flock</w:t>
            </w:r>
          </w:p>
        </w:tc>
        <w:tc>
          <w:tcPr>
            <w:tcW w:w="1418" w:type="dxa"/>
          </w:tcPr>
          <w:p w14:paraId="0FDE3E43" w14:textId="77777777" w:rsidR="00F26C97" w:rsidRPr="00CB56D5" w:rsidRDefault="00F26C97" w:rsidP="008F3D22">
            <w:pPr>
              <w:jc w:val="both"/>
              <w:rPr>
                <w:b/>
                <w:bCs/>
                <w:sz w:val="18"/>
                <w:szCs w:val="18"/>
              </w:rPr>
            </w:pPr>
            <w:r>
              <w:rPr>
                <w:b/>
                <w:bCs/>
                <w:sz w:val="18"/>
                <w:szCs w:val="18"/>
              </w:rPr>
              <w:t>Hill flock</w:t>
            </w:r>
          </w:p>
        </w:tc>
        <w:tc>
          <w:tcPr>
            <w:tcW w:w="1417" w:type="dxa"/>
            <w:gridSpan w:val="3"/>
          </w:tcPr>
          <w:p w14:paraId="5C074D2E" w14:textId="77777777" w:rsidR="00F26C97" w:rsidRPr="00CB56D5" w:rsidRDefault="00F26C97" w:rsidP="008F3D22">
            <w:pPr>
              <w:jc w:val="both"/>
              <w:rPr>
                <w:b/>
                <w:bCs/>
                <w:sz w:val="18"/>
                <w:szCs w:val="18"/>
              </w:rPr>
            </w:pPr>
            <w:r>
              <w:rPr>
                <w:b/>
                <w:bCs/>
                <w:sz w:val="18"/>
                <w:szCs w:val="18"/>
              </w:rPr>
              <w:t xml:space="preserve">Early-lambing </w:t>
            </w:r>
          </w:p>
        </w:tc>
        <w:tc>
          <w:tcPr>
            <w:tcW w:w="1418" w:type="dxa"/>
            <w:gridSpan w:val="3"/>
          </w:tcPr>
          <w:p w14:paraId="1F28CA6F" w14:textId="77777777" w:rsidR="00F26C97" w:rsidRPr="00CB56D5" w:rsidRDefault="00F26C97" w:rsidP="008F3D22">
            <w:pPr>
              <w:jc w:val="both"/>
              <w:rPr>
                <w:b/>
                <w:bCs/>
                <w:sz w:val="18"/>
                <w:szCs w:val="18"/>
              </w:rPr>
            </w:pPr>
            <w:r>
              <w:rPr>
                <w:b/>
                <w:bCs/>
                <w:sz w:val="18"/>
                <w:szCs w:val="18"/>
              </w:rPr>
              <w:t xml:space="preserve">Late-lambing </w:t>
            </w:r>
          </w:p>
        </w:tc>
        <w:tc>
          <w:tcPr>
            <w:tcW w:w="1275" w:type="dxa"/>
          </w:tcPr>
          <w:p w14:paraId="7AEACD4D" w14:textId="77777777" w:rsidR="00F26C97" w:rsidRDefault="00F26C97" w:rsidP="008F3D22">
            <w:pPr>
              <w:jc w:val="both"/>
              <w:rPr>
                <w:b/>
                <w:bCs/>
                <w:sz w:val="18"/>
                <w:szCs w:val="18"/>
              </w:rPr>
            </w:pPr>
            <w:r>
              <w:rPr>
                <w:b/>
                <w:bCs/>
                <w:sz w:val="18"/>
                <w:szCs w:val="18"/>
              </w:rPr>
              <w:t>Store lambs</w:t>
            </w:r>
          </w:p>
        </w:tc>
      </w:tr>
      <w:tr w:rsidR="00F26C97" w:rsidRPr="00CB56D5" w14:paraId="4B3CB47B" w14:textId="77777777" w:rsidTr="001225B3">
        <w:tc>
          <w:tcPr>
            <w:tcW w:w="1843" w:type="dxa"/>
          </w:tcPr>
          <w:p w14:paraId="10D4A773" w14:textId="77777777" w:rsidR="00F26C97" w:rsidRDefault="00F26C97" w:rsidP="008F3D22">
            <w:pPr>
              <w:jc w:val="both"/>
              <w:rPr>
                <w:b/>
                <w:bCs/>
                <w:sz w:val="18"/>
                <w:szCs w:val="18"/>
              </w:rPr>
            </w:pPr>
            <w:proofErr w:type="spellStart"/>
            <w:r w:rsidRPr="00CB56D5">
              <w:rPr>
                <w:b/>
                <w:bCs/>
                <w:sz w:val="18"/>
                <w:szCs w:val="18"/>
              </w:rPr>
              <w:t>GHGe</w:t>
            </w:r>
            <w:proofErr w:type="spellEnd"/>
            <w:r w:rsidRPr="00CB56D5">
              <w:rPr>
                <w:b/>
                <w:bCs/>
                <w:sz w:val="18"/>
                <w:szCs w:val="18"/>
              </w:rPr>
              <w:t xml:space="preserve"> </w:t>
            </w:r>
          </w:p>
          <w:p w14:paraId="65B4EC86" w14:textId="0D4AFCE5" w:rsidR="00F26C97" w:rsidRPr="00CB56D5" w:rsidRDefault="00F26C97" w:rsidP="008F3D22">
            <w:pPr>
              <w:jc w:val="both"/>
              <w:rPr>
                <w:b/>
                <w:bCs/>
                <w:sz w:val="18"/>
                <w:szCs w:val="18"/>
              </w:rPr>
            </w:pPr>
            <w:r w:rsidRPr="00CB56D5">
              <w:rPr>
                <w:b/>
                <w:bCs/>
                <w:sz w:val="18"/>
                <w:szCs w:val="18"/>
              </w:rPr>
              <w:t>(kg CO</w:t>
            </w:r>
            <w:r w:rsidRPr="00CB56D5">
              <w:rPr>
                <w:b/>
                <w:bCs/>
                <w:sz w:val="18"/>
                <w:szCs w:val="18"/>
                <w:vertAlign w:val="subscript"/>
              </w:rPr>
              <w:t>2</w:t>
            </w:r>
            <w:r w:rsidRPr="00CB56D5">
              <w:rPr>
                <w:b/>
                <w:bCs/>
                <w:sz w:val="18"/>
                <w:szCs w:val="18"/>
              </w:rPr>
              <w:t>e/kg dwt)</w:t>
            </w:r>
          </w:p>
        </w:tc>
        <w:tc>
          <w:tcPr>
            <w:tcW w:w="1701" w:type="dxa"/>
          </w:tcPr>
          <w:p w14:paraId="68E2C4AB" w14:textId="77777777" w:rsidR="00F26C97" w:rsidRPr="00CB56D5" w:rsidRDefault="00F26C97" w:rsidP="008F3D22">
            <w:pPr>
              <w:jc w:val="both"/>
              <w:rPr>
                <w:b/>
                <w:bCs/>
                <w:sz w:val="18"/>
                <w:szCs w:val="18"/>
              </w:rPr>
            </w:pPr>
            <w:r w:rsidRPr="00A17572">
              <w:rPr>
                <w:sz w:val="18"/>
                <w:szCs w:val="18"/>
              </w:rPr>
              <w:t>27.1</w:t>
            </w:r>
            <w:r>
              <w:rPr>
                <w:sz w:val="18"/>
                <w:szCs w:val="18"/>
                <w:vertAlign w:val="superscript"/>
              </w:rPr>
              <w:t>c</w:t>
            </w:r>
            <w:r>
              <w:rPr>
                <w:sz w:val="18"/>
                <w:szCs w:val="18"/>
              </w:rPr>
              <w:t xml:space="preserve"> (12.6)</w:t>
            </w:r>
          </w:p>
        </w:tc>
        <w:tc>
          <w:tcPr>
            <w:tcW w:w="1418" w:type="dxa"/>
          </w:tcPr>
          <w:p w14:paraId="5E9FB4DA" w14:textId="77777777" w:rsidR="00F26C97" w:rsidRPr="00CB56D5" w:rsidRDefault="00F26C97" w:rsidP="008F3D22">
            <w:pPr>
              <w:jc w:val="both"/>
              <w:rPr>
                <w:b/>
                <w:bCs/>
                <w:sz w:val="18"/>
                <w:szCs w:val="18"/>
              </w:rPr>
            </w:pPr>
            <w:proofErr w:type="gramStart"/>
            <w:r w:rsidRPr="00A17572">
              <w:rPr>
                <w:sz w:val="18"/>
                <w:szCs w:val="18"/>
              </w:rPr>
              <w:t>24.3</w:t>
            </w:r>
            <w:r>
              <w:rPr>
                <w:sz w:val="18"/>
                <w:szCs w:val="18"/>
                <w:vertAlign w:val="superscript"/>
              </w:rPr>
              <w:t>c,d</w:t>
            </w:r>
            <w:proofErr w:type="gramEnd"/>
            <w:r>
              <w:rPr>
                <w:sz w:val="18"/>
                <w:szCs w:val="18"/>
                <w:vertAlign w:val="superscript"/>
              </w:rPr>
              <w:t xml:space="preserve"> </w:t>
            </w:r>
            <w:r>
              <w:rPr>
                <w:sz w:val="18"/>
                <w:szCs w:val="18"/>
              </w:rPr>
              <w:t>(12.6)</w:t>
            </w:r>
          </w:p>
        </w:tc>
        <w:tc>
          <w:tcPr>
            <w:tcW w:w="1417" w:type="dxa"/>
            <w:gridSpan w:val="3"/>
          </w:tcPr>
          <w:p w14:paraId="2FE9FC24" w14:textId="77777777" w:rsidR="00F26C97" w:rsidRPr="00CB56D5" w:rsidRDefault="00F26C97" w:rsidP="008F3D22">
            <w:pPr>
              <w:jc w:val="both"/>
              <w:rPr>
                <w:b/>
                <w:bCs/>
                <w:sz w:val="18"/>
                <w:szCs w:val="18"/>
              </w:rPr>
            </w:pPr>
            <w:r w:rsidRPr="00A17572">
              <w:rPr>
                <w:sz w:val="18"/>
                <w:szCs w:val="18"/>
              </w:rPr>
              <w:t>20.4</w:t>
            </w:r>
            <w:r>
              <w:rPr>
                <w:sz w:val="18"/>
                <w:szCs w:val="18"/>
                <w:vertAlign w:val="superscript"/>
              </w:rPr>
              <w:t>d</w:t>
            </w:r>
            <w:r>
              <w:rPr>
                <w:sz w:val="18"/>
                <w:szCs w:val="18"/>
              </w:rPr>
              <w:t xml:space="preserve"> (7.08)</w:t>
            </w:r>
          </w:p>
        </w:tc>
        <w:tc>
          <w:tcPr>
            <w:tcW w:w="1418" w:type="dxa"/>
            <w:gridSpan w:val="3"/>
          </w:tcPr>
          <w:p w14:paraId="3E7ACEF7" w14:textId="77777777" w:rsidR="00F26C97" w:rsidRPr="00CB56D5" w:rsidRDefault="00F26C97" w:rsidP="008F3D22">
            <w:pPr>
              <w:jc w:val="both"/>
              <w:rPr>
                <w:b/>
                <w:bCs/>
                <w:sz w:val="18"/>
                <w:szCs w:val="18"/>
              </w:rPr>
            </w:pPr>
            <w:r w:rsidRPr="00A17572">
              <w:rPr>
                <w:sz w:val="18"/>
                <w:szCs w:val="18"/>
              </w:rPr>
              <w:t>24.1</w:t>
            </w:r>
            <w:r>
              <w:rPr>
                <w:sz w:val="18"/>
                <w:szCs w:val="18"/>
                <w:vertAlign w:val="superscript"/>
              </w:rPr>
              <w:t>c</w:t>
            </w:r>
            <w:r>
              <w:rPr>
                <w:sz w:val="18"/>
                <w:szCs w:val="18"/>
              </w:rPr>
              <w:t xml:space="preserve"> (10.1)</w:t>
            </w:r>
          </w:p>
        </w:tc>
        <w:tc>
          <w:tcPr>
            <w:tcW w:w="1275" w:type="dxa"/>
          </w:tcPr>
          <w:p w14:paraId="0862A410" w14:textId="77777777" w:rsidR="00F26C97" w:rsidRDefault="00F26C97" w:rsidP="008F3D22">
            <w:pPr>
              <w:jc w:val="both"/>
              <w:rPr>
                <w:b/>
                <w:bCs/>
                <w:sz w:val="18"/>
                <w:szCs w:val="18"/>
              </w:rPr>
            </w:pPr>
            <w:r w:rsidRPr="00A17572">
              <w:rPr>
                <w:sz w:val="18"/>
                <w:szCs w:val="18"/>
              </w:rPr>
              <w:t>19.6</w:t>
            </w:r>
            <w:r>
              <w:rPr>
                <w:sz w:val="18"/>
                <w:szCs w:val="18"/>
                <w:vertAlign w:val="superscript"/>
              </w:rPr>
              <w:t>d</w:t>
            </w:r>
            <w:r>
              <w:rPr>
                <w:sz w:val="18"/>
                <w:szCs w:val="18"/>
              </w:rPr>
              <w:t xml:space="preserve"> (10.6)</w:t>
            </w:r>
          </w:p>
        </w:tc>
      </w:tr>
    </w:tbl>
    <w:p w14:paraId="30FA876F" w14:textId="01C7325A" w:rsidR="001225B3" w:rsidRPr="001225B3" w:rsidRDefault="001225B3" w:rsidP="001225B3">
      <w:pPr>
        <w:spacing w:after="0"/>
        <w:jc w:val="both"/>
        <w:rPr>
          <w:sz w:val="18"/>
          <w:szCs w:val="18"/>
        </w:rPr>
      </w:pPr>
      <w:r w:rsidRPr="001225B3">
        <w:rPr>
          <w:sz w:val="18"/>
          <w:szCs w:val="18"/>
          <w:vertAlign w:val="superscript"/>
        </w:rPr>
        <w:t xml:space="preserve">1 </w:t>
      </w:r>
      <w:r w:rsidRPr="001225B3">
        <w:rPr>
          <w:sz w:val="18"/>
          <w:szCs w:val="18"/>
        </w:rPr>
        <w:t>Means followed by standard deviation in brackets</w:t>
      </w:r>
    </w:p>
    <w:p w14:paraId="6AB9139C" w14:textId="3194B543" w:rsidR="00A94E85" w:rsidRPr="00BB0EDB" w:rsidRDefault="00A94E85" w:rsidP="001225B3">
      <w:pPr>
        <w:spacing w:after="0"/>
        <w:jc w:val="both"/>
        <w:rPr>
          <w:sz w:val="18"/>
          <w:szCs w:val="18"/>
        </w:rPr>
      </w:pPr>
      <w:proofErr w:type="spellStart"/>
      <w:proofErr w:type="gramStart"/>
      <w:r w:rsidRPr="00FA013B">
        <w:rPr>
          <w:sz w:val="18"/>
          <w:szCs w:val="18"/>
          <w:vertAlign w:val="superscript"/>
        </w:rPr>
        <w:t>a,b</w:t>
      </w:r>
      <w:proofErr w:type="spellEnd"/>
      <w:proofErr w:type="gramEnd"/>
      <w:r>
        <w:rPr>
          <w:sz w:val="18"/>
          <w:szCs w:val="18"/>
        </w:rPr>
        <w:t xml:space="preserve"> </w:t>
      </w:r>
      <w:r w:rsidRPr="00BB0EDB">
        <w:rPr>
          <w:sz w:val="18"/>
          <w:szCs w:val="18"/>
        </w:rPr>
        <w:t>Means with different super-scripts are significantly different (P&lt;0.001)</w:t>
      </w:r>
    </w:p>
    <w:p w14:paraId="78DC8F77" w14:textId="3882E772" w:rsidR="00A94E85" w:rsidRPr="001225B3" w:rsidRDefault="00F26C97" w:rsidP="001225B3">
      <w:pPr>
        <w:spacing w:after="0"/>
        <w:jc w:val="both"/>
        <w:rPr>
          <w:sz w:val="18"/>
          <w:szCs w:val="18"/>
          <w:vertAlign w:val="superscript"/>
        </w:rPr>
      </w:pPr>
      <w:proofErr w:type="spellStart"/>
      <w:proofErr w:type="gramStart"/>
      <w:r>
        <w:rPr>
          <w:sz w:val="18"/>
          <w:szCs w:val="18"/>
          <w:vertAlign w:val="superscript"/>
        </w:rPr>
        <w:t>c</w:t>
      </w:r>
      <w:r w:rsidRPr="00FA013B">
        <w:rPr>
          <w:sz w:val="18"/>
          <w:szCs w:val="18"/>
          <w:vertAlign w:val="superscript"/>
        </w:rPr>
        <w:t>,</w:t>
      </w:r>
      <w:r>
        <w:rPr>
          <w:sz w:val="18"/>
          <w:szCs w:val="18"/>
          <w:vertAlign w:val="superscript"/>
        </w:rPr>
        <w:t>d</w:t>
      </w:r>
      <w:proofErr w:type="spellEnd"/>
      <w:proofErr w:type="gramEnd"/>
      <w:r>
        <w:rPr>
          <w:sz w:val="18"/>
          <w:szCs w:val="18"/>
        </w:rPr>
        <w:t xml:space="preserve"> </w:t>
      </w:r>
      <w:r w:rsidRPr="00BB0EDB">
        <w:rPr>
          <w:sz w:val="18"/>
          <w:szCs w:val="18"/>
        </w:rPr>
        <w:t>Means with different super-scripts are significantly different (P&lt;0.01)</w:t>
      </w:r>
    </w:p>
    <w:p w14:paraId="35CAF992" w14:textId="37C95D57" w:rsidR="007B30E3" w:rsidRDefault="007B30E3">
      <w:pPr>
        <w:rPr>
          <w:b/>
          <w:bCs/>
          <w:lang w:val="en-US"/>
        </w:rPr>
      </w:pPr>
    </w:p>
    <w:p w14:paraId="623889C0" w14:textId="138E98D1" w:rsidR="00A94E85" w:rsidRPr="0094245A" w:rsidRDefault="007B30E3" w:rsidP="0094245A">
      <w:pPr>
        <w:rPr>
          <w:b/>
          <w:bCs/>
          <w:lang w:val="en-US"/>
        </w:rPr>
      </w:pPr>
      <w:proofErr w:type="gramStart"/>
      <w:r>
        <w:rPr>
          <w:b/>
          <w:bCs/>
          <w:lang w:val="en-US"/>
        </w:rPr>
        <w:t>Conclusions</w:t>
      </w:r>
      <w:r w:rsidR="0094245A">
        <w:rPr>
          <w:b/>
          <w:bCs/>
          <w:lang w:val="en-US"/>
        </w:rPr>
        <w:t xml:space="preserve">  </w:t>
      </w:r>
      <w:r w:rsidR="00A94E85">
        <w:t>The</w:t>
      </w:r>
      <w:proofErr w:type="gramEnd"/>
      <w:r w:rsidR="00A94E85">
        <w:t xml:space="preserve"> increased </w:t>
      </w:r>
      <w:proofErr w:type="spellStart"/>
      <w:r w:rsidR="00A94E85">
        <w:t>GHGe</w:t>
      </w:r>
      <w:proofErr w:type="spellEnd"/>
      <w:r w:rsidR="00A94E85">
        <w:t xml:space="preserve"> intensities from suckler-finisher enterprises compared to beef- or dairy-bred finishers; and for store lamb enterprises compared to most types of ewe flock were not unexpected given that both suckler-finishers and ewe flocks maintain a breeding population in addition to finishing cattle. However, further research is required to elucidate which beef an</w:t>
      </w:r>
      <w:r w:rsidR="00D42FC7">
        <w:t>d</w:t>
      </w:r>
      <w:r w:rsidR="00A94E85">
        <w:t xml:space="preserve"> sheep KPI have the greatest influence upon and therefore mitigation potential for </w:t>
      </w:r>
      <w:proofErr w:type="spellStart"/>
      <w:r w:rsidR="00A94E85">
        <w:t>GHGe</w:t>
      </w:r>
      <w:proofErr w:type="spellEnd"/>
      <w:r w:rsidR="00A94E85">
        <w:t xml:space="preserve"> intensities.</w:t>
      </w:r>
    </w:p>
    <w:sectPr w:rsidR="00A94E85" w:rsidRPr="0094245A"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357F3"/>
    <w:rsid w:val="00071976"/>
    <w:rsid w:val="00072F97"/>
    <w:rsid w:val="000F6F21"/>
    <w:rsid w:val="001225B3"/>
    <w:rsid w:val="00383A23"/>
    <w:rsid w:val="00383DCD"/>
    <w:rsid w:val="00397193"/>
    <w:rsid w:val="003C2AB2"/>
    <w:rsid w:val="00474879"/>
    <w:rsid w:val="00625B14"/>
    <w:rsid w:val="00792D93"/>
    <w:rsid w:val="007B10B7"/>
    <w:rsid w:val="007B30E3"/>
    <w:rsid w:val="00881606"/>
    <w:rsid w:val="00933E8C"/>
    <w:rsid w:val="0094245A"/>
    <w:rsid w:val="00A70AFA"/>
    <w:rsid w:val="00A94E85"/>
    <w:rsid w:val="00B52E4E"/>
    <w:rsid w:val="00C53AE2"/>
    <w:rsid w:val="00C95030"/>
    <w:rsid w:val="00CD302C"/>
    <w:rsid w:val="00CE071B"/>
    <w:rsid w:val="00D42FC7"/>
    <w:rsid w:val="00DD076D"/>
    <w:rsid w:val="00DD21B5"/>
    <w:rsid w:val="00E27EE6"/>
    <w:rsid w:val="00F26C97"/>
    <w:rsid w:val="00F278AF"/>
    <w:rsid w:val="00F6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table" w:styleId="TableGrid">
    <w:name w:val="Table Grid"/>
    <w:basedOn w:val="TableNormal"/>
    <w:uiPriority w:val="39"/>
    <w:rsid w:val="00A94E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Jude Capper</cp:lastModifiedBy>
  <cp:revision>13</cp:revision>
  <dcterms:created xsi:type="dcterms:W3CDTF">2025-01-08T11:26:00Z</dcterms:created>
  <dcterms:modified xsi:type="dcterms:W3CDTF">2025-01-08T14:09:00Z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