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62F1C" w14:textId="7C9EDB4B" w:rsidR="00523F77" w:rsidRPr="008D3F91" w:rsidRDefault="00DE7022" w:rsidP="00DE7022">
      <w:pPr>
        <w:jc w:val="center"/>
        <w:rPr>
          <w:b/>
          <w:sz w:val="24"/>
          <w:szCs w:val="24"/>
        </w:rPr>
      </w:pPr>
      <w:r w:rsidRPr="008D3F91">
        <w:rPr>
          <w:b/>
          <w:sz w:val="24"/>
          <w:szCs w:val="24"/>
        </w:rPr>
        <w:t xml:space="preserve">Risk of weaner pigs developing ear </w:t>
      </w:r>
      <w:r w:rsidR="001C1563" w:rsidRPr="008D3F91">
        <w:rPr>
          <w:b/>
          <w:sz w:val="24"/>
          <w:szCs w:val="24"/>
        </w:rPr>
        <w:t>necrosis</w:t>
      </w:r>
      <w:r w:rsidRPr="008D3F91">
        <w:rPr>
          <w:b/>
          <w:sz w:val="24"/>
          <w:szCs w:val="24"/>
        </w:rPr>
        <w:t xml:space="preserve"> – preliminary investigation of associations with pre-weaning ear biting behaviour and other early life characteristics</w:t>
      </w:r>
    </w:p>
    <w:p w14:paraId="27076DC9" w14:textId="77777777" w:rsidR="007835C0" w:rsidRDefault="007835C0" w:rsidP="007835C0">
      <w:pPr>
        <w:pStyle w:val="Default"/>
        <w:jc w:val="center"/>
        <w:rPr>
          <w:rFonts w:asciiTheme="minorHAnsi" w:hAnsiTheme="minorHAnsi" w:cstheme="minorHAnsi"/>
          <w:vertAlign w:val="superscript"/>
        </w:rPr>
      </w:pPr>
      <w:r>
        <w:rPr>
          <w:rFonts w:asciiTheme="minorHAnsi" w:hAnsiTheme="minorHAnsi" w:cstheme="minorHAnsi"/>
        </w:rPr>
        <w:t>Lucy Markland</w:t>
      </w:r>
      <w:r>
        <w:rPr>
          <w:rFonts w:asciiTheme="minorHAnsi" w:hAnsiTheme="minorHAnsi" w:cstheme="minorHAnsi"/>
          <w:vertAlign w:val="superscript"/>
        </w:rPr>
        <w:t>1,2</w:t>
      </w:r>
      <w:r>
        <w:rPr>
          <w:rFonts w:asciiTheme="minorHAnsi" w:hAnsiTheme="minorHAnsi" w:cstheme="minorHAnsi"/>
        </w:rPr>
        <w:t>, Keelin O’Driscoll</w:t>
      </w:r>
      <w:r>
        <w:rPr>
          <w:rFonts w:asciiTheme="minorHAnsi" w:hAnsiTheme="minorHAnsi" w:cstheme="minorHAnsi"/>
          <w:vertAlign w:val="superscript"/>
        </w:rPr>
        <w:t>1</w:t>
      </w:r>
      <w:r>
        <w:rPr>
          <w:rFonts w:asciiTheme="minorHAnsi" w:hAnsiTheme="minorHAnsi" w:cstheme="minorHAnsi"/>
        </w:rPr>
        <w:t>, Nola Leonard</w:t>
      </w:r>
      <w:r>
        <w:rPr>
          <w:rFonts w:asciiTheme="minorHAnsi" w:hAnsiTheme="minorHAnsi" w:cstheme="minorHAnsi"/>
          <w:vertAlign w:val="superscript"/>
        </w:rPr>
        <w:t>2</w:t>
      </w:r>
      <w:r>
        <w:rPr>
          <w:rFonts w:asciiTheme="minorHAnsi" w:hAnsiTheme="minorHAnsi" w:cstheme="minorHAnsi"/>
        </w:rPr>
        <w:t>, Laura Boyle</w:t>
      </w:r>
      <w:r>
        <w:rPr>
          <w:rFonts w:asciiTheme="minorHAnsi" w:hAnsiTheme="minorHAnsi" w:cstheme="minorHAnsi"/>
          <w:vertAlign w:val="superscript"/>
        </w:rPr>
        <w:t>1</w:t>
      </w:r>
    </w:p>
    <w:p w14:paraId="630B815F" w14:textId="77777777" w:rsidR="00F10681" w:rsidRDefault="00F10681" w:rsidP="007835C0">
      <w:pPr>
        <w:pStyle w:val="Default"/>
        <w:jc w:val="center"/>
        <w:rPr>
          <w:rFonts w:asciiTheme="minorHAnsi" w:hAnsiTheme="minorHAnsi" w:cstheme="minorHAnsi"/>
        </w:rPr>
      </w:pPr>
    </w:p>
    <w:p w14:paraId="4B6F130C" w14:textId="77777777" w:rsidR="00A67EEA" w:rsidRDefault="007835C0" w:rsidP="007835C0">
      <w:pPr>
        <w:pStyle w:val="Default"/>
        <w:jc w:val="cente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Pig Development Department, Animal &amp; Grassland Research &amp; Innovation Centre, Teagasc Moorepark, Fermoy, Co Cork, Ireland; </w:t>
      </w:r>
      <w:r>
        <w:rPr>
          <w:rFonts w:asciiTheme="minorHAnsi" w:hAnsiTheme="minorHAnsi" w:cstheme="minorHAnsi"/>
          <w:vertAlign w:val="superscript"/>
        </w:rPr>
        <w:t>2</w:t>
      </w:r>
      <w:r>
        <w:rPr>
          <w:rFonts w:asciiTheme="minorHAnsi" w:hAnsiTheme="minorHAnsi" w:cstheme="minorHAnsi"/>
        </w:rPr>
        <w:t>School of Veterinary Medicine, University College of Dublin, Belfield, Dublin, Ireland</w:t>
      </w:r>
    </w:p>
    <w:p w14:paraId="7F3A7EA9" w14:textId="18D24BFE" w:rsidR="007835C0" w:rsidRDefault="007835C0" w:rsidP="007835C0">
      <w:pPr>
        <w:pStyle w:val="Default"/>
        <w:rPr>
          <w:rFonts w:asciiTheme="minorHAnsi" w:hAnsiTheme="minorHAnsi" w:cstheme="minorHAnsi"/>
        </w:rPr>
      </w:pPr>
    </w:p>
    <w:p w14:paraId="56BA157B" w14:textId="1A1A03FA" w:rsidR="00A40987" w:rsidRPr="00A40987" w:rsidRDefault="00A40987" w:rsidP="00094905">
      <w:pPr>
        <w:jc w:val="both"/>
        <w:rPr>
          <w:sz w:val="24"/>
          <w:szCs w:val="24"/>
        </w:rPr>
      </w:pPr>
      <w:r>
        <w:rPr>
          <w:b/>
          <w:i/>
          <w:sz w:val="24"/>
          <w:szCs w:val="24"/>
        </w:rPr>
        <w:t>Applicatio</w:t>
      </w:r>
      <w:r w:rsidRPr="004B4536">
        <w:rPr>
          <w:b/>
          <w:i/>
          <w:sz w:val="24"/>
          <w:szCs w:val="24"/>
        </w:rPr>
        <w:t>n</w:t>
      </w:r>
      <w:r w:rsidRPr="004B4536">
        <w:rPr>
          <w:sz w:val="24"/>
          <w:szCs w:val="24"/>
        </w:rPr>
        <w:t>:</w:t>
      </w:r>
      <w:r w:rsidR="00237A6A">
        <w:rPr>
          <w:sz w:val="24"/>
          <w:szCs w:val="24"/>
        </w:rPr>
        <w:t xml:space="preserve"> </w:t>
      </w:r>
      <w:r w:rsidR="0057738A">
        <w:rPr>
          <w:sz w:val="24"/>
          <w:szCs w:val="24"/>
        </w:rPr>
        <w:t xml:space="preserve">The etiology and risk factors for ear necrosis are largely unknown, which </w:t>
      </w:r>
      <w:r w:rsidR="007D1E24">
        <w:rPr>
          <w:sz w:val="24"/>
          <w:szCs w:val="24"/>
        </w:rPr>
        <w:t>hampers efforts to prevent and treat the disease</w:t>
      </w:r>
      <w:r w:rsidR="0057738A">
        <w:rPr>
          <w:sz w:val="24"/>
          <w:szCs w:val="24"/>
        </w:rPr>
        <w:t xml:space="preserve">. </w:t>
      </w:r>
      <w:r w:rsidR="007D1E24">
        <w:rPr>
          <w:sz w:val="24"/>
          <w:szCs w:val="24"/>
        </w:rPr>
        <w:t>This study attempts to elucidate</w:t>
      </w:r>
      <w:r w:rsidR="0057738A">
        <w:rPr>
          <w:sz w:val="24"/>
          <w:szCs w:val="24"/>
        </w:rPr>
        <w:t xml:space="preserve"> </w:t>
      </w:r>
      <w:r w:rsidR="007D1E24">
        <w:rPr>
          <w:sz w:val="24"/>
          <w:szCs w:val="24"/>
        </w:rPr>
        <w:t>some of the risk factors, which</w:t>
      </w:r>
      <w:r w:rsidR="0057738A">
        <w:rPr>
          <w:sz w:val="24"/>
          <w:szCs w:val="24"/>
        </w:rPr>
        <w:t xml:space="preserve"> can help improve pig health and welfare.</w:t>
      </w:r>
    </w:p>
    <w:p w14:paraId="137F13A4" w14:textId="1DF6D089" w:rsidR="009D4591" w:rsidRPr="001660F3" w:rsidRDefault="00A67EEA" w:rsidP="00094905">
      <w:pPr>
        <w:jc w:val="both"/>
        <w:rPr>
          <w:sz w:val="24"/>
          <w:szCs w:val="24"/>
        </w:rPr>
      </w:pPr>
      <w:r w:rsidRPr="004B4536">
        <w:rPr>
          <w:b/>
          <w:i/>
          <w:sz w:val="24"/>
          <w:szCs w:val="24"/>
        </w:rPr>
        <w:t>Introduction</w:t>
      </w:r>
      <w:r w:rsidRPr="004B4536">
        <w:rPr>
          <w:sz w:val="24"/>
          <w:szCs w:val="24"/>
        </w:rPr>
        <w:t>:</w:t>
      </w:r>
      <w:r w:rsidR="00A40987">
        <w:rPr>
          <w:sz w:val="24"/>
          <w:szCs w:val="24"/>
        </w:rPr>
        <w:t xml:space="preserve"> </w:t>
      </w:r>
      <w:r w:rsidR="004B4536" w:rsidRPr="004B4536">
        <w:rPr>
          <w:sz w:val="24"/>
          <w:szCs w:val="24"/>
        </w:rPr>
        <w:t>Ear necrosis is</w:t>
      </w:r>
      <w:r w:rsidR="004B4536">
        <w:rPr>
          <w:sz w:val="24"/>
          <w:szCs w:val="24"/>
        </w:rPr>
        <w:t xml:space="preserve"> a </w:t>
      </w:r>
      <w:r w:rsidR="00237A6A">
        <w:rPr>
          <w:sz w:val="24"/>
          <w:szCs w:val="24"/>
        </w:rPr>
        <w:t xml:space="preserve">major </w:t>
      </w:r>
      <w:r w:rsidR="004B4536">
        <w:rPr>
          <w:sz w:val="24"/>
          <w:szCs w:val="24"/>
        </w:rPr>
        <w:t>welfare concern</w:t>
      </w:r>
      <w:r w:rsidR="00237A6A">
        <w:rPr>
          <w:sz w:val="24"/>
          <w:szCs w:val="24"/>
        </w:rPr>
        <w:t xml:space="preserve"> in recent years but</w:t>
      </w:r>
      <w:r w:rsidR="001660F3">
        <w:rPr>
          <w:sz w:val="24"/>
          <w:szCs w:val="24"/>
        </w:rPr>
        <w:t xml:space="preserve"> </w:t>
      </w:r>
      <w:r w:rsidR="00237A6A">
        <w:rPr>
          <w:sz w:val="24"/>
          <w:szCs w:val="24"/>
        </w:rPr>
        <w:t xml:space="preserve">we have poor understanding of </w:t>
      </w:r>
      <w:r w:rsidR="004B4536">
        <w:rPr>
          <w:sz w:val="24"/>
          <w:szCs w:val="24"/>
        </w:rPr>
        <w:t xml:space="preserve">the risk factors and causes. </w:t>
      </w:r>
      <w:r w:rsidR="00237A6A">
        <w:rPr>
          <w:sz w:val="24"/>
          <w:szCs w:val="24"/>
        </w:rPr>
        <w:t xml:space="preserve">These are </w:t>
      </w:r>
      <w:r w:rsidR="004B4536">
        <w:rPr>
          <w:sz w:val="24"/>
          <w:szCs w:val="24"/>
        </w:rPr>
        <w:t>likely</w:t>
      </w:r>
      <w:r w:rsidR="001660F3">
        <w:rPr>
          <w:sz w:val="24"/>
          <w:szCs w:val="24"/>
        </w:rPr>
        <w:t xml:space="preserve"> </w:t>
      </w:r>
      <w:r w:rsidR="004B4536">
        <w:rPr>
          <w:sz w:val="24"/>
          <w:szCs w:val="24"/>
        </w:rPr>
        <w:t xml:space="preserve">multifactorial </w:t>
      </w:r>
      <w:r w:rsidR="00237A6A">
        <w:rPr>
          <w:sz w:val="24"/>
          <w:szCs w:val="24"/>
        </w:rPr>
        <w:t>but</w:t>
      </w:r>
      <w:r w:rsidR="004B4536">
        <w:rPr>
          <w:sz w:val="24"/>
          <w:szCs w:val="24"/>
        </w:rPr>
        <w:t xml:space="preserve"> one theory </w:t>
      </w:r>
      <w:r w:rsidR="002B5A39">
        <w:rPr>
          <w:sz w:val="24"/>
          <w:szCs w:val="24"/>
        </w:rPr>
        <w:t>proposes</w:t>
      </w:r>
      <w:r w:rsidR="004B4536">
        <w:rPr>
          <w:sz w:val="24"/>
          <w:szCs w:val="24"/>
        </w:rPr>
        <w:t xml:space="preserve"> </w:t>
      </w:r>
      <w:r w:rsidR="004B4536" w:rsidRPr="004B4536">
        <w:rPr>
          <w:sz w:val="24"/>
          <w:szCs w:val="24"/>
        </w:rPr>
        <w:t xml:space="preserve">ear biting </w:t>
      </w:r>
      <w:r w:rsidR="004B4536">
        <w:rPr>
          <w:sz w:val="24"/>
          <w:szCs w:val="24"/>
        </w:rPr>
        <w:t xml:space="preserve">as </w:t>
      </w:r>
      <w:r w:rsidR="00541924">
        <w:rPr>
          <w:sz w:val="24"/>
          <w:szCs w:val="24"/>
        </w:rPr>
        <w:t>a</w:t>
      </w:r>
      <w:r w:rsidR="001660F3">
        <w:rPr>
          <w:sz w:val="24"/>
          <w:szCs w:val="24"/>
        </w:rPr>
        <w:t xml:space="preserve"> </w:t>
      </w:r>
      <w:r w:rsidR="009D4591">
        <w:rPr>
          <w:sz w:val="24"/>
          <w:szCs w:val="24"/>
        </w:rPr>
        <w:t>risk factor</w:t>
      </w:r>
      <w:r w:rsidR="001660F3">
        <w:rPr>
          <w:sz w:val="24"/>
          <w:szCs w:val="24"/>
        </w:rPr>
        <w:t xml:space="preserve"> </w:t>
      </w:r>
      <w:r w:rsidR="009D4591">
        <w:rPr>
          <w:sz w:val="24"/>
          <w:szCs w:val="24"/>
        </w:rPr>
        <w:t xml:space="preserve">for </w:t>
      </w:r>
      <w:r w:rsidR="000E641F">
        <w:rPr>
          <w:sz w:val="24"/>
          <w:szCs w:val="24"/>
        </w:rPr>
        <w:t>the disease</w:t>
      </w:r>
      <w:r w:rsidR="00217A9D">
        <w:rPr>
          <w:sz w:val="24"/>
          <w:szCs w:val="24"/>
        </w:rPr>
        <w:t xml:space="preserve"> whereby </w:t>
      </w:r>
      <w:r w:rsidR="00237A6A">
        <w:rPr>
          <w:sz w:val="24"/>
          <w:szCs w:val="24"/>
        </w:rPr>
        <w:t xml:space="preserve">trauma to the ears caused by </w:t>
      </w:r>
      <w:r w:rsidR="004B4536">
        <w:rPr>
          <w:sz w:val="24"/>
          <w:szCs w:val="24"/>
        </w:rPr>
        <w:t>biting</w:t>
      </w:r>
      <w:r w:rsidR="004B4536" w:rsidRPr="004B4536">
        <w:rPr>
          <w:sz w:val="24"/>
          <w:szCs w:val="24"/>
        </w:rPr>
        <w:t xml:space="preserve"> </w:t>
      </w:r>
      <w:r w:rsidR="00237A6A">
        <w:rPr>
          <w:sz w:val="24"/>
          <w:szCs w:val="24"/>
        </w:rPr>
        <w:t xml:space="preserve">behaviour </w:t>
      </w:r>
      <w:r w:rsidR="004B4536" w:rsidRPr="004B4536">
        <w:rPr>
          <w:sz w:val="24"/>
          <w:szCs w:val="24"/>
        </w:rPr>
        <w:t xml:space="preserve">enables infection by </w:t>
      </w:r>
      <w:r w:rsidR="00237A6A">
        <w:rPr>
          <w:sz w:val="24"/>
          <w:szCs w:val="24"/>
        </w:rPr>
        <w:t xml:space="preserve">opportunistic </w:t>
      </w:r>
      <w:r w:rsidR="004B4536">
        <w:rPr>
          <w:sz w:val="24"/>
          <w:szCs w:val="24"/>
        </w:rPr>
        <w:t>pathogens</w:t>
      </w:r>
      <w:r w:rsidR="004B4536" w:rsidRPr="004B4536">
        <w:rPr>
          <w:sz w:val="24"/>
          <w:szCs w:val="24"/>
        </w:rPr>
        <w:t xml:space="preserve"> </w:t>
      </w:r>
      <w:r w:rsidR="00237A6A">
        <w:rPr>
          <w:sz w:val="24"/>
          <w:szCs w:val="24"/>
        </w:rPr>
        <w:t>(e.g. Staph aureus)</w:t>
      </w:r>
      <w:r w:rsidR="001660F3">
        <w:rPr>
          <w:sz w:val="24"/>
          <w:szCs w:val="24"/>
        </w:rPr>
        <w:t>. An</w:t>
      </w:r>
      <w:r w:rsidR="00217A9D">
        <w:rPr>
          <w:sz w:val="24"/>
          <w:szCs w:val="24"/>
        </w:rPr>
        <w:t>other hy</w:t>
      </w:r>
      <w:bookmarkStart w:id="0" w:name="_GoBack"/>
      <w:bookmarkEnd w:id="0"/>
      <w:r w:rsidR="00217A9D">
        <w:rPr>
          <w:sz w:val="24"/>
          <w:szCs w:val="24"/>
        </w:rPr>
        <w:t>pothesis is that the infection arises from an internal systemic imbalance</w:t>
      </w:r>
      <w:r w:rsidR="00865CB8">
        <w:rPr>
          <w:sz w:val="24"/>
          <w:szCs w:val="24"/>
        </w:rPr>
        <w:t xml:space="preserve"> resulting in immunosuppression</w:t>
      </w:r>
      <w:r w:rsidR="009D4591">
        <w:rPr>
          <w:sz w:val="24"/>
          <w:szCs w:val="24"/>
        </w:rPr>
        <w:t xml:space="preserve">. Such </w:t>
      </w:r>
      <w:r w:rsidR="00865CB8">
        <w:rPr>
          <w:sz w:val="24"/>
          <w:szCs w:val="24"/>
        </w:rPr>
        <w:t xml:space="preserve">an </w:t>
      </w:r>
      <w:r w:rsidR="009D4591">
        <w:rPr>
          <w:sz w:val="24"/>
          <w:szCs w:val="24"/>
        </w:rPr>
        <w:t>imbalance could be inherent to the p</w:t>
      </w:r>
      <w:r w:rsidR="007D1E24">
        <w:rPr>
          <w:sz w:val="24"/>
          <w:szCs w:val="24"/>
        </w:rPr>
        <w:t xml:space="preserve">ig (e.g. birthweight) or caused </w:t>
      </w:r>
      <w:r w:rsidR="009D4591">
        <w:rPr>
          <w:sz w:val="24"/>
          <w:szCs w:val="24"/>
        </w:rPr>
        <w:t xml:space="preserve">by dietary </w:t>
      </w:r>
      <w:r w:rsidR="007D1E24">
        <w:rPr>
          <w:sz w:val="24"/>
          <w:szCs w:val="24"/>
        </w:rPr>
        <w:t>inadequacies</w:t>
      </w:r>
      <w:r w:rsidR="009D4591">
        <w:rPr>
          <w:sz w:val="24"/>
          <w:szCs w:val="24"/>
        </w:rPr>
        <w:t>/weaning stress</w:t>
      </w:r>
      <w:r w:rsidR="007D1E24">
        <w:rPr>
          <w:sz w:val="24"/>
          <w:szCs w:val="24"/>
        </w:rPr>
        <w:t>, etc</w:t>
      </w:r>
      <w:r w:rsidR="009D4591">
        <w:rPr>
          <w:sz w:val="24"/>
          <w:szCs w:val="24"/>
        </w:rPr>
        <w:t xml:space="preserve">. </w:t>
      </w:r>
      <w:r w:rsidR="00865CB8">
        <w:rPr>
          <w:sz w:val="24"/>
          <w:szCs w:val="24"/>
        </w:rPr>
        <w:t xml:space="preserve">Pigs start directing behaviour to their </w:t>
      </w:r>
      <w:r w:rsidR="0057738A">
        <w:rPr>
          <w:sz w:val="24"/>
          <w:szCs w:val="24"/>
        </w:rPr>
        <w:t>littermates’</w:t>
      </w:r>
      <w:r w:rsidR="00865CB8">
        <w:rPr>
          <w:sz w:val="24"/>
          <w:szCs w:val="24"/>
        </w:rPr>
        <w:t xml:space="preserve"> ears </w:t>
      </w:r>
      <w:r w:rsidR="002D1405">
        <w:rPr>
          <w:sz w:val="24"/>
          <w:szCs w:val="24"/>
        </w:rPr>
        <w:t>early in life and progress to more traumatic biting as the</w:t>
      </w:r>
      <w:r w:rsidR="00865CB8">
        <w:rPr>
          <w:sz w:val="24"/>
          <w:szCs w:val="24"/>
        </w:rPr>
        <w:t>y age</w:t>
      </w:r>
      <w:r w:rsidR="002D1405">
        <w:rPr>
          <w:sz w:val="24"/>
          <w:szCs w:val="24"/>
        </w:rPr>
        <w:t xml:space="preserve">. </w:t>
      </w:r>
      <w:r w:rsidR="00265162">
        <w:rPr>
          <w:sz w:val="24"/>
          <w:szCs w:val="24"/>
        </w:rPr>
        <w:t>Th</w:t>
      </w:r>
      <w:r w:rsidR="009D4591">
        <w:rPr>
          <w:sz w:val="24"/>
          <w:szCs w:val="24"/>
        </w:rPr>
        <w:t>is</w:t>
      </w:r>
      <w:r w:rsidR="001660F3">
        <w:rPr>
          <w:sz w:val="24"/>
          <w:szCs w:val="24"/>
        </w:rPr>
        <w:t xml:space="preserve"> </w:t>
      </w:r>
      <w:r w:rsidR="00623E3A">
        <w:rPr>
          <w:sz w:val="24"/>
          <w:szCs w:val="24"/>
        </w:rPr>
        <w:t xml:space="preserve">pilot study </w:t>
      </w:r>
      <w:r w:rsidR="00265162">
        <w:rPr>
          <w:sz w:val="24"/>
          <w:szCs w:val="24"/>
        </w:rPr>
        <w:t>investigate</w:t>
      </w:r>
      <w:r w:rsidR="00504E87">
        <w:rPr>
          <w:sz w:val="24"/>
          <w:szCs w:val="24"/>
        </w:rPr>
        <w:t>d</w:t>
      </w:r>
      <w:r w:rsidR="00265162">
        <w:rPr>
          <w:sz w:val="24"/>
          <w:szCs w:val="24"/>
        </w:rPr>
        <w:t xml:space="preserve"> </w:t>
      </w:r>
      <w:r w:rsidR="009D4591">
        <w:rPr>
          <w:sz w:val="24"/>
          <w:szCs w:val="24"/>
        </w:rPr>
        <w:t xml:space="preserve">the role of </w:t>
      </w:r>
      <w:r w:rsidR="0075192B">
        <w:rPr>
          <w:sz w:val="24"/>
          <w:szCs w:val="24"/>
        </w:rPr>
        <w:t xml:space="preserve">ear biting </w:t>
      </w:r>
      <w:r w:rsidR="0088769A">
        <w:rPr>
          <w:sz w:val="24"/>
          <w:szCs w:val="24"/>
        </w:rPr>
        <w:t xml:space="preserve">behaviour </w:t>
      </w:r>
      <w:r w:rsidR="009D4591">
        <w:rPr>
          <w:sz w:val="24"/>
          <w:szCs w:val="24"/>
        </w:rPr>
        <w:t xml:space="preserve">performed by piglets in the week prior to weaning </w:t>
      </w:r>
      <w:r w:rsidR="0088769A">
        <w:rPr>
          <w:sz w:val="24"/>
          <w:szCs w:val="24"/>
        </w:rPr>
        <w:t xml:space="preserve">and other early life characteristics </w:t>
      </w:r>
      <w:r w:rsidR="00504E87">
        <w:rPr>
          <w:sz w:val="24"/>
          <w:szCs w:val="24"/>
        </w:rPr>
        <w:t xml:space="preserve">in </w:t>
      </w:r>
      <w:r w:rsidR="009D4591">
        <w:rPr>
          <w:sz w:val="24"/>
          <w:szCs w:val="24"/>
        </w:rPr>
        <w:t xml:space="preserve">the development of </w:t>
      </w:r>
      <w:r w:rsidR="00BD5C1F">
        <w:rPr>
          <w:sz w:val="24"/>
          <w:szCs w:val="24"/>
        </w:rPr>
        <w:t>ear</w:t>
      </w:r>
      <w:r w:rsidR="00504E87">
        <w:rPr>
          <w:sz w:val="24"/>
          <w:szCs w:val="24"/>
        </w:rPr>
        <w:t xml:space="preserve"> </w:t>
      </w:r>
      <w:r w:rsidR="00BD5C1F">
        <w:rPr>
          <w:sz w:val="24"/>
          <w:szCs w:val="24"/>
        </w:rPr>
        <w:t xml:space="preserve">necrosis (EN) </w:t>
      </w:r>
      <w:r w:rsidR="009D4591">
        <w:rPr>
          <w:sz w:val="24"/>
          <w:szCs w:val="24"/>
        </w:rPr>
        <w:t xml:space="preserve">post-weaning. </w:t>
      </w:r>
    </w:p>
    <w:p w14:paraId="6E3EDED5" w14:textId="72871106" w:rsidR="00A67EEA" w:rsidRPr="004B4536" w:rsidRDefault="00A67EEA" w:rsidP="00094905">
      <w:pPr>
        <w:jc w:val="both"/>
        <w:rPr>
          <w:sz w:val="24"/>
          <w:szCs w:val="24"/>
        </w:rPr>
      </w:pPr>
      <w:r w:rsidRPr="004B4536">
        <w:rPr>
          <w:b/>
          <w:i/>
          <w:sz w:val="24"/>
          <w:szCs w:val="24"/>
        </w:rPr>
        <w:lastRenderedPageBreak/>
        <w:t>Materials and methods:</w:t>
      </w:r>
      <w:r w:rsidRPr="004B4536">
        <w:rPr>
          <w:sz w:val="24"/>
          <w:szCs w:val="24"/>
        </w:rPr>
        <w:t xml:space="preserve"> </w:t>
      </w:r>
      <w:r w:rsidR="00D562C8">
        <w:rPr>
          <w:sz w:val="24"/>
          <w:szCs w:val="24"/>
        </w:rPr>
        <w:t xml:space="preserve">A total of 138 piglets born to 11 sows were housed in conventional farrowing crates with plastic slatted floors, one solid plastic heating mat, and one plastic toy attached to the wall. </w:t>
      </w:r>
      <w:r w:rsidR="00500752">
        <w:rPr>
          <w:sz w:val="24"/>
          <w:szCs w:val="24"/>
        </w:rPr>
        <w:t>At</w:t>
      </w:r>
      <w:r w:rsidR="00D562C8">
        <w:rPr>
          <w:sz w:val="24"/>
          <w:szCs w:val="24"/>
        </w:rPr>
        <w:t xml:space="preserve"> weaning (28 d of age)</w:t>
      </w:r>
      <w:r w:rsidR="00500752">
        <w:rPr>
          <w:sz w:val="24"/>
          <w:szCs w:val="24"/>
        </w:rPr>
        <w:t>, they were mixed</w:t>
      </w:r>
      <w:r w:rsidR="00D562C8">
        <w:rPr>
          <w:sz w:val="24"/>
          <w:szCs w:val="24"/>
        </w:rPr>
        <w:t xml:space="preserve"> into 13 same sex pens of 9-10 pigs with single space feeders, plastic slatted floors, and two rubber floor toys. </w:t>
      </w:r>
      <w:r w:rsidR="001C5DD3" w:rsidRPr="008D3F91">
        <w:rPr>
          <w:sz w:val="24"/>
          <w:szCs w:val="24"/>
        </w:rPr>
        <w:t>At</w:t>
      </w:r>
      <w:r w:rsidR="009D4591" w:rsidRPr="008D3F91">
        <w:rPr>
          <w:sz w:val="24"/>
          <w:szCs w:val="24"/>
        </w:rPr>
        <w:t xml:space="preserve"> </w:t>
      </w:r>
      <w:r w:rsidR="007D1E24" w:rsidRPr="008D3F91">
        <w:rPr>
          <w:sz w:val="24"/>
          <w:szCs w:val="24"/>
        </w:rPr>
        <w:t>three weeks of age</w:t>
      </w:r>
      <w:r w:rsidR="007D1E24">
        <w:rPr>
          <w:sz w:val="24"/>
          <w:szCs w:val="24"/>
        </w:rPr>
        <w:t xml:space="preserve">, </w:t>
      </w:r>
      <w:r w:rsidR="002E455B">
        <w:rPr>
          <w:sz w:val="24"/>
          <w:szCs w:val="24"/>
        </w:rPr>
        <w:t>pigs</w:t>
      </w:r>
      <w:r w:rsidR="00500752">
        <w:rPr>
          <w:sz w:val="24"/>
          <w:szCs w:val="24"/>
        </w:rPr>
        <w:t xml:space="preserve"> were individually marked on their backs with hair dye to facilitate individual behaviour observations. </w:t>
      </w:r>
      <w:r w:rsidR="00CF3150">
        <w:rPr>
          <w:sz w:val="24"/>
          <w:szCs w:val="24"/>
        </w:rPr>
        <w:t>All occurrences of e</w:t>
      </w:r>
      <w:r w:rsidR="00500752">
        <w:rPr>
          <w:sz w:val="24"/>
          <w:szCs w:val="24"/>
        </w:rPr>
        <w:t>ar biting behaviour w</w:t>
      </w:r>
      <w:r w:rsidR="009D4591">
        <w:rPr>
          <w:sz w:val="24"/>
          <w:szCs w:val="24"/>
        </w:rPr>
        <w:t>ere</w:t>
      </w:r>
      <w:r w:rsidR="00500752">
        <w:rPr>
          <w:sz w:val="24"/>
          <w:szCs w:val="24"/>
        </w:rPr>
        <w:t xml:space="preserve"> recorded by direct observation with continuous sampling</w:t>
      </w:r>
      <w:r w:rsidR="00CF3150">
        <w:rPr>
          <w:sz w:val="24"/>
          <w:szCs w:val="24"/>
        </w:rPr>
        <w:t xml:space="preserve"> (3-minute sessions; n=24 minutes total</w:t>
      </w:r>
      <w:r w:rsidR="009D4591">
        <w:rPr>
          <w:sz w:val="24"/>
          <w:szCs w:val="24"/>
        </w:rPr>
        <w:t>/litter</w:t>
      </w:r>
      <w:r w:rsidR="00CF3150">
        <w:rPr>
          <w:sz w:val="24"/>
          <w:szCs w:val="24"/>
        </w:rPr>
        <w:t xml:space="preserve">) </w:t>
      </w:r>
      <w:r w:rsidR="001660F3">
        <w:rPr>
          <w:sz w:val="24"/>
          <w:szCs w:val="24"/>
        </w:rPr>
        <w:t>over three</w:t>
      </w:r>
      <w:r w:rsidR="00CF3150">
        <w:rPr>
          <w:sz w:val="24"/>
          <w:szCs w:val="24"/>
        </w:rPr>
        <w:t xml:space="preserve"> days </w:t>
      </w:r>
      <w:r w:rsidR="009D4591">
        <w:rPr>
          <w:sz w:val="24"/>
          <w:szCs w:val="24"/>
        </w:rPr>
        <w:t xml:space="preserve">in the week prior to </w:t>
      </w:r>
      <w:r w:rsidR="00CF3150">
        <w:rPr>
          <w:sz w:val="24"/>
          <w:szCs w:val="24"/>
        </w:rPr>
        <w:t xml:space="preserve">weaning. </w:t>
      </w:r>
      <w:r w:rsidR="001660F3">
        <w:rPr>
          <w:sz w:val="24"/>
          <w:szCs w:val="24"/>
        </w:rPr>
        <w:t xml:space="preserve">The </w:t>
      </w:r>
      <w:r w:rsidR="00CF3150">
        <w:rPr>
          <w:sz w:val="24"/>
          <w:szCs w:val="24"/>
        </w:rPr>
        <w:t xml:space="preserve">identity of the </w:t>
      </w:r>
      <w:r w:rsidR="007D1E24">
        <w:rPr>
          <w:sz w:val="24"/>
          <w:szCs w:val="24"/>
        </w:rPr>
        <w:t xml:space="preserve">bitten </w:t>
      </w:r>
      <w:r w:rsidR="00CF3150">
        <w:rPr>
          <w:sz w:val="24"/>
          <w:szCs w:val="24"/>
        </w:rPr>
        <w:t xml:space="preserve">pig </w:t>
      </w:r>
      <w:r w:rsidR="00CF3150" w:rsidRPr="002E455B">
        <w:rPr>
          <w:sz w:val="24"/>
          <w:szCs w:val="24"/>
        </w:rPr>
        <w:t>w</w:t>
      </w:r>
      <w:r w:rsidR="009D4591">
        <w:rPr>
          <w:sz w:val="24"/>
          <w:szCs w:val="24"/>
        </w:rPr>
        <w:t>as</w:t>
      </w:r>
      <w:r w:rsidR="00CF3150" w:rsidRPr="002E455B">
        <w:rPr>
          <w:sz w:val="24"/>
          <w:szCs w:val="24"/>
        </w:rPr>
        <w:t xml:space="preserve"> recorded</w:t>
      </w:r>
      <w:r w:rsidR="002E455B">
        <w:rPr>
          <w:sz w:val="24"/>
          <w:szCs w:val="24"/>
        </w:rPr>
        <w:t xml:space="preserve">, and the average </w:t>
      </w:r>
      <w:r w:rsidR="009D4591">
        <w:rPr>
          <w:sz w:val="24"/>
          <w:szCs w:val="24"/>
        </w:rPr>
        <w:t xml:space="preserve">number of </w:t>
      </w:r>
      <w:r w:rsidR="007D1E24">
        <w:rPr>
          <w:sz w:val="24"/>
          <w:szCs w:val="24"/>
        </w:rPr>
        <w:t xml:space="preserve">bites </w:t>
      </w:r>
      <w:r w:rsidR="002E455B">
        <w:rPr>
          <w:sz w:val="24"/>
          <w:szCs w:val="24"/>
        </w:rPr>
        <w:t>per observation session was calculated for each pig.</w:t>
      </w:r>
      <w:r w:rsidR="00CF3150">
        <w:rPr>
          <w:sz w:val="24"/>
          <w:szCs w:val="24"/>
        </w:rPr>
        <w:t xml:space="preserve"> </w:t>
      </w:r>
      <w:r w:rsidR="007D1E24">
        <w:rPr>
          <w:sz w:val="24"/>
          <w:szCs w:val="24"/>
        </w:rPr>
        <w:t xml:space="preserve">Pigs were </w:t>
      </w:r>
      <w:r w:rsidR="00601704" w:rsidRPr="00601704">
        <w:rPr>
          <w:sz w:val="24"/>
          <w:szCs w:val="24"/>
        </w:rPr>
        <w:t xml:space="preserve">individually inspected for </w:t>
      </w:r>
      <w:r w:rsidR="00704EDA">
        <w:rPr>
          <w:sz w:val="24"/>
          <w:szCs w:val="24"/>
        </w:rPr>
        <w:t>EN</w:t>
      </w:r>
      <w:r w:rsidR="00601704" w:rsidRPr="00601704">
        <w:rPr>
          <w:sz w:val="24"/>
          <w:szCs w:val="24"/>
        </w:rPr>
        <w:t xml:space="preserve"> weekly</w:t>
      </w:r>
      <w:r w:rsidR="00E602BD">
        <w:rPr>
          <w:sz w:val="24"/>
          <w:szCs w:val="24"/>
        </w:rPr>
        <w:t xml:space="preserve"> from weeks 2 to 6 post-weaning (until trans</w:t>
      </w:r>
      <w:r w:rsidR="00704EDA">
        <w:rPr>
          <w:sz w:val="24"/>
          <w:szCs w:val="24"/>
        </w:rPr>
        <w:t xml:space="preserve">fer to finisher accommodation), and scored </w:t>
      </w:r>
      <w:r w:rsidR="00704EDA" w:rsidRPr="00601704">
        <w:rPr>
          <w:sz w:val="24"/>
          <w:szCs w:val="24"/>
        </w:rPr>
        <w:t>0 to 5 according to sever</w:t>
      </w:r>
      <w:r w:rsidR="00704EDA">
        <w:rPr>
          <w:sz w:val="24"/>
          <w:szCs w:val="24"/>
        </w:rPr>
        <w:t>ity. Scores were collapsed into 1] presence or absence of EN; 2] the maximum score the pig achieved during this time (MaxScore).</w:t>
      </w:r>
      <w:r w:rsidR="00DD165A">
        <w:rPr>
          <w:sz w:val="24"/>
          <w:szCs w:val="24"/>
        </w:rPr>
        <w:t xml:space="preserve"> Data were analysed using SASv9.4 </w:t>
      </w:r>
      <w:r w:rsidR="00B313B3">
        <w:rPr>
          <w:sz w:val="24"/>
          <w:szCs w:val="24"/>
        </w:rPr>
        <w:t xml:space="preserve">(PROC Glimmix and Spearman correlations) </w:t>
      </w:r>
      <w:r w:rsidR="00DD165A">
        <w:rPr>
          <w:sz w:val="24"/>
          <w:szCs w:val="24"/>
        </w:rPr>
        <w:t xml:space="preserve">to </w:t>
      </w:r>
      <w:r w:rsidR="00B313B3">
        <w:rPr>
          <w:sz w:val="24"/>
          <w:szCs w:val="24"/>
        </w:rPr>
        <w:t xml:space="preserve">investigate </w:t>
      </w:r>
      <w:r w:rsidR="001C5DD3">
        <w:rPr>
          <w:sz w:val="24"/>
          <w:szCs w:val="24"/>
        </w:rPr>
        <w:t>associations between</w:t>
      </w:r>
      <w:r w:rsidR="00DD165A">
        <w:rPr>
          <w:sz w:val="24"/>
          <w:szCs w:val="24"/>
        </w:rPr>
        <w:t xml:space="preserve"> pre-weaning </w:t>
      </w:r>
      <w:r w:rsidR="009D4591">
        <w:rPr>
          <w:sz w:val="24"/>
          <w:szCs w:val="24"/>
        </w:rPr>
        <w:t xml:space="preserve">ear biting </w:t>
      </w:r>
      <w:r w:rsidR="00DD165A">
        <w:rPr>
          <w:sz w:val="24"/>
          <w:szCs w:val="24"/>
        </w:rPr>
        <w:t xml:space="preserve">behaviour, birthweight, </w:t>
      </w:r>
      <w:r w:rsidR="001C5DD3">
        <w:rPr>
          <w:sz w:val="24"/>
          <w:szCs w:val="24"/>
        </w:rPr>
        <w:t>and litter characteristics (</w:t>
      </w:r>
      <w:r w:rsidR="00DD165A">
        <w:rPr>
          <w:sz w:val="24"/>
          <w:szCs w:val="24"/>
        </w:rPr>
        <w:t xml:space="preserve">total piglets born, </w:t>
      </w:r>
      <w:r w:rsidR="007D1E24">
        <w:rPr>
          <w:sz w:val="24"/>
          <w:szCs w:val="24"/>
        </w:rPr>
        <w:t>litter size at d</w:t>
      </w:r>
      <w:r w:rsidR="00DB58F3">
        <w:rPr>
          <w:sz w:val="24"/>
          <w:szCs w:val="24"/>
        </w:rPr>
        <w:t xml:space="preserve">1, </w:t>
      </w:r>
      <w:r w:rsidR="00DD165A">
        <w:rPr>
          <w:sz w:val="24"/>
          <w:szCs w:val="24"/>
        </w:rPr>
        <w:t xml:space="preserve">mortality </w:t>
      </w:r>
      <w:r w:rsidR="001C5DD3">
        <w:rPr>
          <w:sz w:val="24"/>
          <w:szCs w:val="24"/>
        </w:rPr>
        <w:t>rate</w:t>
      </w:r>
      <w:r w:rsidR="0088769A">
        <w:rPr>
          <w:sz w:val="24"/>
          <w:szCs w:val="24"/>
        </w:rPr>
        <w:t xml:space="preserve"> from d</w:t>
      </w:r>
      <w:r w:rsidR="00B313B3">
        <w:rPr>
          <w:sz w:val="24"/>
          <w:szCs w:val="24"/>
        </w:rPr>
        <w:t>1 to d</w:t>
      </w:r>
      <w:r w:rsidR="0088769A">
        <w:rPr>
          <w:sz w:val="24"/>
          <w:szCs w:val="24"/>
        </w:rPr>
        <w:t>ay</w:t>
      </w:r>
      <w:r w:rsidR="00B313B3">
        <w:rPr>
          <w:sz w:val="24"/>
          <w:szCs w:val="24"/>
        </w:rPr>
        <w:t xml:space="preserve"> of </w:t>
      </w:r>
      <w:r w:rsidR="009D4591">
        <w:rPr>
          <w:sz w:val="24"/>
          <w:szCs w:val="24"/>
        </w:rPr>
        <w:t xml:space="preserve">behaviour </w:t>
      </w:r>
      <w:r w:rsidR="00B313B3">
        <w:rPr>
          <w:sz w:val="24"/>
          <w:szCs w:val="24"/>
        </w:rPr>
        <w:t>observation</w:t>
      </w:r>
      <w:r w:rsidR="001C5DD3">
        <w:rPr>
          <w:sz w:val="24"/>
          <w:szCs w:val="24"/>
        </w:rPr>
        <w:t>) and EN</w:t>
      </w:r>
      <w:r w:rsidR="001660F3">
        <w:rPr>
          <w:sz w:val="24"/>
          <w:szCs w:val="24"/>
        </w:rPr>
        <w:t>.</w:t>
      </w:r>
    </w:p>
    <w:p w14:paraId="3BD049F8" w14:textId="50A4F9F0" w:rsidR="00A67EEA" w:rsidRPr="004B4536" w:rsidRDefault="00A67EEA" w:rsidP="00094905">
      <w:pPr>
        <w:jc w:val="both"/>
        <w:rPr>
          <w:sz w:val="24"/>
          <w:szCs w:val="24"/>
        </w:rPr>
      </w:pPr>
      <w:r w:rsidRPr="004B4536">
        <w:rPr>
          <w:b/>
          <w:i/>
          <w:sz w:val="24"/>
          <w:szCs w:val="24"/>
        </w:rPr>
        <w:t>Results:</w:t>
      </w:r>
      <w:r w:rsidR="00BD5C1F">
        <w:rPr>
          <w:sz w:val="24"/>
          <w:szCs w:val="24"/>
        </w:rPr>
        <w:t xml:space="preserve"> </w:t>
      </w:r>
      <w:r w:rsidR="00175AA6">
        <w:rPr>
          <w:sz w:val="24"/>
          <w:szCs w:val="24"/>
        </w:rPr>
        <w:t>While 58.7% of pigs develope</w:t>
      </w:r>
      <w:r w:rsidR="008F3C1A">
        <w:rPr>
          <w:sz w:val="24"/>
          <w:szCs w:val="24"/>
        </w:rPr>
        <w:t>d EN</w:t>
      </w:r>
      <w:r w:rsidR="00865CB8">
        <w:rPr>
          <w:sz w:val="24"/>
          <w:szCs w:val="24"/>
        </w:rPr>
        <w:t xml:space="preserve"> post-weaning</w:t>
      </w:r>
      <w:r w:rsidR="008F3C1A">
        <w:rPr>
          <w:sz w:val="24"/>
          <w:szCs w:val="24"/>
        </w:rPr>
        <w:t xml:space="preserve">, the majority </w:t>
      </w:r>
      <w:r w:rsidR="0057738A">
        <w:rPr>
          <w:sz w:val="24"/>
          <w:szCs w:val="24"/>
        </w:rPr>
        <w:t xml:space="preserve">received </w:t>
      </w:r>
      <w:r w:rsidR="008F3C1A">
        <w:rPr>
          <w:sz w:val="24"/>
          <w:szCs w:val="24"/>
        </w:rPr>
        <w:t>mild scores (</w:t>
      </w:r>
      <w:r w:rsidR="00865CB8" w:rsidRPr="0057738A">
        <w:rPr>
          <w:sz w:val="24"/>
          <w:szCs w:val="24"/>
        </w:rPr>
        <w:t>Table 1</w:t>
      </w:r>
      <w:r w:rsidR="008F3C1A" w:rsidRPr="0057738A">
        <w:rPr>
          <w:sz w:val="24"/>
          <w:szCs w:val="24"/>
        </w:rPr>
        <w:t>)</w:t>
      </w:r>
      <w:r w:rsidR="008F3C1A">
        <w:rPr>
          <w:sz w:val="24"/>
          <w:szCs w:val="24"/>
        </w:rPr>
        <w:t xml:space="preserve"> </w:t>
      </w:r>
      <w:r w:rsidR="00865CB8">
        <w:rPr>
          <w:sz w:val="24"/>
          <w:szCs w:val="24"/>
        </w:rPr>
        <w:t>and no pigs received a score of 5</w:t>
      </w:r>
      <w:r w:rsidR="003D14ED">
        <w:rPr>
          <w:sz w:val="24"/>
          <w:szCs w:val="24"/>
        </w:rPr>
        <w:t xml:space="preserve">. </w:t>
      </w:r>
      <w:r w:rsidR="00E310B1">
        <w:rPr>
          <w:sz w:val="24"/>
          <w:szCs w:val="24"/>
        </w:rPr>
        <w:t xml:space="preserve">The average number of </w:t>
      </w:r>
      <w:r w:rsidR="000A71AA">
        <w:rPr>
          <w:sz w:val="24"/>
          <w:szCs w:val="24"/>
        </w:rPr>
        <w:t xml:space="preserve">ear </w:t>
      </w:r>
      <w:r w:rsidR="00E310B1">
        <w:rPr>
          <w:sz w:val="24"/>
          <w:szCs w:val="24"/>
        </w:rPr>
        <w:t xml:space="preserve">bites </w:t>
      </w:r>
      <w:r w:rsidR="000A71AA">
        <w:rPr>
          <w:sz w:val="24"/>
          <w:szCs w:val="24"/>
        </w:rPr>
        <w:t xml:space="preserve">per 3 min observation session </w:t>
      </w:r>
      <w:r w:rsidR="00E310B1">
        <w:rPr>
          <w:sz w:val="24"/>
          <w:szCs w:val="24"/>
        </w:rPr>
        <w:t>w</w:t>
      </w:r>
      <w:r w:rsidR="000A71AA">
        <w:rPr>
          <w:sz w:val="24"/>
          <w:szCs w:val="24"/>
        </w:rPr>
        <w:t>as</w:t>
      </w:r>
      <w:r w:rsidR="00E310B1">
        <w:rPr>
          <w:sz w:val="24"/>
          <w:szCs w:val="24"/>
        </w:rPr>
        <w:t xml:space="preserve"> 0.36</w:t>
      </w:r>
      <w:r w:rsidR="000A71AA">
        <w:rPr>
          <w:sz w:val="24"/>
          <w:szCs w:val="24"/>
        </w:rPr>
        <w:t xml:space="preserve"> bites</w:t>
      </w:r>
      <w:r w:rsidR="00E310B1">
        <w:rPr>
          <w:sz w:val="24"/>
          <w:szCs w:val="24"/>
        </w:rPr>
        <w:t>/</w:t>
      </w:r>
      <w:r w:rsidR="000A71AA">
        <w:rPr>
          <w:sz w:val="24"/>
          <w:szCs w:val="24"/>
        </w:rPr>
        <w:t>litter</w:t>
      </w:r>
      <w:r w:rsidR="00E310B1">
        <w:rPr>
          <w:sz w:val="24"/>
          <w:szCs w:val="24"/>
        </w:rPr>
        <w:t xml:space="preserve">. </w:t>
      </w:r>
      <w:r w:rsidR="0046440B">
        <w:rPr>
          <w:sz w:val="24"/>
          <w:szCs w:val="24"/>
        </w:rPr>
        <w:t>This equates to an average of</w:t>
      </w:r>
      <w:r w:rsidR="008F3C1A">
        <w:rPr>
          <w:sz w:val="24"/>
          <w:szCs w:val="24"/>
        </w:rPr>
        <w:t xml:space="preserve"> 1.5 ear bites per minute</w:t>
      </w:r>
      <w:r w:rsidR="0046440B">
        <w:rPr>
          <w:sz w:val="24"/>
          <w:szCs w:val="24"/>
        </w:rPr>
        <w:t xml:space="preserve"> occurring in a single litter</w:t>
      </w:r>
      <w:r w:rsidR="008F3C1A">
        <w:rPr>
          <w:sz w:val="24"/>
          <w:szCs w:val="24"/>
        </w:rPr>
        <w:t xml:space="preserve"> when piglets are active</w:t>
      </w:r>
      <w:r w:rsidR="00865CB8">
        <w:rPr>
          <w:sz w:val="24"/>
          <w:szCs w:val="24"/>
        </w:rPr>
        <w:t xml:space="preserve"> in the week prior to weaning</w:t>
      </w:r>
      <w:r w:rsidR="008F3C1A">
        <w:rPr>
          <w:sz w:val="24"/>
          <w:szCs w:val="24"/>
        </w:rPr>
        <w:t>.</w:t>
      </w:r>
      <w:r w:rsidR="00B313B3">
        <w:rPr>
          <w:sz w:val="24"/>
          <w:szCs w:val="24"/>
        </w:rPr>
        <w:t xml:space="preserve"> There </w:t>
      </w:r>
      <w:r w:rsidR="00BD5C1F">
        <w:rPr>
          <w:sz w:val="24"/>
          <w:szCs w:val="24"/>
        </w:rPr>
        <w:t xml:space="preserve">was no apparent association between </w:t>
      </w:r>
      <w:r w:rsidR="002E455B">
        <w:rPr>
          <w:sz w:val="24"/>
          <w:szCs w:val="24"/>
        </w:rPr>
        <w:t>ear biting</w:t>
      </w:r>
      <w:r w:rsidR="00DD165A">
        <w:rPr>
          <w:sz w:val="24"/>
          <w:szCs w:val="24"/>
        </w:rPr>
        <w:t xml:space="preserve"> </w:t>
      </w:r>
      <w:r w:rsidR="00BD5C1F">
        <w:rPr>
          <w:sz w:val="24"/>
          <w:szCs w:val="24"/>
        </w:rPr>
        <w:t xml:space="preserve">and </w:t>
      </w:r>
      <w:r w:rsidR="003D14ED">
        <w:rPr>
          <w:sz w:val="24"/>
          <w:szCs w:val="24"/>
        </w:rPr>
        <w:t>EN</w:t>
      </w:r>
      <w:r w:rsidR="0057738A">
        <w:rPr>
          <w:sz w:val="24"/>
          <w:szCs w:val="24"/>
        </w:rPr>
        <w:t xml:space="preserve"> </w:t>
      </w:r>
      <w:r w:rsidR="002E455B">
        <w:rPr>
          <w:sz w:val="24"/>
          <w:szCs w:val="24"/>
        </w:rPr>
        <w:t>(</w:t>
      </w:r>
      <w:r w:rsidR="002E455B" w:rsidRPr="00DD165A">
        <w:rPr>
          <w:i/>
          <w:sz w:val="24"/>
          <w:szCs w:val="24"/>
        </w:rPr>
        <w:t>P</w:t>
      </w:r>
      <w:r w:rsidR="002E455B">
        <w:rPr>
          <w:sz w:val="24"/>
          <w:szCs w:val="24"/>
        </w:rPr>
        <w:t xml:space="preserve"> &gt; 0.05)</w:t>
      </w:r>
      <w:r w:rsidR="00DD165A">
        <w:rPr>
          <w:sz w:val="24"/>
          <w:szCs w:val="24"/>
        </w:rPr>
        <w:t xml:space="preserve">. </w:t>
      </w:r>
      <w:r w:rsidR="00B313B3">
        <w:rPr>
          <w:sz w:val="24"/>
          <w:szCs w:val="24"/>
        </w:rPr>
        <w:t xml:space="preserve">While total born </w:t>
      </w:r>
      <w:r w:rsidR="0088769A">
        <w:rPr>
          <w:sz w:val="24"/>
          <w:szCs w:val="24"/>
        </w:rPr>
        <w:t>(P &gt; 0.05)</w:t>
      </w:r>
      <w:r w:rsidR="004F22BD">
        <w:rPr>
          <w:sz w:val="24"/>
          <w:szCs w:val="24"/>
        </w:rPr>
        <w:t xml:space="preserve"> and</w:t>
      </w:r>
      <w:r w:rsidR="0088769A">
        <w:rPr>
          <w:sz w:val="24"/>
          <w:szCs w:val="24"/>
        </w:rPr>
        <w:t xml:space="preserve"> litter size at d</w:t>
      </w:r>
      <w:r w:rsidR="00DB58F3">
        <w:rPr>
          <w:sz w:val="24"/>
          <w:szCs w:val="24"/>
        </w:rPr>
        <w:t>1 (</w:t>
      </w:r>
      <w:r w:rsidR="00DB58F3" w:rsidRPr="00DB58F3">
        <w:rPr>
          <w:i/>
          <w:sz w:val="24"/>
          <w:szCs w:val="24"/>
        </w:rPr>
        <w:t>P</w:t>
      </w:r>
      <w:r w:rsidR="004F22BD">
        <w:rPr>
          <w:sz w:val="24"/>
          <w:szCs w:val="24"/>
        </w:rPr>
        <w:t xml:space="preserve"> &gt; 0.05) </w:t>
      </w:r>
      <w:r w:rsidR="0046440B">
        <w:rPr>
          <w:sz w:val="24"/>
          <w:szCs w:val="24"/>
        </w:rPr>
        <w:t>were</w:t>
      </w:r>
      <w:r w:rsidR="00B313B3">
        <w:rPr>
          <w:sz w:val="24"/>
          <w:szCs w:val="24"/>
        </w:rPr>
        <w:t xml:space="preserve"> not associated with EN</w:t>
      </w:r>
      <w:r w:rsidR="007D1E24">
        <w:rPr>
          <w:sz w:val="24"/>
          <w:szCs w:val="24"/>
        </w:rPr>
        <w:t xml:space="preserve"> (data not shown)</w:t>
      </w:r>
      <w:r w:rsidR="0046440B">
        <w:rPr>
          <w:sz w:val="24"/>
          <w:szCs w:val="24"/>
        </w:rPr>
        <w:t>,</w:t>
      </w:r>
      <w:r w:rsidR="00B313B3">
        <w:rPr>
          <w:sz w:val="24"/>
          <w:szCs w:val="24"/>
        </w:rPr>
        <w:t xml:space="preserve"> mortality rate had a moderate positive association with both EN of any severity (</w:t>
      </w:r>
      <w:r w:rsidR="008D3F91">
        <w:rPr>
          <w:sz w:val="24"/>
          <w:szCs w:val="24"/>
        </w:rPr>
        <w:t>r</w:t>
      </w:r>
      <w:r w:rsidR="008D3F91" w:rsidRPr="008D3F91">
        <w:rPr>
          <w:sz w:val="24"/>
          <w:szCs w:val="24"/>
          <w:vertAlign w:val="subscript"/>
        </w:rPr>
        <w:t>(136)</w:t>
      </w:r>
      <w:r w:rsidR="008D3F91">
        <w:rPr>
          <w:sz w:val="24"/>
          <w:szCs w:val="24"/>
        </w:rPr>
        <w:t xml:space="preserve"> = 0.21, </w:t>
      </w:r>
      <w:r w:rsidR="00B313B3" w:rsidRPr="00B313B3">
        <w:rPr>
          <w:i/>
          <w:sz w:val="24"/>
          <w:szCs w:val="24"/>
        </w:rPr>
        <w:t>P</w:t>
      </w:r>
      <w:r w:rsidR="00B313B3">
        <w:rPr>
          <w:sz w:val="24"/>
          <w:szCs w:val="24"/>
        </w:rPr>
        <w:t xml:space="preserve"> = 0.01), and EN MaxScore (</w:t>
      </w:r>
      <w:r w:rsidR="008D3F91">
        <w:rPr>
          <w:sz w:val="24"/>
          <w:szCs w:val="24"/>
        </w:rPr>
        <w:t>r</w:t>
      </w:r>
      <w:r w:rsidR="008D3F91" w:rsidRPr="008D3F91">
        <w:rPr>
          <w:sz w:val="24"/>
          <w:szCs w:val="24"/>
          <w:vertAlign w:val="subscript"/>
        </w:rPr>
        <w:t>(136)</w:t>
      </w:r>
      <w:r w:rsidR="008D3F91">
        <w:rPr>
          <w:sz w:val="24"/>
          <w:szCs w:val="24"/>
        </w:rPr>
        <w:t xml:space="preserve"> = </w:t>
      </w:r>
      <w:r w:rsidR="008D3F91">
        <w:rPr>
          <w:sz w:val="24"/>
          <w:szCs w:val="24"/>
        </w:rPr>
        <w:lastRenderedPageBreak/>
        <w:t xml:space="preserve">0.21, </w:t>
      </w:r>
      <w:r w:rsidR="00B313B3" w:rsidRPr="00B313B3">
        <w:rPr>
          <w:i/>
          <w:sz w:val="24"/>
          <w:szCs w:val="24"/>
        </w:rPr>
        <w:t>P</w:t>
      </w:r>
      <w:r w:rsidR="00B313B3">
        <w:rPr>
          <w:sz w:val="24"/>
          <w:szCs w:val="24"/>
        </w:rPr>
        <w:t xml:space="preserve"> = 0.02). </w:t>
      </w:r>
      <w:r w:rsidR="002E455B">
        <w:rPr>
          <w:sz w:val="24"/>
          <w:szCs w:val="24"/>
        </w:rPr>
        <w:t>Additionally,</w:t>
      </w:r>
      <w:r w:rsidR="00DB58F3">
        <w:rPr>
          <w:sz w:val="24"/>
          <w:szCs w:val="24"/>
        </w:rPr>
        <w:t xml:space="preserve"> pigs</w:t>
      </w:r>
      <w:r w:rsidR="0046440B">
        <w:rPr>
          <w:sz w:val="24"/>
          <w:szCs w:val="24"/>
        </w:rPr>
        <w:t xml:space="preserve"> </w:t>
      </w:r>
      <w:r w:rsidR="000A71AA">
        <w:rPr>
          <w:sz w:val="24"/>
          <w:szCs w:val="24"/>
        </w:rPr>
        <w:t xml:space="preserve">that developed </w:t>
      </w:r>
      <w:r w:rsidR="0046440B">
        <w:rPr>
          <w:sz w:val="24"/>
          <w:szCs w:val="24"/>
        </w:rPr>
        <w:t xml:space="preserve">EN </w:t>
      </w:r>
      <w:r w:rsidR="000A71AA">
        <w:rPr>
          <w:sz w:val="24"/>
          <w:szCs w:val="24"/>
        </w:rPr>
        <w:t xml:space="preserve">of any severity </w:t>
      </w:r>
      <w:r w:rsidR="0046440B">
        <w:rPr>
          <w:sz w:val="24"/>
          <w:szCs w:val="24"/>
        </w:rPr>
        <w:t xml:space="preserve">had higher birthweights than those </w:t>
      </w:r>
      <w:r w:rsidR="000A71AA">
        <w:rPr>
          <w:sz w:val="24"/>
          <w:szCs w:val="24"/>
        </w:rPr>
        <w:t xml:space="preserve">that did not develop EN </w:t>
      </w:r>
      <w:r w:rsidR="0046440B">
        <w:rPr>
          <w:sz w:val="24"/>
          <w:szCs w:val="24"/>
        </w:rPr>
        <w:t xml:space="preserve">(1.57 </w:t>
      </w:r>
      <w:r w:rsidR="00DB58F3">
        <w:rPr>
          <w:rFonts w:cstheme="minorHAnsi"/>
          <w:sz w:val="24"/>
          <w:szCs w:val="24"/>
        </w:rPr>
        <w:t xml:space="preserve">± 0.312 </w:t>
      </w:r>
      <w:r w:rsidR="0046440B">
        <w:rPr>
          <w:sz w:val="24"/>
          <w:szCs w:val="24"/>
        </w:rPr>
        <w:t xml:space="preserve">vs. 1.44 </w:t>
      </w:r>
      <w:r w:rsidR="00DB58F3">
        <w:rPr>
          <w:rFonts w:cstheme="minorHAnsi"/>
          <w:sz w:val="24"/>
          <w:szCs w:val="24"/>
        </w:rPr>
        <w:t xml:space="preserve">± 0.293 </w:t>
      </w:r>
      <w:r w:rsidR="0046440B">
        <w:rPr>
          <w:sz w:val="24"/>
          <w:szCs w:val="24"/>
        </w:rPr>
        <w:t xml:space="preserve">kg, </w:t>
      </w:r>
      <w:r w:rsidR="0046440B" w:rsidRPr="0046440B">
        <w:rPr>
          <w:i/>
          <w:sz w:val="24"/>
          <w:szCs w:val="24"/>
        </w:rPr>
        <w:t>P</w:t>
      </w:r>
      <w:r w:rsidR="0046440B">
        <w:rPr>
          <w:sz w:val="24"/>
          <w:szCs w:val="24"/>
        </w:rPr>
        <w:t xml:space="preserve"> = 0.03)</w:t>
      </w:r>
      <w:r w:rsidR="00DB58F3">
        <w:rPr>
          <w:sz w:val="24"/>
          <w:szCs w:val="24"/>
        </w:rPr>
        <w:t>.</w:t>
      </w:r>
    </w:p>
    <w:p w14:paraId="5A75AE8D" w14:textId="381F329D" w:rsidR="00805FD1" w:rsidRDefault="00A67EEA" w:rsidP="00094905">
      <w:pPr>
        <w:jc w:val="both"/>
        <w:rPr>
          <w:sz w:val="24"/>
          <w:szCs w:val="24"/>
        </w:rPr>
      </w:pPr>
      <w:r w:rsidRPr="004B4536">
        <w:rPr>
          <w:b/>
          <w:i/>
          <w:sz w:val="24"/>
          <w:szCs w:val="24"/>
        </w:rPr>
        <w:t>Conclusion:</w:t>
      </w:r>
      <w:r w:rsidRPr="004B4536">
        <w:rPr>
          <w:sz w:val="24"/>
          <w:szCs w:val="24"/>
        </w:rPr>
        <w:t xml:space="preserve"> </w:t>
      </w:r>
      <w:r w:rsidR="000431A9">
        <w:rPr>
          <w:sz w:val="24"/>
          <w:szCs w:val="24"/>
        </w:rPr>
        <w:t xml:space="preserve">The </w:t>
      </w:r>
      <w:r w:rsidR="000A71AA">
        <w:rPr>
          <w:sz w:val="24"/>
          <w:szCs w:val="24"/>
        </w:rPr>
        <w:t xml:space="preserve">lack of an association between ear biting behaviour and EN could relate to the small number of pigs </w:t>
      </w:r>
      <w:r w:rsidR="008D3F91">
        <w:rPr>
          <w:sz w:val="24"/>
          <w:szCs w:val="24"/>
        </w:rPr>
        <w:t xml:space="preserve">in the study and to the limited number that </w:t>
      </w:r>
      <w:r w:rsidR="000A71AA">
        <w:rPr>
          <w:sz w:val="24"/>
          <w:szCs w:val="24"/>
        </w:rPr>
        <w:t>de</w:t>
      </w:r>
      <w:r w:rsidR="008D3F91">
        <w:rPr>
          <w:sz w:val="24"/>
          <w:szCs w:val="24"/>
        </w:rPr>
        <w:t xml:space="preserve">veloped severe EN post-weaning. It may also be that </w:t>
      </w:r>
      <w:r w:rsidR="000A71AA">
        <w:rPr>
          <w:sz w:val="24"/>
          <w:szCs w:val="24"/>
        </w:rPr>
        <w:t xml:space="preserve">the numerous stressors </w:t>
      </w:r>
      <w:r w:rsidR="00A90D60">
        <w:rPr>
          <w:sz w:val="24"/>
          <w:szCs w:val="24"/>
        </w:rPr>
        <w:t xml:space="preserve">imposed </w:t>
      </w:r>
      <w:r w:rsidR="000A71AA">
        <w:rPr>
          <w:sz w:val="24"/>
          <w:szCs w:val="24"/>
        </w:rPr>
        <w:t>o</w:t>
      </w:r>
      <w:r w:rsidR="008D3F91">
        <w:rPr>
          <w:sz w:val="24"/>
          <w:szCs w:val="24"/>
        </w:rPr>
        <w:t>n the pig at weaning outweighed</w:t>
      </w:r>
      <w:r w:rsidR="000A71AA">
        <w:rPr>
          <w:sz w:val="24"/>
          <w:szCs w:val="24"/>
        </w:rPr>
        <w:t xml:space="preserve"> any effect of behaviour recorded pre-weaning. </w:t>
      </w:r>
      <w:r w:rsidR="00A90D60">
        <w:rPr>
          <w:sz w:val="24"/>
          <w:szCs w:val="24"/>
        </w:rPr>
        <w:t xml:space="preserve">Five pigs </w:t>
      </w:r>
      <w:r w:rsidR="008D3F91">
        <w:rPr>
          <w:sz w:val="24"/>
          <w:szCs w:val="24"/>
        </w:rPr>
        <w:t>with</w:t>
      </w:r>
      <w:r w:rsidR="00A90D60">
        <w:rPr>
          <w:sz w:val="24"/>
          <w:szCs w:val="24"/>
        </w:rPr>
        <w:t xml:space="preserve"> an EN score of 4 received </w:t>
      </w:r>
      <w:r w:rsidR="00907DE8">
        <w:rPr>
          <w:sz w:val="24"/>
          <w:szCs w:val="24"/>
        </w:rPr>
        <w:t xml:space="preserve">on average </w:t>
      </w:r>
      <w:r w:rsidR="00A90D60">
        <w:rPr>
          <w:sz w:val="24"/>
          <w:szCs w:val="24"/>
        </w:rPr>
        <w:t xml:space="preserve">the numerical highest number of ear bites pre-weaning. This </w:t>
      </w:r>
      <w:r w:rsidR="000A71AA">
        <w:rPr>
          <w:sz w:val="24"/>
          <w:szCs w:val="24"/>
        </w:rPr>
        <w:t xml:space="preserve">suggests the need for further research with more </w:t>
      </w:r>
      <w:r w:rsidR="00A90D60">
        <w:rPr>
          <w:sz w:val="24"/>
          <w:szCs w:val="24"/>
        </w:rPr>
        <w:t>animals</w:t>
      </w:r>
      <w:r w:rsidR="000A71AA">
        <w:rPr>
          <w:sz w:val="24"/>
          <w:szCs w:val="24"/>
        </w:rPr>
        <w:t xml:space="preserve"> before </w:t>
      </w:r>
      <w:r w:rsidR="00A90D60">
        <w:rPr>
          <w:sz w:val="24"/>
          <w:szCs w:val="24"/>
        </w:rPr>
        <w:t xml:space="preserve">rejecting </w:t>
      </w:r>
      <w:r w:rsidR="000A71AA">
        <w:rPr>
          <w:sz w:val="24"/>
          <w:szCs w:val="24"/>
        </w:rPr>
        <w:t xml:space="preserve">the hypothesised link between ear biting behaviour and EN. </w:t>
      </w:r>
      <w:r w:rsidR="00523F77">
        <w:rPr>
          <w:sz w:val="24"/>
          <w:szCs w:val="24"/>
        </w:rPr>
        <w:t xml:space="preserve">The link between </w:t>
      </w:r>
      <w:r w:rsidR="000431A9">
        <w:rPr>
          <w:sz w:val="24"/>
          <w:szCs w:val="24"/>
        </w:rPr>
        <w:t xml:space="preserve">EN and </w:t>
      </w:r>
      <w:r w:rsidR="00523F77">
        <w:rPr>
          <w:sz w:val="24"/>
          <w:szCs w:val="24"/>
        </w:rPr>
        <w:t xml:space="preserve">higher </w:t>
      </w:r>
      <w:r w:rsidR="000431A9">
        <w:rPr>
          <w:sz w:val="24"/>
          <w:szCs w:val="24"/>
        </w:rPr>
        <w:t>birthweight</w:t>
      </w:r>
      <w:r w:rsidR="00523F77">
        <w:rPr>
          <w:sz w:val="24"/>
          <w:szCs w:val="24"/>
        </w:rPr>
        <w:t>s support</w:t>
      </w:r>
      <w:r w:rsidR="00094905">
        <w:rPr>
          <w:sz w:val="24"/>
          <w:szCs w:val="24"/>
        </w:rPr>
        <w:t xml:space="preserve">s on-farm </w:t>
      </w:r>
      <w:r w:rsidR="00523F77">
        <w:rPr>
          <w:sz w:val="24"/>
          <w:szCs w:val="24"/>
        </w:rPr>
        <w:t xml:space="preserve">findings </w:t>
      </w:r>
      <w:r w:rsidR="00CA0522">
        <w:rPr>
          <w:sz w:val="24"/>
          <w:szCs w:val="24"/>
        </w:rPr>
        <w:t xml:space="preserve">where pigs with higher weaning weights had an increased risk of EN (Busch et al., 2008). Likewise, </w:t>
      </w:r>
      <w:r w:rsidR="008D3F91">
        <w:rPr>
          <w:sz w:val="24"/>
          <w:szCs w:val="24"/>
        </w:rPr>
        <w:t xml:space="preserve">Diana et al. (2019) </w:t>
      </w:r>
      <w:r w:rsidR="00CA0522">
        <w:rPr>
          <w:sz w:val="24"/>
          <w:szCs w:val="24"/>
        </w:rPr>
        <w:t>showed that</w:t>
      </w:r>
      <w:r w:rsidR="00523F77">
        <w:rPr>
          <w:sz w:val="24"/>
          <w:szCs w:val="24"/>
        </w:rPr>
        <w:t xml:space="preserve"> </w:t>
      </w:r>
      <w:r w:rsidR="00CA0522">
        <w:rPr>
          <w:sz w:val="24"/>
          <w:szCs w:val="24"/>
        </w:rPr>
        <w:t xml:space="preserve">the </w:t>
      </w:r>
      <w:r w:rsidR="00523F77">
        <w:rPr>
          <w:sz w:val="24"/>
          <w:szCs w:val="24"/>
        </w:rPr>
        <w:t xml:space="preserve">fastest growing pigs were more likely to </w:t>
      </w:r>
      <w:r w:rsidR="00A90D60">
        <w:rPr>
          <w:sz w:val="24"/>
          <w:szCs w:val="24"/>
        </w:rPr>
        <w:t xml:space="preserve">develop </w:t>
      </w:r>
      <w:r w:rsidR="008D3F91">
        <w:rPr>
          <w:sz w:val="24"/>
          <w:szCs w:val="24"/>
        </w:rPr>
        <w:t>EN</w:t>
      </w:r>
      <w:r w:rsidR="00523F77">
        <w:rPr>
          <w:sz w:val="24"/>
          <w:szCs w:val="24"/>
        </w:rPr>
        <w:t xml:space="preserve">. </w:t>
      </w:r>
      <w:r w:rsidR="000431A9">
        <w:rPr>
          <w:sz w:val="24"/>
          <w:szCs w:val="24"/>
        </w:rPr>
        <w:t xml:space="preserve"> </w:t>
      </w:r>
      <w:r w:rsidR="00523F77">
        <w:rPr>
          <w:sz w:val="24"/>
          <w:szCs w:val="24"/>
        </w:rPr>
        <w:t xml:space="preserve">This suggests the possibility of an imbalance in the biological </w:t>
      </w:r>
      <w:r w:rsidR="005669B7">
        <w:rPr>
          <w:sz w:val="24"/>
          <w:szCs w:val="24"/>
        </w:rPr>
        <w:t>requirements of</w:t>
      </w:r>
      <w:r w:rsidR="00523F77">
        <w:rPr>
          <w:sz w:val="24"/>
          <w:szCs w:val="24"/>
        </w:rPr>
        <w:t xml:space="preserve"> fast growing animals (e.g. nutritional, space etc.). </w:t>
      </w:r>
      <w:r w:rsidR="00623E3A">
        <w:rPr>
          <w:sz w:val="24"/>
          <w:szCs w:val="24"/>
        </w:rPr>
        <w:t xml:space="preserve">Our preliminary findings indicate that further research on early life characteristics would </w:t>
      </w:r>
      <w:r w:rsidR="00094905">
        <w:rPr>
          <w:sz w:val="24"/>
          <w:szCs w:val="24"/>
        </w:rPr>
        <w:t xml:space="preserve">help us </w:t>
      </w:r>
      <w:r w:rsidR="00623E3A">
        <w:rPr>
          <w:sz w:val="24"/>
          <w:szCs w:val="24"/>
        </w:rPr>
        <w:t xml:space="preserve">better understand the </w:t>
      </w:r>
      <w:r w:rsidR="00094905">
        <w:rPr>
          <w:sz w:val="24"/>
          <w:szCs w:val="24"/>
        </w:rPr>
        <w:t xml:space="preserve">role </w:t>
      </w:r>
      <w:r w:rsidR="00623E3A">
        <w:rPr>
          <w:sz w:val="24"/>
          <w:szCs w:val="24"/>
        </w:rPr>
        <w:t xml:space="preserve">of internal, systemic </w:t>
      </w:r>
      <w:r w:rsidR="00094905">
        <w:rPr>
          <w:sz w:val="24"/>
          <w:szCs w:val="24"/>
        </w:rPr>
        <w:t xml:space="preserve">factors </w:t>
      </w:r>
      <w:r w:rsidR="00623E3A">
        <w:rPr>
          <w:sz w:val="24"/>
          <w:szCs w:val="24"/>
        </w:rPr>
        <w:t xml:space="preserve">in EN development. </w:t>
      </w:r>
    </w:p>
    <w:p w14:paraId="399D1685" w14:textId="3DD6CD86" w:rsidR="00805FD1" w:rsidRDefault="00064F60" w:rsidP="00094905">
      <w:pPr>
        <w:jc w:val="both"/>
        <w:rPr>
          <w:sz w:val="24"/>
          <w:szCs w:val="24"/>
        </w:rPr>
      </w:pPr>
      <w:r>
        <w:rPr>
          <w:b/>
          <w:i/>
          <w:sz w:val="24"/>
          <w:szCs w:val="24"/>
        </w:rPr>
        <w:t>Acknowledgements</w:t>
      </w:r>
      <w:r w:rsidR="00A40987" w:rsidRPr="004B4536">
        <w:rPr>
          <w:b/>
          <w:i/>
          <w:sz w:val="24"/>
          <w:szCs w:val="24"/>
        </w:rPr>
        <w:t>:</w:t>
      </w:r>
      <w:r w:rsidR="00A40987">
        <w:rPr>
          <w:b/>
          <w:i/>
          <w:sz w:val="24"/>
          <w:szCs w:val="24"/>
        </w:rPr>
        <w:t xml:space="preserve"> </w:t>
      </w:r>
      <w:r w:rsidR="0057738A" w:rsidRPr="0057738A">
        <w:rPr>
          <w:sz w:val="24"/>
          <w:szCs w:val="24"/>
        </w:rPr>
        <w:t>This work was funded by the Teagasc Walsh Scholarship program (“</w:t>
      </w:r>
      <w:r w:rsidR="0057738A">
        <w:rPr>
          <w:sz w:val="24"/>
          <w:szCs w:val="24"/>
        </w:rPr>
        <w:t>EarWel” ref.:1367</w:t>
      </w:r>
      <w:r w:rsidR="0057738A" w:rsidRPr="0057738A">
        <w:rPr>
          <w:sz w:val="24"/>
          <w:szCs w:val="24"/>
        </w:rPr>
        <w:t>).</w:t>
      </w:r>
    </w:p>
    <w:p w14:paraId="7A8C1534" w14:textId="7004AE23" w:rsidR="00CA0522" w:rsidRPr="0057738A" w:rsidRDefault="00064F60" w:rsidP="00094905">
      <w:pPr>
        <w:pStyle w:val="NoSpacing"/>
        <w:jc w:val="both"/>
        <w:rPr>
          <w:sz w:val="24"/>
          <w:szCs w:val="24"/>
        </w:rPr>
      </w:pPr>
      <w:r w:rsidRPr="0057738A">
        <w:rPr>
          <w:b/>
          <w:i/>
          <w:sz w:val="24"/>
          <w:szCs w:val="24"/>
        </w:rPr>
        <w:t>References:</w:t>
      </w:r>
      <w:r w:rsidR="00CA0522" w:rsidRPr="0057738A">
        <w:rPr>
          <w:b/>
          <w:i/>
          <w:sz w:val="24"/>
          <w:szCs w:val="24"/>
        </w:rPr>
        <w:t xml:space="preserve"> </w:t>
      </w:r>
      <w:r w:rsidR="00CA0522" w:rsidRPr="0057738A">
        <w:rPr>
          <w:sz w:val="24"/>
          <w:szCs w:val="24"/>
        </w:rPr>
        <w:t>Busch, M.E., Dedeurwaerdere, A., and Wachmann, H. 2008. The development and the consequences of ear necrosis in one herd. 20</w:t>
      </w:r>
      <w:r w:rsidR="00CA0522" w:rsidRPr="00094905">
        <w:rPr>
          <w:sz w:val="24"/>
          <w:szCs w:val="24"/>
          <w:vertAlign w:val="superscript"/>
        </w:rPr>
        <w:t>th</w:t>
      </w:r>
      <w:r w:rsidR="00094905">
        <w:rPr>
          <w:sz w:val="24"/>
          <w:szCs w:val="24"/>
        </w:rPr>
        <w:t xml:space="preserve"> </w:t>
      </w:r>
      <w:r w:rsidR="00CA0522" w:rsidRPr="0057738A">
        <w:rPr>
          <w:sz w:val="24"/>
          <w:szCs w:val="24"/>
        </w:rPr>
        <w:t xml:space="preserve">International Pig Veterinary Society Congress, 278.  </w:t>
      </w:r>
    </w:p>
    <w:p w14:paraId="0264A483" w14:textId="6D235EFE" w:rsidR="00C052E6" w:rsidRPr="0026539B" w:rsidRDefault="0057738A" w:rsidP="0026539B">
      <w:pPr>
        <w:rPr>
          <w:sz w:val="24"/>
          <w:szCs w:val="24"/>
        </w:rPr>
      </w:pPr>
      <w:r w:rsidRPr="0026539B">
        <w:rPr>
          <w:sz w:val="24"/>
          <w:szCs w:val="24"/>
        </w:rPr>
        <w:t>Diana, A., Boyle, L.A., Manzanilla, E.G., Leonard, F.C., and Calderon Diaz, J.A. 2019. Ear, tail and skin lesions vary according to different production flows in a farrow-to-finish pig farm. Porcine Health Management, 5(19).</w:t>
      </w:r>
    </w:p>
    <w:p w14:paraId="241D48A9" w14:textId="552255F6" w:rsidR="00F20A21" w:rsidRPr="0008272E" w:rsidRDefault="0008272E">
      <w:pPr>
        <w:rPr>
          <w:rFonts w:cstheme="minorHAnsi"/>
          <w:sz w:val="24"/>
          <w:szCs w:val="24"/>
        </w:rPr>
      </w:pPr>
      <w:r w:rsidRPr="00C052E6">
        <w:rPr>
          <w:b/>
          <w:sz w:val="24"/>
          <w:szCs w:val="24"/>
        </w:rPr>
        <w:lastRenderedPageBreak/>
        <w:t>Table 1.</w:t>
      </w:r>
      <w:r>
        <w:rPr>
          <w:sz w:val="24"/>
          <w:szCs w:val="24"/>
        </w:rPr>
        <w:t xml:space="preserve"> Descriptive data </w:t>
      </w:r>
      <w:r w:rsidR="0023640A">
        <w:rPr>
          <w:sz w:val="24"/>
          <w:szCs w:val="24"/>
        </w:rPr>
        <w:t xml:space="preserve">(mean </w:t>
      </w:r>
      <w:r w:rsidR="0023640A">
        <w:rPr>
          <w:rFonts w:cstheme="minorHAnsi"/>
          <w:sz w:val="24"/>
          <w:szCs w:val="24"/>
        </w:rPr>
        <w:t xml:space="preserve">± SE) </w:t>
      </w:r>
      <w:r>
        <w:rPr>
          <w:sz w:val="24"/>
          <w:szCs w:val="24"/>
        </w:rPr>
        <w:t xml:space="preserve">of </w:t>
      </w:r>
      <w:r w:rsidR="00F20A21">
        <w:rPr>
          <w:sz w:val="24"/>
          <w:szCs w:val="24"/>
        </w:rPr>
        <w:t xml:space="preserve">ear </w:t>
      </w:r>
      <w:r>
        <w:rPr>
          <w:sz w:val="24"/>
          <w:szCs w:val="24"/>
        </w:rPr>
        <w:t xml:space="preserve">biting behaviour </w:t>
      </w:r>
      <w:r w:rsidR="005669B7">
        <w:rPr>
          <w:sz w:val="24"/>
          <w:szCs w:val="24"/>
        </w:rPr>
        <w:t xml:space="preserve">pre-weaning </w:t>
      </w:r>
      <w:r>
        <w:rPr>
          <w:sz w:val="24"/>
          <w:szCs w:val="24"/>
        </w:rPr>
        <w:t xml:space="preserve">and </w:t>
      </w:r>
      <w:r w:rsidR="00907DE8">
        <w:rPr>
          <w:sz w:val="24"/>
          <w:szCs w:val="24"/>
        </w:rPr>
        <w:t xml:space="preserve">early life characteristics and </w:t>
      </w:r>
      <w:r w:rsidRPr="0008272E">
        <w:rPr>
          <w:rFonts w:cstheme="minorHAnsi"/>
          <w:sz w:val="24"/>
          <w:szCs w:val="24"/>
        </w:rPr>
        <w:t xml:space="preserve">ear necrosis </w:t>
      </w:r>
      <w:r w:rsidR="00F20A21">
        <w:rPr>
          <w:rFonts w:cstheme="minorHAnsi"/>
          <w:sz w:val="24"/>
          <w:szCs w:val="24"/>
        </w:rPr>
        <w:t xml:space="preserve">(EN) </w:t>
      </w:r>
      <w:r w:rsidR="005669B7">
        <w:rPr>
          <w:rFonts w:cstheme="minorHAnsi"/>
          <w:sz w:val="24"/>
          <w:szCs w:val="24"/>
        </w:rPr>
        <w:t>development post weaning</w:t>
      </w:r>
      <w:r w:rsidR="00F20A21">
        <w:rPr>
          <w:rFonts w:cstheme="minorHAnsi"/>
          <w:sz w:val="24"/>
          <w:szCs w:val="24"/>
        </w:rPr>
        <w:t>.</w:t>
      </w:r>
    </w:p>
    <w:tbl>
      <w:tblPr>
        <w:tblpPr w:leftFromText="180" w:rightFromText="180" w:vertAnchor="text" w:tblpX="-142"/>
        <w:tblW w:w="10029" w:type="dxa"/>
        <w:shd w:val="clear" w:color="auto" w:fill="FFFFFF"/>
        <w:tblLayout w:type="fixed"/>
        <w:tblCellMar>
          <w:left w:w="0" w:type="dxa"/>
          <w:right w:w="0" w:type="dxa"/>
        </w:tblCellMar>
        <w:tblLook w:val="04A0" w:firstRow="1" w:lastRow="0" w:firstColumn="1" w:lastColumn="0" w:noHBand="0" w:noVBand="1"/>
      </w:tblPr>
      <w:tblGrid>
        <w:gridCol w:w="2694"/>
        <w:gridCol w:w="1581"/>
        <w:gridCol w:w="1432"/>
        <w:gridCol w:w="1432"/>
        <w:gridCol w:w="1432"/>
        <w:gridCol w:w="1435"/>
        <w:gridCol w:w="23"/>
      </w:tblGrid>
      <w:tr w:rsidR="005062E3" w:rsidRPr="0008272E" w14:paraId="0A3627E5" w14:textId="77777777" w:rsidTr="0026539B">
        <w:trPr>
          <w:gridAfter w:val="1"/>
          <w:wAfter w:w="23" w:type="dxa"/>
          <w:trHeight w:val="349"/>
        </w:trPr>
        <w:tc>
          <w:tcPr>
            <w:tcW w:w="2694" w:type="dxa"/>
            <w:tcBorders>
              <w:top w:val="single" w:sz="8" w:space="0" w:color="auto"/>
              <w:left w:val="nil"/>
              <w:right w:val="nil"/>
            </w:tcBorders>
            <w:shd w:val="clear" w:color="auto" w:fill="FFFFFF"/>
            <w:vAlign w:val="center"/>
          </w:tcPr>
          <w:p w14:paraId="7040C912" w14:textId="77777777" w:rsidR="005062E3" w:rsidRDefault="005062E3" w:rsidP="0026539B">
            <w:pPr>
              <w:spacing w:after="0" w:line="240" w:lineRule="auto"/>
              <w:jc w:val="center"/>
              <w:rPr>
                <w:rFonts w:eastAsia="Times New Roman" w:cstheme="minorHAnsi"/>
                <w:sz w:val="24"/>
                <w:szCs w:val="24"/>
                <w:lang w:eastAsia="en-IE"/>
              </w:rPr>
            </w:pPr>
          </w:p>
        </w:tc>
        <w:tc>
          <w:tcPr>
            <w:tcW w:w="7312" w:type="dxa"/>
            <w:gridSpan w:val="5"/>
            <w:tcBorders>
              <w:top w:val="single" w:sz="4" w:space="0" w:color="auto"/>
              <w:left w:val="nil"/>
              <w:bottom w:val="single" w:sz="8" w:space="0" w:color="000000"/>
              <w:right w:val="nil"/>
            </w:tcBorders>
            <w:shd w:val="clear" w:color="auto" w:fill="FFFFFF"/>
            <w:tcMar>
              <w:top w:w="0" w:type="dxa"/>
              <w:left w:w="108" w:type="dxa"/>
              <w:bottom w:w="0" w:type="dxa"/>
              <w:right w:w="108" w:type="dxa"/>
            </w:tcMar>
            <w:vAlign w:val="bottom"/>
          </w:tcPr>
          <w:p w14:paraId="56C8969E" w14:textId="70AC7905" w:rsidR="005062E3" w:rsidRDefault="005062E3" w:rsidP="0026539B">
            <w:pPr>
              <w:shd w:val="clear" w:color="auto" w:fill="FFFFFF"/>
              <w:spacing w:after="0" w:line="240" w:lineRule="auto"/>
              <w:jc w:val="center"/>
              <w:textAlignment w:val="baseline"/>
              <w:rPr>
                <w:rFonts w:eastAsia="Times New Roman" w:cstheme="minorHAnsi"/>
                <w:color w:val="000000"/>
                <w:sz w:val="24"/>
                <w:szCs w:val="24"/>
                <w:bdr w:val="none" w:sz="0" w:space="0" w:color="auto" w:frame="1"/>
                <w:lang w:eastAsia="en-IE"/>
              </w:rPr>
            </w:pPr>
            <w:r>
              <w:rPr>
                <w:rFonts w:eastAsia="Times New Roman" w:cstheme="minorHAnsi"/>
                <w:sz w:val="24"/>
                <w:szCs w:val="24"/>
                <w:lang w:eastAsia="en-IE"/>
              </w:rPr>
              <w:t>Maximum EN score</w:t>
            </w:r>
          </w:p>
        </w:tc>
      </w:tr>
      <w:tr w:rsidR="005062E3" w:rsidRPr="0008272E" w14:paraId="0261CFD5" w14:textId="77777777" w:rsidTr="0026539B">
        <w:trPr>
          <w:trHeight w:val="349"/>
        </w:trPr>
        <w:tc>
          <w:tcPr>
            <w:tcW w:w="2694" w:type="dxa"/>
            <w:vMerge w:val="restart"/>
            <w:tcBorders>
              <w:left w:val="nil"/>
              <w:bottom w:val="single" w:sz="8" w:space="0" w:color="000000"/>
              <w:right w:val="nil"/>
            </w:tcBorders>
            <w:shd w:val="clear" w:color="auto" w:fill="FFFFFF"/>
            <w:vAlign w:val="center"/>
            <w:hideMark/>
          </w:tcPr>
          <w:p w14:paraId="6F09F43A" w14:textId="793D04E8" w:rsidR="005062E3" w:rsidRPr="0008272E" w:rsidRDefault="005062E3" w:rsidP="0026539B">
            <w:pPr>
              <w:spacing w:after="0" w:line="240" w:lineRule="auto"/>
              <w:jc w:val="center"/>
              <w:rPr>
                <w:rFonts w:eastAsia="Times New Roman" w:cstheme="minorHAnsi"/>
                <w:sz w:val="24"/>
                <w:szCs w:val="24"/>
                <w:lang w:eastAsia="en-IE"/>
              </w:rPr>
            </w:pPr>
            <w:r>
              <w:rPr>
                <w:rFonts w:eastAsia="Times New Roman" w:cstheme="minorHAnsi"/>
                <w:sz w:val="24"/>
                <w:szCs w:val="24"/>
                <w:lang w:eastAsia="en-IE"/>
              </w:rPr>
              <w:t>Variable</w:t>
            </w:r>
          </w:p>
        </w:tc>
        <w:tc>
          <w:tcPr>
            <w:tcW w:w="1581" w:type="dxa"/>
            <w:vMerge w:val="restart"/>
            <w:tcBorders>
              <w:top w:val="nil"/>
              <w:left w:val="nil"/>
              <w:bottom w:val="single" w:sz="8" w:space="0" w:color="000000"/>
              <w:right w:val="nil"/>
            </w:tcBorders>
            <w:shd w:val="clear" w:color="auto" w:fill="FFFFFF"/>
            <w:tcMar>
              <w:top w:w="0" w:type="dxa"/>
              <w:left w:w="108" w:type="dxa"/>
              <w:bottom w:w="0" w:type="dxa"/>
              <w:right w:w="108" w:type="dxa"/>
            </w:tcMar>
            <w:vAlign w:val="bottom"/>
            <w:hideMark/>
          </w:tcPr>
          <w:p w14:paraId="6BEB3EDE" w14:textId="1BAD2547"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sz w:val="24"/>
                <w:szCs w:val="24"/>
                <w:lang w:eastAsia="en-IE"/>
              </w:rPr>
              <w:t>0</w:t>
            </w:r>
          </w:p>
        </w:tc>
        <w:tc>
          <w:tcPr>
            <w:tcW w:w="1432" w:type="dxa"/>
            <w:vMerge w:val="restart"/>
            <w:tcBorders>
              <w:top w:val="nil"/>
              <w:left w:val="nil"/>
              <w:bottom w:val="single" w:sz="8" w:space="0" w:color="000000"/>
              <w:right w:val="nil"/>
            </w:tcBorders>
            <w:shd w:val="clear" w:color="auto" w:fill="FFFFFF"/>
            <w:tcMar>
              <w:top w:w="0" w:type="dxa"/>
              <w:left w:w="108" w:type="dxa"/>
              <w:bottom w:w="0" w:type="dxa"/>
              <w:right w:w="108" w:type="dxa"/>
            </w:tcMar>
            <w:vAlign w:val="bottom"/>
            <w:hideMark/>
          </w:tcPr>
          <w:p w14:paraId="3AD7B6C5" w14:textId="181A1E90"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w:t>
            </w:r>
          </w:p>
        </w:tc>
        <w:tc>
          <w:tcPr>
            <w:tcW w:w="1432" w:type="dxa"/>
            <w:vMerge w:val="restart"/>
            <w:tcBorders>
              <w:top w:val="nil"/>
              <w:left w:val="nil"/>
              <w:bottom w:val="single" w:sz="8" w:space="0" w:color="000000"/>
              <w:right w:val="nil"/>
            </w:tcBorders>
            <w:shd w:val="clear" w:color="auto" w:fill="FFFFFF"/>
            <w:tcMar>
              <w:top w:w="0" w:type="dxa"/>
              <w:left w:w="108" w:type="dxa"/>
              <w:bottom w:w="0" w:type="dxa"/>
              <w:right w:w="108" w:type="dxa"/>
            </w:tcMar>
            <w:vAlign w:val="bottom"/>
            <w:hideMark/>
          </w:tcPr>
          <w:p w14:paraId="008B819B" w14:textId="25969BA0"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2</w:t>
            </w:r>
          </w:p>
        </w:tc>
        <w:tc>
          <w:tcPr>
            <w:tcW w:w="1432" w:type="dxa"/>
            <w:vMerge w:val="restart"/>
            <w:tcBorders>
              <w:top w:val="nil"/>
              <w:left w:val="nil"/>
              <w:bottom w:val="single" w:sz="8" w:space="0" w:color="000000"/>
              <w:right w:val="nil"/>
            </w:tcBorders>
            <w:shd w:val="clear" w:color="auto" w:fill="FFFFFF"/>
            <w:tcMar>
              <w:top w:w="0" w:type="dxa"/>
              <w:left w:w="108" w:type="dxa"/>
              <w:bottom w:w="0" w:type="dxa"/>
              <w:right w:w="108" w:type="dxa"/>
            </w:tcMar>
            <w:vAlign w:val="bottom"/>
            <w:hideMark/>
          </w:tcPr>
          <w:p w14:paraId="02F7C937" w14:textId="41EA7095"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3</w:t>
            </w:r>
          </w:p>
        </w:tc>
        <w:tc>
          <w:tcPr>
            <w:tcW w:w="1435" w:type="dxa"/>
            <w:vMerge w:val="restart"/>
            <w:tcBorders>
              <w:top w:val="nil"/>
              <w:left w:val="nil"/>
              <w:bottom w:val="single" w:sz="8" w:space="0" w:color="000000"/>
              <w:right w:val="nil"/>
            </w:tcBorders>
            <w:shd w:val="clear" w:color="auto" w:fill="FFFFFF"/>
            <w:tcMar>
              <w:top w:w="0" w:type="dxa"/>
              <w:left w:w="108" w:type="dxa"/>
              <w:bottom w:w="0" w:type="dxa"/>
              <w:right w:w="108" w:type="dxa"/>
            </w:tcMar>
            <w:vAlign w:val="bottom"/>
            <w:hideMark/>
          </w:tcPr>
          <w:p w14:paraId="76EEF568" w14:textId="1626FC3C"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4</w:t>
            </w:r>
          </w:p>
        </w:tc>
        <w:tc>
          <w:tcPr>
            <w:tcW w:w="23" w:type="dxa"/>
            <w:tcBorders>
              <w:top w:val="nil"/>
              <w:left w:val="nil"/>
              <w:bottom w:val="nil"/>
              <w:right w:val="nil"/>
            </w:tcBorders>
            <w:shd w:val="clear" w:color="auto" w:fill="FFFFFF"/>
            <w:vAlign w:val="center"/>
            <w:hideMark/>
          </w:tcPr>
          <w:p w14:paraId="24238995" w14:textId="77777777" w:rsidR="005062E3" w:rsidRPr="0008272E" w:rsidRDefault="005062E3" w:rsidP="0026539B">
            <w:pPr>
              <w:spacing w:after="0" w:line="240" w:lineRule="auto"/>
              <w:rPr>
                <w:rFonts w:eastAsia="Times New Roman" w:cstheme="minorHAnsi"/>
                <w:sz w:val="24"/>
                <w:szCs w:val="24"/>
                <w:lang w:eastAsia="en-IE"/>
              </w:rPr>
            </w:pPr>
          </w:p>
        </w:tc>
      </w:tr>
      <w:tr w:rsidR="005062E3" w:rsidRPr="0008272E" w14:paraId="2274A5CC" w14:textId="77777777" w:rsidTr="0026539B">
        <w:trPr>
          <w:trHeight w:val="55"/>
        </w:trPr>
        <w:tc>
          <w:tcPr>
            <w:tcW w:w="2694" w:type="dxa"/>
            <w:vMerge/>
            <w:tcBorders>
              <w:top w:val="single" w:sz="8" w:space="0" w:color="auto"/>
              <w:left w:val="nil"/>
              <w:bottom w:val="single" w:sz="8" w:space="0" w:color="000000"/>
              <w:right w:val="nil"/>
            </w:tcBorders>
            <w:shd w:val="clear" w:color="auto" w:fill="FFFFFF"/>
            <w:vAlign w:val="center"/>
            <w:hideMark/>
          </w:tcPr>
          <w:p w14:paraId="7D6EC26A" w14:textId="77777777" w:rsidR="005062E3" w:rsidRPr="0008272E" w:rsidRDefault="005062E3" w:rsidP="0026539B">
            <w:pPr>
              <w:spacing w:after="0" w:line="240" w:lineRule="auto"/>
              <w:rPr>
                <w:rFonts w:eastAsia="Times New Roman" w:cstheme="minorHAnsi"/>
                <w:sz w:val="24"/>
                <w:szCs w:val="24"/>
                <w:lang w:eastAsia="en-IE"/>
              </w:rPr>
            </w:pPr>
          </w:p>
        </w:tc>
        <w:tc>
          <w:tcPr>
            <w:tcW w:w="1581" w:type="dxa"/>
            <w:vMerge/>
            <w:tcBorders>
              <w:top w:val="nil"/>
              <w:left w:val="nil"/>
              <w:bottom w:val="single" w:sz="8" w:space="0" w:color="000000"/>
              <w:right w:val="nil"/>
            </w:tcBorders>
            <w:shd w:val="clear" w:color="auto" w:fill="FFFFFF"/>
            <w:vAlign w:val="center"/>
            <w:hideMark/>
          </w:tcPr>
          <w:p w14:paraId="1D256AE0" w14:textId="77777777" w:rsidR="005062E3" w:rsidRPr="0008272E" w:rsidRDefault="005062E3" w:rsidP="0026539B">
            <w:pPr>
              <w:spacing w:after="0" w:line="240" w:lineRule="auto"/>
              <w:rPr>
                <w:rFonts w:eastAsia="Times New Roman" w:cstheme="minorHAnsi"/>
                <w:sz w:val="24"/>
                <w:szCs w:val="24"/>
                <w:lang w:eastAsia="en-IE"/>
              </w:rPr>
            </w:pPr>
          </w:p>
        </w:tc>
        <w:tc>
          <w:tcPr>
            <w:tcW w:w="1432" w:type="dxa"/>
            <w:vMerge/>
            <w:tcBorders>
              <w:top w:val="nil"/>
              <w:left w:val="nil"/>
              <w:bottom w:val="single" w:sz="8" w:space="0" w:color="000000"/>
              <w:right w:val="nil"/>
            </w:tcBorders>
            <w:shd w:val="clear" w:color="auto" w:fill="FFFFFF"/>
            <w:vAlign w:val="center"/>
            <w:hideMark/>
          </w:tcPr>
          <w:p w14:paraId="3F81E26D" w14:textId="77777777" w:rsidR="005062E3" w:rsidRPr="0008272E" w:rsidRDefault="005062E3" w:rsidP="0026539B">
            <w:pPr>
              <w:spacing w:after="0" w:line="240" w:lineRule="auto"/>
              <w:rPr>
                <w:rFonts w:eastAsia="Times New Roman" w:cstheme="minorHAnsi"/>
                <w:sz w:val="24"/>
                <w:szCs w:val="24"/>
                <w:lang w:eastAsia="en-IE"/>
              </w:rPr>
            </w:pPr>
          </w:p>
        </w:tc>
        <w:tc>
          <w:tcPr>
            <w:tcW w:w="1432" w:type="dxa"/>
            <w:vMerge/>
            <w:tcBorders>
              <w:top w:val="nil"/>
              <w:left w:val="nil"/>
              <w:bottom w:val="single" w:sz="8" w:space="0" w:color="000000"/>
              <w:right w:val="nil"/>
            </w:tcBorders>
            <w:shd w:val="clear" w:color="auto" w:fill="FFFFFF"/>
            <w:vAlign w:val="center"/>
            <w:hideMark/>
          </w:tcPr>
          <w:p w14:paraId="74D83B46" w14:textId="77777777" w:rsidR="005062E3" w:rsidRPr="0008272E" w:rsidRDefault="005062E3" w:rsidP="0026539B">
            <w:pPr>
              <w:spacing w:after="0" w:line="240" w:lineRule="auto"/>
              <w:rPr>
                <w:rFonts w:eastAsia="Times New Roman" w:cstheme="minorHAnsi"/>
                <w:sz w:val="24"/>
                <w:szCs w:val="24"/>
                <w:lang w:eastAsia="en-IE"/>
              </w:rPr>
            </w:pPr>
          </w:p>
        </w:tc>
        <w:tc>
          <w:tcPr>
            <w:tcW w:w="1432" w:type="dxa"/>
            <w:vMerge/>
            <w:tcBorders>
              <w:top w:val="nil"/>
              <w:left w:val="nil"/>
              <w:bottom w:val="single" w:sz="8" w:space="0" w:color="000000"/>
              <w:right w:val="nil"/>
            </w:tcBorders>
            <w:shd w:val="clear" w:color="auto" w:fill="FFFFFF"/>
            <w:vAlign w:val="center"/>
            <w:hideMark/>
          </w:tcPr>
          <w:p w14:paraId="2666D7CE" w14:textId="77777777" w:rsidR="005062E3" w:rsidRPr="0008272E" w:rsidRDefault="005062E3" w:rsidP="0026539B">
            <w:pPr>
              <w:spacing w:after="0" w:line="240" w:lineRule="auto"/>
              <w:rPr>
                <w:rFonts w:eastAsia="Times New Roman" w:cstheme="minorHAnsi"/>
                <w:sz w:val="24"/>
                <w:szCs w:val="24"/>
                <w:lang w:eastAsia="en-IE"/>
              </w:rPr>
            </w:pPr>
          </w:p>
        </w:tc>
        <w:tc>
          <w:tcPr>
            <w:tcW w:w="1435" w:type="dxa"/>
            <w:vMerge/>
            <w:tcBorders>
              <w:top w:val="nil"/>
              <w:left w:val="nil"/>
              <w:bottom w:val="single" w:sz="8" w:space="0" w:color="000000"/>
              <w:right w:val="nil"/>
            </w:tcBorders>
            <w:shd w:val="clear" w:color="auto" w:fill="FFFFFF"/>
            <w:vAlign w:val="center"/>
            <w:hideMark/>
          </w:tcPr>
          <w:p w14:paraId="5271B88D" w14:textId="77777777" w:rsidR="005062E3" w:rsidRPr="0008272E" w:rsidRDefault="005062E3" w:rsidP="0026539B">
            <w:pPr>
              <w:spacing w:after="0" w:line="240" w:lineRule="auto"/>
              <w:rPr>
                <w:rFonts w:eastAsia="Times New Roman" w:cstheme="minorHAnsi"/>
                <w:sz w:val="24"/>
                <w:szCs w:val="24"/>
                <w:lang w:eastAsia="en-IE"/>
              </w:rPr>
            </w:pPr>
          </w:p>
        </w:tc>
        <w:tc>
          <w:tcPr>
            <w:tcW w:w="23" w:type="dxa"/>
            <w:tcBorders>
              <w:top w:val="nil"/>
              <w:left w:val="nil"/>
              <w:bottom w:val="nil"/>
              <w:right w:val="nil"/>
            </w:tcBorders>
            <w:shd w:val="clear" w:color="auto" w:fill="FFFFFF"/>
            <w:vAlign w:val="center"/>
            <w:hideMark/>
          </w:tcPr>
          <w:p w14:paraId="601F0E4E" w14:textId="77777777" w:rsidR="005062E3" w:rsidRPr="0008272E" w:rsidRDefault="005062E3" w:rsidP="0026539B">
            <w:pPr>
              <w:spacing w:after="0" w:line="240" w:lineRule="auto"/>
              <w:rPr>
                <w:rFonts w:eastAsia="Times New Roman" w:cstheme="minorHAnsi"/>
                <w:sz w:val="24"/>
                <w:szCs w:val="24"/>
                <w:lang w:eastAsia="en-IE"/>
              </w:rPr>
            </w:pPr>
          </w:p>
        </w:tc>
      </w:tr>
      <w:tr w:rsidR="005062E3" w:rsidRPr="0008272E" w14:paraId="1116C073" w14:textId="77777777" w:rsidTr="0026539B">
        <w:trPr>
          <w:trHeight w:val="479"/>
        </w:trPr>
        <w:tc>
          <w:tcPr>
            <w:tcW w:w="2694" w:type="dxa"/>
            <w:shd w:val="clear" w:color="auto" w:fill="FFFFFF"/>
            <w:tcMar>
              <w:top w:w="0" w:type="dxa"/>
              <w:left w:w="108" w:type="dxa"/>
              <w:bottom w:w="0" w:type="dxa"/>
              <w:right w:w="108" w:type="dxa"/>
            </w:tcMar>
            <w:vAlign w:val="bottom"/>
            <w:hideMark/>
          </w:tcPr>
          <w:p w14:paraId="70094651" w14:textId="2CE06EF6" w:rsidR="005062E3" w:rsidRPr="0008272E" w:rsidRDefault="005062E3" w:rsidP="0026539B">
            <w:pPr>
              <w:shd w:val="clear" w:color="auto" w:fill="FFFFFF"/>
              <w:spacing w:after="0" w:line="240" w:lineRule="auto"/>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Pigs (no., %)</w:t>
            </w:r>
          </w:p>
        </w:tc>
        <w:tc>
          <w:tcPr>
            <w:tcW w:w="1581" w:type="dxa"/>
            <w:shd w:val="clear" w:color="auto" w:fill="FFFFFF"/>
            <w:tcMar>
              <w:top w:w="0" w:type="dxa"/>
              <w:left w:w="108" w:type="dxa"/>
              <w:bottom w:w="0" w:type="dxa"/>
              <w:right w:w="108" w:type="dxa"/>
            </w:tcMar>
            <w:vAlign w:val="center"/>
            <w:hideMark/>
          </w:tcPr>
          <w:p w14:paraId="2EDB8F02" w14:textId="76EC92B7"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57 (41.30)</w:t>
            </w:r>
          </w:p>
        </w:tc>
        <w:tc>
          <w:tcPr>
            <w:tcW w:w="1432" w:type="dxa"/>
            <w:shd w:val="clear" w:color="auto" w:fill="FFFFFF"/>
            <w:tcMar>
              <w:top w:w="0" w:type="dxa"/>
              <w:left w:w="108" w:type="dxa"/>
              <w:bottom w:w="0" w:type="dxa"/>
              <w:right w:w="108" w:type="dxa"/>
            </w:tcMar>
            <w:vAlign w:val="center"/>
            <w:hideMark/>
          </w:tcPr>
          <w:p w14:paraId="380A03B0" w14:textId="782CE490"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43 (31.16)</w:t>
            </w:r>
          </w:p>
        </w:tc>
        <w:tc>
          <w:tcPr>
            <w:tcW w:w="1432" w:type="dxa"/>
            <w:shd w:val="clear" w:color="auto" w:fill="FFFFFF"/>
            <w:tcMar>
              <w:top w:w="0" w:type="dxa"/>
              <w:left w:w="108" w:type="dxa"/>
              <w:bottom w:w="0" w:type="dxa"/>
              <w:right w:w="108" w:type="dxa"/>
            </w:tcMar>
            <w:vAlign w:val="center"/>
            <w:hideMark/>
          </w:tcPr>
          <w:p w14:paraId="733C471C" w14:textId="7CFA388B"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15 (10.87)</w:t>
            </w:r>
          </w:p>
        </w:tc>
        <w:tc>
          <w:tcPr>
            <w:tcW w:w="1432" w:type="dxa"/>
            <w:shd w:val="clear" w:color="auto" w:fill="FFFFFF"/>
            <w:tcMar>
              <w:top w:w="0" w:type="dxa"/>
              <w:left w:w="108" w:type="dxa"/>
              <w:bottom w:w="0" w:type="dxa"/>
              <w:right w:w="108" w:type="dxa"/>
            </w:tcMar>
            <w:vAlign w:val="center"/>
            <w:hideMark/>
          </w:tcPr>
          <w:p w14:paraId="6A80E4A5" w14:textId="59258B50"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18 (13.04)</w:t>
            </w:r>
          </w:p>
        </w:tc>
        <w:tc>
          <w:tcPr>
            <w:tcW w:w="1435" w:type="dxa"/>
            <w:shd w:val="clear" w:color="auto" w:fill="FFFFFF"/>
            <w:tcMar>
              <w:top w:w="0" w:type="dxa"/>
              <w:left w:w="108" w:type="dxa"/>
              <w:bottom w:w="0" w:type="dxa"/>
              <w:right w:w="108" w:type="dxa"/>
            </w:tcMar>
            <w:vAlign w:val="center"/>
            <w:hideMark/>
          </w:tcPr>
          <w:p w14:paraId="6DD0884C" w14:textId="63BD2EF0"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5 (3.62)</w:t>
            </w:r>
          </w:p>
        </w:tc>
        <w:tc>
          <w:tcPr>
            <w:tcW w:w="23" w:type="dxa"/>
            <w:tcBorders>
              <w:top w:val="nil"/>
              <w:left w:val="nil"/>
              <w:bottom w:val="nil"/>
              <w:right w:val="nil"/>
            </w:tcBorders>
            <w:shd w:val="clear" w:color="auto" w:fill="FFFFFF"/>
            <w:vAlign w:val="center"/>
            <w:hideMark/>
          </w:tcPr>
          <w:p w14:paraId="7AEA7EFE" w14:textId="77777777" w:rsidR="005062E3" w:rsidRPr="0008272E" w:rsidRDefault="005062E3" w:rsidP="0026539B">
            <w:pPr>
              <w:spacing w:after="0" w:line="240" w:lineRule="auto"/>
              <w:rPr>
                <w:rFonts w:eastAsia="Times New Roman" w:cstheme="minorHAnsi"/>
                <w:sz w:val="24"/>
                <w:szCs w:val="24"/>
                <w:lang w:eastAsia="en-IE"/>
              </w:rPr>
            </w:pPr>
          </w:p>
        </w:tc>
      </w:tr>
      <w:tr w:rsidR="005062E3" w:rsidRPr="0008272E" w14:paraId="7D2A06E9" w14:textId="77777777" w:rsidTr="0026539B">
        <w:trPr>
          <w:trHeight w:val="479"/>
        </w:trPr>
        <w:tc>
          <w:tcPr>
            <w:tcW w:w="2694" w:type="dxa"/>
            <w:shd w:val="clear" w:color="auto" w:fill="FFFFFF"/>
            <w:tcMar>
              <w:top w:w="0" w:type="dxa"/>
              <w:left w:w="108" w:type="dxa"/>
              <w:bottom w:w="0" w:type="dxa"/>
              <w:right w:w="108" w:type="dxa"/>
            </w:tcMar>
            <w:vAlign w:val="bottom"/>
            <w:hideMark/>
          </w:tcPr>
          <w:p w14:paraId="30E1BE17" w14:textId="2148A0C0" w:rsidR="005062E3" w:rsidRPr="0008272E" w:rsidRDefault="005062E3" w:rsidP="0026539B">
            <w:pPr>
              <w:shd w:val="clear" w:color="auto" w:fill="FFFFFF"/>
              <w:spacing w:after="0" w:line="240" w:lineRule="auto"/>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Ear bites/3 min obs (no.)</w:t>
            </w:r>
          </w:p>
        </w:tc>
        <w:tc>
          <w:tcPr>
            <w:tcW w:w="1581" w:type="dxa"/>
            <w:shd w:val="clear" w:color="auto" w:fill="FFFFFF"/>
            <w:tcMar>
              <w:top w:w="0" w:type="dxa"/>
              <w:left w:w="108" w:type="dxa"/>
              <w:bottom w:w="0" w:type="dxa"/>
              <w:right w:w="108" w:type="dxa"/>
            </w:tcMar>
            <w:vAlign w:val="center"/>
            <w:hideMark/>
          </w:tcPr>
          <w:p w14:paraId="5F4648AD" w14:textId="226B530E"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0.39</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0.39</w:t>
            </w:r>
          </w:p>
        </w:tc>
        <w:tc>
          <w:tcPr>
            <w:tcW w:w="1432" w:type="dxa"/>
            <w:shd w:val="clear" w:color="auto" w:fill="FFFFFF"/>
            <w:tcMar>
              <w:top w:w="0" w:type="dxa"/>
              <w:left w:w="108" w:type="dxa"/>
              <w:bottom w:w="0" w:type="dxa"/>
              <w:right w:w="108" w:type="dxa"/>
            </w:tcMar>
            <w:vAlign w:val="center"/>
            <w:hideMark/>
          </w:tcPr>
          <w:p w14:paraId="265F0A43" w14:textId="37B94E52"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0.32</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0.42</w:t>
            </w:r>
          </w:p>
        </w:tc>
        <w:tc>
          <w:tcPr>
            <w:tcW w:w="1432" w:type="dxa"/>
            <w:shd w:val="clear" w:color="auto" w:fill="FFFFFF"/>
            <w:tcMar>
              <w:top w:w="0" w:type="dxa"/>
              <w:left w:w="108" w:type="dxa"/>
              <w:bottom w:w="0" w:type="dxa"/>
              <w:right w:w="108" w:type="dxa"/>
            </w:tcMar>
            <w:vAlign w:val="center"/>
            <w:hideMark/>
          </w:tcPr>
          <w:p w14:paraId="27197805" w14:textId="1F48E693"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0.37</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0.30</w:t>
            </w:r>
          </w:p>
        </w:tc>
        <w:tc>
          <w:tcPr>
            <w:tcW w:w="1432" w:type="dxa"/>
            <w:shd w:val="clear" w:color="auto" w:fill="FFFFFF"/>
            <w:tcMar>
              <w:top w:w="0" w:type="dxa"/>
              <w:left w:w="108" w:type="dxa"/>
              <w:bottom w:w="0" w:type="dxa"/>
              <w:right w:w="108" w:type="dxa"/>
            </w:tcMar>
            <w:vAlign w:val="center"/>
            <w:hideMark/>
          </w:tcPr>
          <w:p w14:paraId="171E1CD4" w14:textId="430FA43F"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0.34</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0.29</w:t>
            </w:r>
          </w:p>
        </w:tc>
        <w:tc>
          <w:tcPr>
            <w:tcW w:w="1435" w:type="dxa"/>
            <w:shd w:val="clear" w:color="auto" w:fill="FFFFFF"/>
            <w:tcMar>
              <w:top w:w="0" w:type="dxa"/>
              <w:left w:w="108" w:type="dxa"/>
              <w:bottom w:w="0" w:type="dxa"/>
              <w:right w:w="108" w:type="dxa"/>
            </w:tcMar>
            <w:vAlign w:val="center"/>
            <w:hideMark/>
          </w:tcPr>
          <w:p w14:paraId="7944AFA7" w14:textId="78BA2F0D"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0.50</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0.16</w:t>
            </w:r>
          </w:p>
        </w:tc>
        <w:tc>
          <w:tcPr>
            <w:tcW w:w="23" w:type="dxa"/>
            <w:tcBorders>
              <w:top w:val="nil"/>
              <w:left w:val="nil"/>
              <w:bottom w:val="nil"/>
              <w:right w:val="nil"/>
            </w:tcBorders>
            <w:shd w:val="clear" w:color="auto" w:fill="FFFFFF"/>
            <w:vAlign w:val="center"/>
            <w:hideMark/>
          </w:tcPr>
          <w:p w14:paraId="28310F70" w14:textId="77777777" w:rsidR="005062E3" w:rsidRPr="0008272E" w:rsidRDefault="005062E3" w:rsidP="0026539B">
            <w:pPr>
              <w:spacing w:after="0" w:line="240" w:lineRule="auto"/>
              <w:rPr>
                <w:rFonts w:eastAsia="Times New Roman" w:cstheme="minorHAnsi"/>
                <w:sz w:val="24"/>
                <w:szCs w:val="24"/>
                <w:lang w:eastAsia="en-IE"/>
              </w:rPr>
            </w:pPr>
          </w:p>
        </w:tc>
      </w:tr>
      <w:tr w:rsidR="005062E3" w:rsidRPr="0008272E" w14:paraId="446577D7" w14:textId="77777777" w:rsidTr="0026539B">
        <w:trPr>
          <w:trHeight w:val="479"/>
        </w:trPr>
        <w:tc>
          <w:tcPr>
            <w:tcW w:w="2694" w:type="dxa"/>
            <w:shd w:val="clear" w:color="auto" w:fill="FFFFFF"/>
            <w:tcMar>
              <w:top w:w="0" w:type="dxa"/>
              <w:left w:w="108" w:type="dxa"/>
              <w:bottom w:w="0" w:type="dxa"/>
              <w:right w:w="108" w:type="dxa"/>
            </w:tcMar>
            <w:vAlign w:val="bottom"/>
          </w:tcPr>
          <w:p w14:paraId="505826EF" w14:textId="1741C74B" w:rsidR="005062E3" w:rsidRPr="0008272E" w:rsidRDefault="005062E3" w:rsidP="0026539B">
            <w:pPr>
              <w:shd w:val="clear" w:color="auto" w:fill="FFFFFF"/>
              <w:spacing w:after="0" w:line="240" w:lineRule="auto"/>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Birthweight, kg</w:t>
            </w:r>
          </w:p>
        </w:tc>
        <w:tc>
          <w:tcPr>
            <w:tcW w:w="1581" w:type="dxa"/>
            <w:shd w:val="clear" w:color="auto" w:fill="FFFFFF"/>
            <w:tcMar>
              <w:top w:w="0" w:type="dxa"/>
              <w:left w:w="108" w:type="dxa"/>
              <w:bottom w:w="0" w:type="dxa"/>
              <w:right w:w="108" w:type="dxa"/>
            </w:tcMar>
            <w:vAlign w:val="center"/>
          </w:tcPr>
          <w:p w14:paraId="60DA7644" w14:textId="5122C1E3"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1.44</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0.29</w:t>
            </w:r>
          </w:p>
        </w:tc>
        <w:tc>
          <w:tcPr>
            <w:tcW w:w="1432" w:type="dxa"/>
            <w:shd w:val="clear" w:color="auto" w:fill="FFFFFF"/>
            <w:tcMar>
              <w:top w:w="0" w:type="dxa"/>
              <w:left w:w="108" w:type="dxa"/>
              <w:bottom w:w="0" w:type="dxa"/>
              <w:right w:w="108" w:type="dxa"/>
            </w:tcMar>
            <w:vAlign w:val="center"/>
          </w:tcPr>
          <w:p w14:paraId="37F7E792" w14:textId="65CBE71F"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1.54</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0.29</w:t>
            </w:r>
          </w:p>
        </w:tc>
        <w:tc>
          <w:tcPr>
            <w:tcW w:w="1432" w:type="dxa"/>
            <w:shd w:val="clear" w:color="auto" w:fill="FFFFFF"/>
            <w:tcMar>
              <w:top w:w="0" w:type="dxa"/>
              <w:left w:w="108" w:type="dxa"/>
              <w:bottom w:w="0" w:type="dxa"/>
              <w:right w:w="108" w:type="dxa"/>
            </w:tcMar>
            <w:vAlign w:val="center"/>
          </w:tcPr>
          <w:p w14:paraId="3C7B8FDA" w14:textId="3C347FB5"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1.58</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0.35</w:t>
            </w:r>
          </w:p>
        </w:tc>
        <w:tc>
          <w:tcPr>
            <w:tcW w:w="1432" w:type="dxa"/>
            <w:shd w:val="clear" w:color="auto" w:fill="FFFFFF"/>
            <w:tcMar>
              <w:top w:w="0" w:type="dxa"/>
              <w:left w:w="108" w:type="dxa"/>
              <w:bottom w:w="0" w:type="dxa"/>
              <w:right w:w="108" w:type="dxa"/>
            </w:tcMar>
            <w:vAlign w:val="center"/>
          </w:tcPr>
          <w:p w14:paraId="6B4A606E" w14:textId="110AA09B"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1.62</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0.29</w:t>
            </w:r>
          </w:p>
        </w:tc>
        <w:tc>
          <w:tcPr>
            <w:tcW w:w="1435" w:type="dxa"/>
            <w:shd w:val="clear" w:color="auto" w:fill="FFFFFF"/>
            <w:tcMar>
              <w:top w:w="0" w:type="dxa"/>
              <w:left w:w="108" w:type="dxa"/>
              <w:bottom w:w="0" w:type="dxa"/>
              <w:right w:w="108" w:type="dxa"/>
            </w:tcMar>
            <w:vAlign w:val="center"/>
          </w:tcPr>
          <w:p w14:paraId="1F624BAE" w14:textId="41BE6E7F"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1.54</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0.39</w:t>
            </w:r>
          </w:p>
        </w:tc>
        <w:tc>
          <w:tcPr>
            <w:tcW w:w="23" w:type="dxa"/>
            <w:tcBorders>
              <w:top w:val="nil"/>
              <w:left w:val="nil"/>
              <w:bottom w:val="nil"/>
              <w:right w:val="nil"/>
            </w:tcBorders>
            <w:shd w:val="clear" w:color="auto" w:fill="FFFFFF"/>
            <w:vAlign w:val="center"/>
            <w:hideMark/>
          </w:tcPr>
          <w:p w14:paraId="2E09AE03" w14:textId="77777777" w:rsidR="005062E3" w:rsidRPr="0008272E" w:rsidRDefault="005062E3" w:rsidP="0026539B">
            <w:pPr>
              <w:spacing w:after="0" w:line="240" w:lineRule="auto"/>
              <w:rPr>
                <w:rFonts w:eastAsia="Times New Roman" w:cstheme="minorHAnsi"/>
                <w:sz w:val="24"/>
                <w:szCs w:val="24"/>
                <w:lang w:eastAsia="en-IE"/>
              </w:rPr>
            </w:pPr>
          </w:p>
        </w:tc>
      </w:tr>
      <w:tr w:rsidR="005062E3" w:rsidRPr="0008272E" w14:paraId="2E59F0D6" w14:textId="77777777" w:rsidTr="0026539B">
        <w:trPr>
          <w:trHeight w:val="479"/>
        </w:trPr>
        <w:tc>
          <w:tcPr>
            <w:tcW w:w="2694" w:type="dxa"/>
            <w:tcBorders>
              <w:top w:val="nil"/>
              <w:left w:val="nil"/>
              <w:bottom w:val="single" w:sz="8" w:space="0" w:color="auto"/>
              <w:right w:val="nil"/>
            </w:tcBorders>
            <w:shd w:val="clear" w:color="auto" w:fill="FFFFFF"/>
            <w:tcMar>
              <w:top w:w="0" w:type="dxa"/>
              <w:left w:w="108" w:type="dxa"/>
              <w:bottom w:w="0" w:type="dxa"/>
              <w:right w:w="108" w:type="dxa"/>
            </w:tcMar>
            <w:vAlign w:val="bottom"/>
          </w:tcPr>
          <w:p w14:paraId="03B34947" w14:textId="28062334" w:rsidR="005062E3" w:rsidRPr="0008272E" w:rsidRDefault="005062E3" w:rsidP="0026539B">
            <w:pPr>
              <w:shd w:val="clear" w:color="auto" w:fill="FFFFFF"/>
              <w:spacing w:after="0" w:line="240" w:lineRule="auto"/>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Litter mortality, %</w:t>
            </w:r>
          </w:p>
        </w:tc>
        <w:tc>
          <w:tcPr>
            <w:tcW w:w="1581"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100ED7ED" w14:textId="0434D123"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11.50</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10.11</w:t>
            </w:r>
          </w:p>
        </w:tc>
        <w:tc>
          <w:tcPr>
            <w:tcW w:w="1432"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247E5C3E" w14:textId="6580DEF5"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15.66</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10.04</w:t>
            </w:r>
          </w:p>
        </w:tc>
        <w:tc>
          <w:tcPr>
            <w:tcW w:w="1432"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1EA57265" w14:textId="3A2C159E"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15.97</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10.10</w:t>
            </w:r>
          </w:p>
        </w:tc>
        <w:tc>
          <w:tcPr>
            <w:tcW w:w="1432"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4C224530" w14:textId="392CA237"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16.31</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9.77</w:t>
            </w:r>
          </w:p>
        </w:tc>
        <w:tc>
          <w:tcPr>
            <w:tcW w:w="1435"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59C51AA0" w14:textId="08223D1D" w:rsidR="005062E3" w:rsidRPr="0008272E" w:rsidRDefault="005062E3" w:rsidP="0026539B">
            <w:pPr>
              <w:shd w:val="clear" w:color="auto" w:fill="FFFFFF"/>
              <w:spacing w:after="0" w:line="240" w:lineRule="auto"/>
              <w:jc w:val="center"/>
              <w:textAlignment w:val="baseline"/>
              <w:rPr>
                <w:rFonts w:eastAsia="Times New Roman" w:cstheme="minorHAnsi"/>
                <w:sz w:val="24"/>
                <w:szCs w:val="24"/>
                <w:lang w:eastAsia="en-IE"/>
              </w:rPr>
            </w:pPr>
            <w:r>
              <w:rPr>
                <w:rFonts w:eastAsia="Times New Roman" w:cstheme="minorHAnsi"/>
                <w:color w:val="000000"/>
                <w:sz w:val="24"/>
                <w:szCs w:val="24"/>
                <w:bdr w:val="none" w:sz="0" w:space="0" w:color="auto" w:frame="1"/>
                <w:lang w:eastAsia="en-IE"/>
              </w:rPr>
              <w:t>18.39</w:t>
            </w:r>
            <w:r w:rsidR="0026539B">
              <w:rPr>
                <w:rFonts w:eastAsia="Times New Roman" w:cstheme="minorHAnsi"/>
                <w:color w:val="000000"/>
                <w:sz w:val="24"/>
                <w:szCs w:val="24"/>
                <w:bdr w:val="none" w:sz="0" w:space="0" w:color="auto" w:frame="1"/>
                <w:lang w:eastAsia="en-IE"/>
              </w:rPr>
              <w:t xml:space="preserve"> </w:t>
            </w:r>
            <w:r w:rsidR="0026539B">
              <w:rPr>
                <w:rFonts w:cstheme="minorHAnsi"/>
                <w:sz w:val="24"/>
                <w:szCs w:val="24"/>
              </w:rPr>
              <w:t>± 8.46</w:t>
            </w:r>
          </w:p>
        </w:tc>
        <w:tc>
          <w:tcPr>
            <w:tcW w:w="23" w:type="dxa"/>
            <w:shd w:val="clear" w:color="auto" w:fill="FFFFFF"/>
            <w:vAlign w:val="center"/>
            <w:hideMark/>
          </w:tcPr>
          <w:p w14:paraId="7B31536A" w14:textId="77777777" w:rsidR="005062E3" w:rsidRPr="0008272E" w:rsidRDefault="005062E3" w:rsidP="0026539B">
            <w:pPr>
              <w:spacing w:after="0" w:line="240" w:lineRule="auto"/>
              <w:rPr>
                <w:rFonts w:eastAsia="Times New Roman" w:cstheme="minorHAnsi"/>
                <w:sz w:val="24"/>
                <w:szCs w:val="24"/>
                <w:lang w:eastAsia="en-IE"/>
              </w:rPr>
            </w:pPr>
          </w:p>
        </w:tc>
      </w:tr>
    </w:tbl>
    <w:p w14:paraId="38953903" w14:textId="77777777" w:rsidR="005669B7" w:rsidRPr="0008272E" w:rsidRDefault="005669B7">
      <w:pPr>
        <w:rPr>
          <w:rFonts w:cstheme="minorHAnsi"/>
          <w:sz w:val="24"/>
          <w:szCs w:val="24"/>
        </w:rPr>
      </w:pPr>
    </w:p>
    <w:sectPr w:rsidR="005669B7" w:rsidRPr="000827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FDF98" w14:textId="77777777" w:rsidR="00D745A0" w:rsidRDefault="00D745A0" w:rsidP="00F20A21">
      <w:pPr>
        <w:spacing w:after="0" w:line="240" w:lineRule="auto"/>
      </w:pPr>
      <w:r>
        <w:separator/>
      </w:r>
    </w:p>
  </w:endnote>
  <w:endnote w:type="continuationSeparator" w:id="0">
    <w:p w14:paraId="5CE63E69" w14:textId="77777777" w:rsidR="00D745A0" w:rsidRDefault="00D745A0" w:rsidP="00F2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B84EB" w14:textId="77777777" w:rsidR="00D745A0" w:rsidRDefault="00D745A0" w:rsidP="00F20A21">
      <w:pPr>
        <w:spacing w:after="0" w:line="240" w:lineRule="auto"/>
      </w:pPr>
      <w:r>
        <w:separator/>
      </w:r>
    </w:p>
  </w:footnote>
  <w:footnote w:type="continuationSeparator" w:id="0">
    <w:p w14:paraId="3ADC93F4" w14:textId="77777777" w:rsidR="00D745A0" w:rsidRDefault="00D745A0" w:rsidP="00F20A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26"/>
    <w:rsid w:val="000431A9"/>
    <w:rsid w:val="00064F60"/>
    <w:rsid w:val="0008272E"/>
    <w:rsid w:val="00094905"/>
    <w:rsid w:val="000A71AA"/>
    <w:rsid w:val="000E641F"/>
    <w:rsid w:val="00110518"/>
    <w:rsid w:val="00161D34"/>
    <w:rsid w:val="001660F3"/>
    <w:rsid w:val="00175AA6"/>
    <w:rsid w:val="001C1563"/>
    <w:rsid w:val="001C5DD3"/>
    <w:rsid w:val="00217A9D"/>
    <w:rsid w:val="00224F2A"/>
    <w:rsid w:val="0023640A"/>
    <w:rsid w:val="00237A6A"/>
    <w:rsid w:val="002504FF"/>
    <w:rsid w:val="00265162"/>
    <w:rsid w:val="0026539B"/>
    <w:rsid w:val="002A2325"/>
    <w:rsid w:val="002B10F4"/>
    <w:rsid w:val="002B5A39"/>
    <w:rsid w:val="002D1405"/>
    <w:rsid w:val="002D7159"/>
    <w:rsid w:val="002E455B"/>
    <w:rsid w:val="00310E60"/>
    <w:rsid w:val="00323BCF"/>
    <w:rsid w:val="003D14ED"/>
    <w:rsid w:val="004000B2"/>
    <w:rsid w:val="0045051D"/>
    <w:rsid w:val="0046440B"/>
    <w:rsid w:val="00494918"/>
    <w:rsid w:val="004B4536"/>
    <w:rsid w:val="004B6891"/>
    <w:rsid w:val="004F22BD"/>
    <w:rsid w:val="00500752"/>
    <w:rsid w:val="00504E87"/>
    <w:rsid w:val="005062E3"/>
    <w:rsid w:val="00523F77"/>
    <w:rsid w:val="00541924"/>
    <w:rsid w:val="00557FA3"/>
    <w:rsid w:val="005669B7"/>
    <w:rsid w:val="0057738A"/>
    <w:rsid w:val="00601704"/>
    <w:rsid w:val="00623E3A"/>
    <w:rsid w:val="006A3E88"/>
    <w:rsid w:val="00704EDA"/>
    <w:rsid w:val="00750026"/>
    <w:rsid w:val="0075192B"/>
    <w:rsid w:val="007835C0"/>
    <w:rsid w:val="007C3280"/>
    <w:rsid w:val="007C730B"/>
    <w:rsid w:val="007D1E24"/>
    <w:rsid w:val="007D4448"/>
    <w:rsid w:val="00805FD1"/>
    <w:rsid w:val="00865CB8"/>
    <w:rsid w:val="00867C2C"/>
    <w:rsid w:val="0088769A"/>
    <w:rsid w:val="008D3F91"/>
    <w:rsid w:val="008F3C1A"/>
    <w:rsid w:val="00907DE8"/>
    <w:rsid w:val="009143EB"/>
    <w:rsid w:val="00924ED6"/>
    <w:rsid w:val="009B7441"/>
    <w:rsid w:val="009D17A1"/>
    <w:rsid w:val="009D4591"/>
    <w:rsid w:val="009E66C6"/>
    <w:rsid w:val="00A06977"/>
    <w:rsid w:val="00A40987"/>
    <w:rsid w:val="00A61421"/>
    <w:rsid w:val="00A67EEA"/>
    <w:rsid w:val="00A90D60"/>
    <w:rsid w:val="00B0302E"/>
    <w:rsid w:val="00B233FA"/>
    <w:rsid w:val="00B313B3"/>
    <w:rsid w:val="00B7760A"/>
    <w:rsid w:val="00BC3F72"/>
    <w:rsid w:val="00BD5C1F"/>
    <w:rsid w:val="00C052E6"/>
    <w:rsid w:val="00C86384"/>
    <w:rsid w:val="00CA0522"/>
    <w:rsid w:val="00CF3150"/>
    <w:rsid w:val="00D562C8"/>
    <w:rsid w:val="00D745A0"/>
    <w:rsid w:val="00DB1CC4"/>
    <w:rsid w:val="00DB58F3"/>
    <w:rsid w:val="00DC4FCD"/>
    <w:rsid w:val="00DD165A"/>
    <w:rsid w:val="00DE7022"/>
    <w:rsid w:val="00E310B1"/>
    <w:rsid w:val="00E602BD"/>
    <w:rsid w:val="00F10681"/>
    <w:rsid w:val="00F20A21"/>
    <w:rsid w:val="00FA62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92ED"/>
  <w15:chartTrackingRefBased/>
  <w15:docId w15:val="{949CAA5D-3F20-4F86-8D59-65627EE9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35C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562C8"/>
    <w:rPr>
      <w:sz w:val="16"/>
      <w:szCs w:val="16"/>
    </w:rPr>
  </w:style>
  <w:style w:type="paragraph" w:styleId="CommentText">
    <w:name w:val="annotation text"/>
    <w:basedOn w:val="Normal"/>
    <w:link w:val="CommentTextChar"/>
    <w:uiPriority w:val="99"/>
    <w:semiHidden/>
    <w:unhideWhenUsed/>
    <w:rsid w:val="00D562C8"/>
    <w:pPr>
      <w:spacing w:line="240" w:lineRule="auto"/>
    </w:pPr>
    <w:rPr>
      <w:sz w:val="20"/>
      <w:szCs w:val="20"/>
    </w:rPr>
  </w:style>
  <w:style w:type="character" w:customStyle="1" w:styleId="CommentTextChar">
    <w:name w:val="Comment Text Char"/>
    <w:basedOn w:val="DefaultParagraphFont"/>
    <w:link w:val="CommentText"/>
    <w:uiPriority w:val="99"/>
    <w:semiHidden/>
    <w:rsid w:val="00D562C8"/>
    <w:rPr>
      <w:sz w:val="20"/>
      <w:szCs w:val="20"/>
    </w:rPr>
  </w:style>
  <w:style w:type="paragraph" w:styleId="CommentSubject">
    <w:name w:val="annotation subject"/>
    <w:basedOn w:val="CommentText"/>
    <w:next w:val="CommentText"/>
    <w:link w:val="CommentSubjectChar"/>
    <w:uiPriority w:val="99"/>
    <w:semiHidden/>
    <w:unhideWhenUsed/>
    <w:rsid w:val="00D562C8"/>
    <w:rPr>
      <w:b/>
      <w:bCs/>
    </w:rPr>
  </w:style>
  <w:style w:type="character" w:customStyle="1" w:styleId="CommentSubjectChar">
    <w:name w:val="Comment Subject Char"/>
    <w:basedOn w:val="CommentTextChar"/>
    <w:link w:val="CommentSubject"/>
    <w:uiPriority w:val="99"/>
    <w:semiHidden/>
    <w:rsid w:val="00D562C8"/>
    <w:rPr>
      <w:b/>
      <w:bCs/>
      <w:sz w:val="20"/>
      <w:szCs w:val="20"/>
    </w:rPr>
  </w:style>
  <w:style w:type="paragraph" w:styleId="BalloonText">
    <w:name w:val="Balloon Text"/>
    <w:basedOn w:val="Normal"/>
    <w:link w:val="BalloonTextChar"/>
    <w:uiPriority w:val="99"/>
    <w:semiHidden/>
    <w:unhideWhenUsed/>
    <w:rsid w:val="00D56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2C8"/>
    <w:rPr>
      <w:rFonts w:ascii="Segoe UI" w:hAnsi="Segoe UI" w:cs="Segoe UI"/>
      <w:sz w:val="18"/>
      <w:szCs w:val="18"/>
    </w:rPr>
  </w:style>
  <w:style w:type="paragraph" w:styleId="Header">
    <w:name w:val="header"/>
    <w:basedOn w:val="Normal"/>
    <w:link w:val="HeaderChar"/>
    <w:uiPriority w:val="99"/>
    <w:unhideWhenUsed/>
    <w:rsid w:val="00F2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A21"/>
  </w:style>
  <w:style w:type="paragraph" w:styleId="Footer">
    <w:name w:val="footer"/>
    <w:basedOn w:val="Normal"/>
    <w:link w:val="FooterChar"/>
    <w:uiPriority w:val="99"/>
    <w:unhideWhenUsed/>
    <w:rsid w:val="00F2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A21"/>
  </w:style>
  <w:style w:type="paragraph" w:styleId="NoSpacing">
    <w:name w:val="No Spacing"/>
    <w:uiPriority w:val="1"/>
    <w:qFormat/>
    <w:rsid w:val="00CA0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Markland (Walsh Scholar)</dc:creator>
  <cp:keywords/>
  <dc:description/>
  <cp:lastModifiedBy>Laura Boyle</cp:lastModifiedBy>
  <cp:revision>2</cp:revision>
  <dcterms:created xsi:type="dcterms:W3CDTF">2024-02-09T14:23:00Z</dcterms:created>
  <dcterms:modified xsi:type="dcterms:W3CDTF">2024-02-09T14:23:00Z</dcterms:modified>
</cp:coreProperties>
</file>