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2FF43" w14:textId="0058A661" w:rsidR="00240BB4" w:rsidRDefault="00240BB4" w:rsidP="0064398F">
      <w:pPr>
        <w:jc w:val="both"/>
      </w:pPr>
      <w:r w:rsidRPr="00760D4A">
        <w:rPr>
          <w:b/>
        </w:rPr>
        <w:t>Application</w:t>
      </w:r>
      <w:r w:rsidR="00760D4A">
        <w:t>:</w:t>
      </w:r>
      <w:r w:rsidR="001A42EC">
        <w:t xml:space="preserve"> Crating sows for 4 days post-farrowing reduced piglet mortality by approximately 4% compared with sows </w:t>
      </w:r>
      <w:r w:rsidR="00444C72">
        <w:t>housed</w:t>
      </w:r>
      <w:r w:rsidR="001A42EC">
        <w:t xml:space="preserve"> loose in the pen, resulting in an extra 0.6 piglets weaned per litter. </w:t>
      </w:r>
    </w:p>
    <w:p w14:paraId="7A9ADB63" w14:textId="05E07FA4" w:rsidR="0033080F" w:rsidRDefault="00240BB4" w:rsidP="0064398F">
      <w:pPr>
        <w:jc w:val="both"/>
      </w:pPr>
      <w:r w:rsidRPr="00760D4A">
        <w:rPr>
          <w:b/>
        </w:rPr>
        <w:t>Introduction</w:t>
      </w:r>
      <w:r w:rsidR="00760D4A">
        <w:t>:</w:t>
      </w:r>
      <w:r w:rsidR="0033080F">
        <w:t xml:space="preserve"> </w:t>
      </w:r>
      <w:r w:rsidR="001917CE">
        <w:t xml:space="preserve">There is growing pressure to remove crates and cages from animal production </w:t>
      </w:r>
      <w:r w:rsidR="00444C72">
        <w:t xml:space="preserve">to improve welfare </w:t>
      </w:r>
      <w:r w:rsidR="001917CE">
        <w:t>and this includes the farrowing</w:t>
      </w:r>
      <w:r w:rsidR="00444C72">
        <w:t xml:space="preserve"> crate, </w:t>
      </w:r>
      <w:r w:rsidR="001917CE">
        <w:t>originally designed to protect piglets from sow overlying. There is concern w</w:t>
      </w:r>
      <w:bookmarkStart w:id="0" w:name="_GoBack"/>
      <w:bookmarkEnd w:id="0"/>
      <w:r w:rsidR="001917CE">
        <w:t xml:space="preserve">ithin the pig industry that removal of the farrowing crate may result in an increase in piglet mortality therefore reducing uptake </w:t>
      </w:r>
      <w:r w:rsidR="00444C72">
        <w:t>(</w:t>
      </w:r>
      <w:r w:rsidR="001917CE">
        <w:t xml:space="preserve">King et al., </w:t>
      </w:r>
      <w:r w:rsidR="00444C72">
        <w:t>2019)</w:t>
      </w:r>
      <w:r w:rsidR="001917CE">
        <w:t xml:space="preserve">. </w:t>
      </w:r>
      <w:r w:rsidR="00444C72">
        <w:t xml:space="preserve">Temporary crating may provide an agreeable compromise by protecting piglets </w:t>
      </w:r>
      <w:r w:rsidR="0064398F">
        <w:t xml:space="preserve">at their most vulnerable </w:t>
      </w:r>
      <w:r w:rsidR="00444C72">
        <w:t xml:space="preserve">during farrowing and early lactation, </w:t>
      </w:r>
      <w:r w:rsidR="0064398F">
        <w:t>whils</w:t>
      </w:r>
      <w:r w:rsidR="00444C72">
        <w:t xml:space="preserve">t </w:t>
      </w:r>
      <w:r w:rsidR="0064398F">
        <w:t>providing freedom of movement</w:t>
      </w:r>
      <w:r w:rsidR="00444C72">
        <w:t xml:space="preserve"> </w:t>
      </w:r>
      <w:r w:rsidR="0064398F">
        <w:t xml:space="preserve">for </w:t>
      </w:r>
      <w:r w:rsidR="00444C72">
        <w:t xml:space="preserve">the sow during the remainder of the lactation period. </w:t>
      </w:r>
      <w:r w:rsidR="0033080F" w:rsidRPr="0033080F">
        <w:t xml:space="preserve">The aim of this study was to determine the effect of different temporary crating lengths </w:t>
      </w:r>
      <w:r w:rsidR="0064398F">
        <w:t>on</w:t>
      </w:r>
      <w:r w:rsidR="0033080F" w:rsidRPr="0033080F">
        <w:t xml:space="preserve"> piglet mortality and sow</w:t>
      </w:r>
      <w:r w:rsidR="0033080F">
        <w:t xml:space="preserve"> lactation performance.</w:t>
      </w:r>
    </w:p>
    <w:p w14:paraId="1ACAE17D" w14:textId="19D487A9" w:rsidR="00180E9B" w:rsidRDefault="00240BB4" w:rsidP="0064398F">
      <w:pPr>
        <w:jc w:val="both"/>
      </w:pPr>
      <w:r w:rsidRPr="00180E9B">
        <w:rPr>
          <w:b/>
        </w:rPr>
        <w:t>Materials and Methods</w:t>
      </w:r>
      <w:r w:rsidR="00180E9B">
        <w:t xml:space="preserve">: </w:t>
      </w:r>
      <w:r w:rsidR="00760D4A">
        <w:t>Ethical approval for this study was granted by the University of Leeds Animal Welfare and Ethical Review Body.</w:t>
      </w:r>
      <w:r w:rsidR="0033080F" w:rsidRPr="0033080F">
        <w:t xml:space="preserve"> </w:t>
      </w:r>
      <w:r w:rsidR="00760D4A">
        <w:t xml:space="preserve">This study used a total of </w:t>
      </w:r>
      <w:r w:rsidR="00180E9B">
        <w:t>500 sows and their litters (8229 piglets) over 14 batches at</w:t>
      </w:r>
      <w:r w:rsidR="0033080F">
        <w:t xml:space="preserve"> the </w:t>
      </w:r>
      <w:r w:rsidR="00180E9B">
        <w:t>National Pig Centre</w:t>
      </w:r>
      <w:r w:rsidR="00760D4A">
        <w:t>, Leeds, UK</w:t>
      </w:r>
      <w:r w:rsidR="00180E9B">
        <w:t>.</w:t>
      </w:r>
      <w:r w:rsidR="00760D4A">
        <w:t xml:space="preserve"> Sows were allocated to one of three treatment groups 1) loose housed across farrowing and lactation</w:t>
      </w:r>
      <w:r w:rsidR="00E74ED9">
        <w:t xml:space="preserve"> (n=167)</w:t>
      </w:r>
      <w:r w:rsidR="00760D4A">
        <w:t xml:space="preserve">, 2) crated </w:t>
      </w:r>
      <w:r w:rsidR="00760D4A" w:rsidRPr="00760D4A">
        <w:rPr>
          <w:i/>
        </w:rPr>
        <w:t>ca</w:t>
      </w:r>
      <w:r w:rsidR="00760D4A">
        <w:rPr>
          <w:i/>
        </w:rPr>
        <w:t xml:space="preserve"> </w:t>
      </w:r>
      <w:r w:rsidR="00760D4A">
        <w:t>24h before farrowing + 2 days of lactation</w:t>
      </w:r>
      <w:r w:rsidR="00E74ED9">
        <w:t xml:space="preserve"> (n=166)</w:t>
      </w:r>
      <w:r w:rsidR="00760D4A">
        <w:t xml:space="preserve">, 3) crated </w:t>
      </w:r>
      <w:r w:rsidR="0064398F">
        <w:rPr>
          <w:i/>
        </w:rPr>
        <w:t>ca</w:t>
      </w:r>
      <w:r w:rsidR="00760D4A">
        <w:t xml:space="preserve"> 24h before farrowing + 4 days of lactation</w:t>
      </w:r>
      <w:r w:rsidR="00E74ED9">
        <w:t xml:space="preserve"> (n=167)</w:t>
      </w:r>
      <w:r w:rsidR="0064398F">
        <w:t>. S</w:t>
      </w:r>
      <w:r w:rsidR="00760D4A">
        <w:t xml:space="preserve">ows were </w:t>
      </w:r>
      <w:proofErr w:type="gramStart"/>
      <w:r w:rsidR="00760D4A">
        <w:t>housed</w:t>
      </w:r>
      <w:proofErr w:type="gramEnd"/>
      <w:r w:rsidR="00760D4A">
        <w:t xml:space="preserve"> in </w:t>
      </w:r>
      <w:r w:rsidR="0033080F">
        <w:t xml:space="preserve">fully slatted farrowing pens (JFL15, </w:t>
      </w:r>
      <w:r w:rsidR="00760D4A">
        <w:t>JYDEN</w:t>
      </w:r>
      <w:r w:rsidR="0033080F">
        <w:t>, Denmark; 2.4x2.4m).</w:t>
      </w:r>
      <w:r w:rsidR="00760D4A">
        <w:t xml:space="preserve"> </w:t>
      </w:r>
      <w:r w:rsidR="0033080F">
        <w:t>Piglets</w:t>
      </w:r>
      <w:r w:rsidR="0033080F" w:rsidRPr="0033080F">
        <w:t xml:space="preserve"> were weighed and ear tagged for identification within 24 hours of birth</w:t>
      </w:r>
      <w:r w:rsidR="0064398F">
        <w:t xml:space="preserve">, </w:t>
      </w:r>
      <w:r w:rsidR="0033080F" w:rsidRPr="0033080F">
        <w:t xml:space="preserve">at an average day 7 </w:t>
      </w:r>
      <w:r w:rsidR="0064398F">
        <w:t xml:space="preserve">(week 1) </w:t>
      </w:r>
      <w:r w:rsidR="0033080F" w:rsidRPr="0033080F">
        <w:t xml:space="preserve">and at weaning (approx. 28d). All piglet </w:t>
      </w:r>
      <w:r w:rsidR="0033080F">
        <w:t xml:space="preserve">pre-weaning </w:t>
      </w:r>
      <w:r w:rsidR="0033080F" w:rsidRPr="0033080F">
        <w:t>mortality including cause and date of death was recorded.</w:t>
      </w:r>
      <w:r w:rsidR="00E74ED9">
        <w:t xml:space="preserve"> </w:t>
      </w:r>
      <w:r w:rsidR="0033080F">
        <w:t>D</w:t>
      </w:r>
      <w:r w:rsidR="00E74ED9">
        <w:t>ata were</w:t>
      </w:r>
      <w:r w:rsidR="0033080F">
        <w:t xml:space="preserve"> analysed i</w:t>
      </w:r>
      <w:r w:rsidR="00E74ED9">
        <w:t>n SPSS Statisti</w:t>
      </w:r>
      <w:r w:rsidR="0064398F">
        <w:t xml:space="preserve">cs 29 </w:t>
      </w:r>
      <w:r w:rsidR="0033080F">
        <w:t xml:space="preserve">using the general linear model function with treatment, parity and room </w:t>
      </w:r>
      <w:r w:rsidR="00E74ED9">
        <w:t>(</w:t>
      </w:r>
      <w:r w:rsidR="0033080F">
        <w:t>nested within batch</w:t>
      </w:r>
      <w:r w:rsidR="00E74ED9">
        <w:t>)</w:t>
      </w:r>
      <w:r w:rsidR="0033080F">
        <w:t xml:space="preserve"> as factors.</w:t>
      </w:r>
      <w:r w:rsidR="00180E9B">
        <w:t xml:space="preserve"> </w:t>
      </w:r>
      <w:r w:rsidR="0033080F">
        <w:t>Covariates (e.g. piglet age</w:t>
      </w:r>
      <w:r w:rsidR="00E74ED9">
        <w:t>, litter size</w:t>
      </w:r>
      <w:r w:rsidR="0033080F">
        <w:t xml:space="preserve">) were included </w:t>
      </w:r>
      <w:r w:rsidR="00E74ED9">
        <w:t xml:space="preserve">for each model </w:t>
      </w:r>
      <w:r w:rsidR="0033080F">
        <w:t xml:space="preserve">and removed in </w:t>
      </w:r>
      <w:r w:rsidR="00E74ED9">
        <w:t>a step wise basis</w:t>
      </w:r>
      <w:r w:rsidR="0064398F">
        <w:t xml:space="preserve"> where not significant</w:t>
      </w:r>
      <w:r w:rsidR="0033080F">
        <w:t xml:space="preserve">. </w:t>
      </w:r>
      <w:r w:rsidR="00EA5CB5">
        <w:t xml:space="preserve">Data are presented as estimated marginal means. </w:t>
      </w:r>
      <w:proofErr w:type="spellStart"/>
      <w:r w:rsidR="00EA5CB5">
        <w:t>Bonferroni</w:t>
      </w:r>
      <w:proofErr w:type="spellEnd"/>
      <w:r w:rsidR="00EA5CB5">
        <w:t xml:space="preserve"> </w:t>
      </w:r>
      <w:r w:rsidR="00EA5CB5" w:rsidRPr="00EA5CB5">
        <w:rPr>
          <w:i/>
        </w:rPr>
        <w:t>post-hoc</w:t>
      </w:r>
      <w:r w:rsidR="00EA5CB5">
        <w:t xml:space="preserve"> tests were used to identify differences between means. </w:t>
      </w:r>
    </w:p>
    <w:p w14:paraId="3487D93E" w14:textId="3E7F8E92" w:rsidR="00D41F95" w:rsidRPr="00E74ED9" w:rsidRDefault="00240BB4" w:rsidP="0064398F">
      <w:pPr>
        <w:jc w:val="both"/>
        <w:rPr>
          <w:b/>
        </w:rPr>
      </w:pPr>
      <w:r w:rsidRPr="00180E9B">
        <w:rPr>
          <w:b/>
        </w:rPr>
        <w:t>Results</w:t>
      </w:r>
      <w:r w:rsidR="00E74ED9">
        <w:rPr>
          <w:b/>
        </w:rPr>
        <w:t xml:space="preserve">: </w:t>
      </w:r>
      <w:r w:rsidR="00715E1F">
        <w:t>Pre-weaning m</w:t>
      </w:r>
      <w:r w:rsidR="00D41F95">
        <w:t>ortalit</w:t>
      </w:r>
      <w:r w:rsidR="0064398F">
        <w:t>y was highest for</w:t>
      </w:r>
      <w:r w:rsidR="00D41F95">
        <w:t xml:space="preserve"> loose housed sow</w:t>
      </w:r>
      <w:r w:rsidR="0064398F">
        <w:t>s</w:t>
      </w:r>
      <w:r w:rsidR="00D41F95">
        <w:t xml:space="preserve"> (Figure 1). Piglets that died were younger (P&lt;0.001) and of a lower </w:t>
      </w:r>
      <w:r w:rsidR="00BF2257">
        <w:t xml:space="preserve">body </w:t>
      </w:r>
      <w:r w:rsidR="00D41F95">
        <w:t xml:space="preserve">weight (P=0.008) </w:t>
      </w:r>
      <w:r w:rsidR="00341315">
        <w:t xml:space="preserve">on average </w:t>
      </w:r>
      <w:r w:rsidR="00D41F95">
        <w:t xml:space="preserve">for the loose sows (3.99 days, 1.48kg) than those that were crated for either two (5.14 days, 1.51kg) or four days (7.00 days, 1.72kg). </w:t>
      </w:r>
    </w:p>
    <w:p w14:paraId="5AA5E774" w14:textId="77777777" w:rsidR="00240BB4" w:rsidRDefault="009F5457" w:rsidP="0064398F">
      <w:pPr>
        <w:jc w:val="both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9258CD6" wp14:editId="2098A63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15560" cy="3105785"/>
            <wp:effectExtent l="0" t="0" r="8890" b="0"/>
            <wp:wrapTight wrapText="bothSides">
              <wp:wrapPolygon edited="0">
                <wp:start x="9652" y="265"/>
                <wp:lineTo x="0" y="1855"/>
                <wp:lineTo x="0" y="21463"/>
                <wp:lineTo x="21557" y="21463"/>
                <wp:lineTo x="21557" y="1855"/>
                <wp:lineTo x="10779" y="265"/>
                <wp:lineTo x="9652" y="265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310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AD355E" w14:textId="77777777" w:rsidR="00240BB4" w:rsidRDefault="00240BB4" w:rsidP="0064398F">
      <w:pPr>
        <w:jc w:val="both"/>
      </w:pPr>
    </w:p>
    <w:p w14:paraId="74E52406" w14:textId="77777777" w:rsidR="00240BB4" w:rsidRDefault="00240BB4" w:rsidP="0064398F">
      <w:pPr>
        <w:jc w:val="both"/>
      </w:pPr>
    </w:p>
    <w:p w14:paraId="15A3E1F5" w14:textId="77777777" w:rsidR="00240BB4" w:rsidRDefault="00240BB4" w:rsidP="0064398F">
      <w:pPr>
        <w:jc w:val="both"/>
      </w:pPr>
    </w:p>
    <w:p w14:paraId="4B203D82" w14:textId="77777777" w:rsidR="00240BB4" w:rsidRDefault="00240BB4" w:rsidP="0064398F">
      <w:pPr>
        <w:jc w:val="both"/>
      </w:pPr>
    </w:p>
    <w:p w14:paraId="2EE48556" w14:textId="77777777" w:rsidR="00240BB4" w:rsidRDefault="00240BB4" w:rsidP="0064398F">
      <w:pPr>
        <w:jc w:val="both"/>
      </w:pPr>
    </w:p>
    <w:p w14:paraId="0FDBF74E" w14:textId="77777777" w:rsidR="00240BB4" w:rsidRDefault="00240BB4" w:rsidP="0064398F">
      <w:pPr>
        <w:jc w:val="both"/>
      </w:pPr>
    </w:p>
    <w:p w14:paraId="04AB349F" w14:textId="77777777" w:rsidR="00240BB4" w:rsidRDefault="00240BB4" w:rsidP="0064398F">
      <w:pPr>
        <w:jc w:val="both"/>
      </w:pPr>
    </w:p>
    <w:p w14:paraId="370E5D9A" w14:textId="77777777" w:rsidR="00240BB4" w:rsidRDefault="00240BB4" w:rsidP="0064398F">
      <w:pPr>
        <w:jc w:val="both"/>
      </w:pPr>
    </w:p>
    <w:p w14:paraId="3D29AC5F" w14:textId="77777777" w:rsidR="00240BB4" w:rsidRDefault="00240BB4" w:rsidP="0064398F">
      <w:pPr>
        <w:jc w:val="both"/>
      </w:pPr>
    </w:p>
    <w:p w14:paraId="02C680AC" w14:textId="77777777" w:rsidR="00240BB4" w:rsidRDefault="00240BB4" w:rsidP="0064398F">
      <w:pPr>
        <w:jc w:val="both"/>
      </w:pPr>
    </w:p>
    <w:p w14:paraId="1442F6E4" w14:textId="42911000" w:rsidR="00240BB4" w:rsidRDefault="00240BB4" w:rsidP="0064398F">
      <w:pPr>
        <w:jc w:val="both"/>
      </w:pPr>
      <w:r w:rsidRPr="00240BB4">
        <w:rPr>
          <w:b/>
        </w:rPr>
        <w:t>Figure 1</w:t>
      </w:r>
      <w:r>
        <w:t xml:space="preserve">: </w:t>
      </w:r>
      <w:r w:rsidR="00E74ED9">
        <w:t xml:space="preserve">Piglet mortality </w:t>
      </w:r>
      <w:r w:rsidR="00D268C8">
        <w:t xml:space="preserve">(%) </w:t>
      </w:r>
      <w:r w:rsidR="00E74ED9">
        <w:t xml:space="preserve">for </w:t>
      </w:r>
      <w:r w:rsidR="001A42EC">
        <w:t xml:space="preserve">litters of </w:t>
      </w:r>
      <w:r w:rsidR="00E74ED9">
        <w:t xml:space="preserve">sows that were loose housed, or crated approximately 24h before farrowing </w:t>
      </w:r>
      <w:r w:rsidR="00D268C8">
        <w:t xml:space="preserve">and </w:t>
      </w:r>
      <w:r w:rsidR="00E74ED9">
        <w:t xml:space="preserve">for either two </w:t>
      </w:r>
      <w:r w:rsidR="00EA5CB5">
        <w:t xml:space="preserve">days </w:t>
      </w:r>
      <w:r w:rsidR="00E74ED9">
        <w:t>or four days</w:t>
      </w:r>
      <w:r w:rsidR="00D268C8">
        <w:t xml:space="preserve"> of lactation</w:t>
      </w:r>
      <w:r w:rsidR="00E74ED9">
        <w:t>.</w:t>
      </w:r>
      <w:r w:rsidR="00D268C8">
        <w:t xml:space="preserve"> </w:t>
      </w:r>
      <w:r w:rsidR="001A42EC">
        <w:t xml:space="preserve">Colours within each bar represent the cause of death. </w:t>
      </w:r>
    </w:p>
    <w:p w14:paraId="06457CD6" w14:textId="5C404054" w:rsidR="00180E9B" w:rsidRDefault="00BF2257" w:rsidP="0064398F">
      <w:pPr>
        <w:jc w:val="both"/>
      </w:pPr>
      <w:r>
        <w:lastRenderedPageBreak/>
        <w:t>Sows crated for four days after</w:t>
      </w:r>
      <w:r w:rsidR="00D41F95">
        <w:t xml:space="preserve"> farrowing weaned</w:t>
      </w:r>
      <w:r w:rsidR="0064398F">
        <w:t xml:space="preserve"> </w:t>
      </w:r>
      <w:r w:rsidR="00D41F95">
        <w:t>larger litter</w:t>
      </w:r>
      <w:r w:rsidR="0064398F">
        <w:t>s</w:t>
      </w:r>
      <w:r w:rsidR="00D41F95">
        <w:t xml:space="preserve"> than th</w:t>
      </w:r>
      <w:r w:rsidR="0064398F">
        <w:t xml:space="preserve">ose that were crated for </w:t>
      </w:r>
      <w:r w:rsidR="00D41F95">
        <w:t xml:space="preserve">two </w:t>
      </w:r>
      <w:r w:rsidR="0064398F">
        <w:t xml:space="preserve">days or </w:t>
      </w:r>
      <w:r>
        <w:t xml:space="preserve">those </w:t>
      </w:r>
      <w:r w:rsidR="0064398F">
        <w:t>housed loose</w:t>
      </w:r>
      <w:r w:rsidR="00D41F95">
        <w:t>, ho</w:t>
      </w:r>
      <w:r w:rsidR="00180E9B">
        <w:t xml:space="preserve">wever the litter was </w:t>
      </w:r>
      <w:r w:rsidR="00180E9B" w:rsidRPr="0064398F">
        <w:rPr>
          <w:i/>
        </w:rPr>
        <w:t>ca</w:t>
      </w:r>
      <w:r w:rsidR="00180E9B">
        <w:t xml:space="preserve"> 3kg lighter at weaning (Table 1). </w:t>
      </w:r>
      <w:r w:rsidR="0064398F">
        <w:t>No interactions between par</w:t>
      </w:r>
      <w:r w:rsidR="00341315">
        <w:t>ity and treatment were observed but there was a significant effect of parity throughout (P&lt;0.001).</w:t>
      </w:r>
    </w:p>
    <w:p w14:paraId="32D2D138" w14:textId="667608FD" w:rsidR="00180E9B" w:rsidRDefault="00180E9B" w:rsidP="0064398F">
      <w:pPr>
        <w:jc w:val="both"/>
      </w:pPr>
      <w:r w:rsidRPr="00760D4A">
        <w:rPr>
          <w:b/>
        </w:rPr>
        <w:t>Table 1</w:t>
      </w:r>
      <w:r>
        <w:t xml:space="preserve">: </w:t>
      </w:r>
      <w:r w:rsidR="00EA5CB5">
        <w:t>Lactation performance of sows</w:t>
      </w:r>
      <w:r w:rsidR="00770A03">
        <w:t xml:space="preserve">. </w:t>
      </w:r>
      <w:proofErr w:type="gramStart"/>
      <w:r w:rsidRPr="00770A03">
        <w:rPr>
          <w:vertAlign w:val="superscript"/>
        </w:rPr>
        <w:t>a-b</w:t>
      </w:r>
      <w:proofErr w:type="gramEnd"/>
      <w:r w:rsidRPr="00180E9B">
        <w:t xml:space="preserve"> different superscript letters denote differences between means (P&lt;0.05). Significant values (P&lt;0.05) and trends (P&lt;0.10) are shown in bold.  </w:t>
      </w:r>
    </w:p>
    <w:tbl>
      <w:tblPr>
        <w:tblStyle w:val="TableGrid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1154"/>
        <w:gridCol w:w="1626"/>
        <w:gridCol w:w="1691"/>
        <w:gridCol w:w="866"/>
        <w:gridCol w:w="1126"/>
        <w:gridCol w:w="128"/>
      </w:tblGrid>
      <w:tr w:rsidR="00341315" w14:paraId="0A5999C3" w14:textId="77777777" w:rsidTr="00341315">
        <w:trPr>
          <w:gridAfter w:val="1"/>
          <w:wAfter w:w="128" w:type="dxa"/>
          <w:trHeight w:val="269"/>
        </w:trPr>
        <w:tc>
          <w:tcPr>
            <w:tcW w:w="3174" w:type="dxa"/>
            <w:tcBorders>
              <w:top w:val="single" w:sz="4" w:space="0" w:color="auto"/>
            </w:tcBorders>
          </w:tcPr>
          <w:p w14:paraId="27944A8B" w14:textId="77777777" w:rsidR="00341315" w:rsidRDefault="00341315" w:rsidP="0064398F">
            <w:pPr>
              <w:jc w:val="both"/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7EFC85D7" w14:textId="77777777" w:rsidR="00341315" w:rsidRDefault="00341315" w:rsidP="0064398F">
            <w:pPr>
              <w:jc w:val="both"/>
            </w:pP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38A79705" w14:textId="77777777" w:rsidR="00341315" w:rsidRDefault="00341315" w:rsidP="0064398F">
            <w:pPr>
              <w:jc w:val="both"/>
            </w:pPr>
          </w:p>
        </w:tc>
        <w:tc>
          <w:tcPr>
            <w:tcW w:w="1691" w:type="dxa"/>
            <w:tcBorders>
              <w:top w:val="single" w:sz="4" w:space="0" w:color="auto"/>
            </w:tcBorders>
          </w:tcPr>
          <w:p w14:paraId="105975DC" w14:textId="77777777" w:rsidR="00341315" w:rsidRDefault="00341315" w:rsidP="0064398F">
            <w:pPr>
              <w:jc w:val="both"/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530B20A2" w14:textId="77777777" w:rsidR="00341315" w:rsidRDefault="00341315" w:rsidP="0064398F">
            <w:pPr>
              <w:jc w:val="both"/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60C13CD7" w14:textId="77777777" w:rsidR="00341315" w:rsidRDefault="00341315" w:rsidP="0064398F">
            <w:pPr>
              <w:jc w:val="both"/>
            </w:pPr>
            <w:r>
              <w:t>P value</w:t>
            </w:r>
          </w:p>
        </w:tc>
      </w:tr>
      <w:tr w:rsidR="00341315" w14:paraId="0550F9AC" w14:textId="77777777" w:rsidTr="00341315">
        <w:trPr>
          <w:trHeight w:val="459"/>
        </w:trPr>
        <w:tc>
          <w:tcPr>
            <w:tcW w:w="3174" w:type="dxa"/>
            <w:tcBorders>
              <w:bottom w:val="single" w:sz="4" w:space="0" w:color="auto"/>
            </w:tcBorders>
          </w:tcPr>
          <w:p w14:paraId="262C6C6D" w14:textId="77777777" w:rsidR="00341315" w:rsidRDefault="00341315" w:rsidP="0064398F">
            <w:pPr>
              <w:jc w:val="both"/>
            </w:pP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14:paraId="11485D6E" w14:textId="77777777" w:rsidR="00341315" w:rsidRDefault="00341315" w:rsidP="00341315">
            <w:pPr>
              <w:jc w:val="center"/>
            </w:pPr>
            <w:r>
              <w:t>Loose</w:t>
            </w:r>
          </w:p>
          <w:p w14:paraId="2034F18C" w14:textId="77777777" w:rsidR="00341315" w:rsidRDefault="00341315" w:rsidP="00341315">
            <w:pPr>
              <w:jc w:val="center"/>
            </w:pPr>
            <w:r>
              <w:t>(n = 167)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14:paraId="2A233E42" w14:textId="60DEE632" w:rsidR="00341315" w:rsidRDefault="00341315" w:rsidP="00341315">
            <w:pPr>
              <w:jc w:val="center"/>
            </w:pPr>
            <w:r>
              <w:t xml:space="preserve">Crated + 2 days </w:t>
            </w:r>
            <w:r>
              <w:br/>
              <w:t>(n = 166)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5183EDF" w14:textId="63727F6D" w:rsidR="00341315" w:rsidRDefault="00341315" w:rsidP="00341315">
            <w:pPr>
              <w:jc w:val="center"/>
            </w:pPr>
            <w:r>
              <w:t>Crated + 4 days</w:t>
            </w:r>
            <w:r>
              <w:br/>
              <w:t>(n =167)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2E30C322" w14:textId="77777777" w:rsidR="00341315" w:rsidRDefault="00341315" w:rsidP="0064398F">
            <w:pPr>
              <w:jc w:val="both"/>
            </w:pPr>
            <w:r>
              <w:t>SEM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CC31" w14:textId="77777777" w:rsidR="00341315" w:rsidRDefault="00341315" w:rsidP="0064398F">
            <w:pPr>
              <w:jc w:val="both"/>
            </w:pPr>
            <w:r>
              <w:t>Treatment</w:t>
            </w:r>
          </w:p>
        </w:tc>
      </w:tr>
      <w:tr w:rsidR="00341315" w14:paraId="60CAA92D" w14:textId="77777777" w:rsidTr="00341315">
        <w:trPr>
          <w:trHeight w:val="269"/>
        </w:trPr>
        <w:tc>
          <w:tcPr>
            <w:tcW w:w="3174" w:type="dxa"/>
            <w:tcBorders>
              <w:top w:val="single" w:sz="4" w:space="0" w:color="auto"/>
            </w:tcBorders>
          </w:tcPr>
          <w:p w14:paraId="0E86ED77" w14:textId="6507AD4A" w:rsidR="00341315" w:rsidRPr="003060A1" w:rsidRDefault="00341315" w:rsidP="0064398F">
            <w:pPr>
              <w:jc w:val="both"/>
            </w:pPr>
            <w:r>
              <w:t>Total born sum (kg)</w:t>
            </w:r>
            <w:r w:rsidRPr="00E57673">
              <w:rPr>
                <w:vertAlign w:val="superscript"/>
              </w:rPr>
              <w:t>A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6950A7A0" w14:textId="6806DDCB" w:rsidR="00341315" w:rsidRPr="003060A1" w:rsidRDefault="00341315" w:rsidP="0064398F">
            <w:pPr>
              <w:jc w:val="both"/>
            </w:pPr>
            <w:r>
              <w:t>24.7</w:t>
            </w:r>
          </w:p>
        </w:tc>
        <w:tc>
          <w:tcPr>
            <w:tcW w:w="1626" w:type="dxa"/>
            <w:tcBorders>
              <w:top w:val="single" w:sz="4" w:space="0" w:color="auto"/>
            </w:tcBorders>
          </w:tcPr>
          <w:p w14:paraId="563B8435" w14:textId="62554BCB" w:rsidR="00341315" w:rsidRPr="003060A1" w:rsidRDefault="00341315" w:rsidP="0064398F">
            <w:pPr>
              <w:jc w:val="both"/>
            </w:pPr>
            <w:r>
              <w:t>24.7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14:paraId="444BD259" w14:textId="0B2AC0BE" w:rsidR="00341315" w:rsidRPr="003060A1" w:rsidRDefault="00341315" w:rsidP="0064398F">
            <w:pPr>
              <w:jc w:val="both"/>
            </w:pPr>
            <w:r>
              <w:t>24.8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2BD18C28" w14:textId="0E3B39B9" w:rsidR="00341315" w:rsidRPr="003060A1" w:rsidRDefault="00341315" w:rsidP="0064398F">
            <w:pPr>
              <w:jc w:val="both"/>
            </w:pPr>
            <w:r>
              <w:t>0.230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</w:tcBorders>
            <w:vAlign w:val="center"/>
          </w:tcPr>
          <w:p w14:paraId="20FA9C9F" w14:textId="77777777" w:rsidR="00341315" w:rsidRPr="003060A1" w:rsidRDefault="00341315" w:rsidP="00341315">
            <w:pPr>
              <w:jc w:val="center"/>
            </w:pPr>
            <w:r w:rsidRPr="003060A1">
              <w:t>0.855</w:t>
            </w:r>
          </w:p>
        </w:tc>
      </w:tr>
      <w:tr w:rsidR="00341315" w14:paraId="00D71DCD" w14:textId="77777777" w:rsidTr="00341315">
        <w:trPr>
          <w:trHeight w:val="269"/>
        </w:trPr>
        <w:tc>
          <w:tcPr>
            <w:tcW w:w="3174" w:type="dxa"/>
          </w:tcPr>
          <w:p w14:paraId="59C91949" w14:textId="6C15B0AD" w:rsidR="00341315" w:rsidRPr="003060A1" w:rsidRDefault="00341315" w:rsidP="0064398F">
            <w:pPr>
              <w:jc w:val="both"/>
            </w:pPr>
            <w:r w:rsidRPr="003060A1">
              <w:t xml:space="preserve">Total born average </w:t>
            </w:r>
            <w:r>
              <w:t>(kg)</w:t>
            </w:r>
            <w:r w:rsidRPr="00E57673">
              <w:rPr>
                <w:vertAlign w:val="superscript"/>
              </w:rPr>
              <w:t xml:space="preserve">A </w:t>
            </w:r>
          </w:p>
        </w:tc>
        <w:tc>
          <w:tcPr>
            <w:tcW w:w="1154" w:type="dxa"/>
          </w:tcPr>
          <w:p w14:paraId="12DBDB9D" w14:textId="698974A8" w:rsidR="00341315" w:rsidRPr="003060A1" w:rsidRDefault="00341315" w:rsidP="0064398F">
            <w:pPr>
              <w:jc w:val="both"/>
            </w:pPr>
            <w:r w:rsidRPr="003060A1">
              <w:t>1.4</w:t>
            </w:r>
            <w:r>
              <w:t>2</w:t>
            </w:r>
          </w:p>
        </w:tc>
        <w:tc>
          <w:tcPr>
            <w:tcW w:w="1626" w:type="dxa"/>
          </w:tcPr>
          <w:p w14:paraId="1784E490" w14:textId="53503B39" w:rsidR="00341315" w:rsidRPr="003060A1" w:rsidRDefault="00341315" w:rsidP="0064398F">
            <w:pPr>
              <w:jc w:val="both"/>
            </w:pPr>
            <w:r>
              <w:t>1.42</w:t>
            </w:r>
          </w:p>
        </w:tc>
        <w:tc>
          <w:tcPr>
            <w:tcW w:w="1691" w:type="dxa"/>
          </w:tcPr>
          <w:p w14:paraId="60412993" w14:textId="6C6E9017" w:rsidR="00341315" w:rsidRPr="003060A1" w:rsidRDefault="00341315" w:rsidP="0064398F">
            <w:pPr>
              <w:jc w:val="both"/>
            </w:pPr>
            <w:r>
              <w:t>1.43</w:t>
            </w:r>
          </w:p>
        </w:tc>
        <w:tc>
          <w:tcPr>
            <w:tcW w:w="866" w:type="dxa"/>
          </w:tcPr>
          <w:p w14:paraId="3EE4CE42" w14:textId="77777777" w:rsidR="00341315" w:rsidRPr="003060A1" w:rsidRDefault="00341315" w:rsidP="0064398F">
            <w:pPr>
              <w:jc w:val="both"/>
            </w:pPr>
            <w:r w:rsidRPr="003060A1">
              <w:t>0.013</w:t>
            </w:r>
          </w:p>
        </w:tc>
        <w:tc>
          <w:tcPr>
            <w:tcW w:w="1254" w:type="dxa"/>
            <w:gridSpan w:val="2"/>
            <w:vAlign w:val="center"/>
          </w:tcPr>
          <w:p w14:paraId="6AC99C5B" w14:textId="77777777" w:rsidR="00341315" w:rsidRPr="003060A1" w:rsidRDefault="00341315" w:rsidP="00341315">
            <w:pPr>
              <w:jc w:val="center"/>
            </w:pPr>
            <w:r w:rsidRPr="003060A1">
              <w:t>0.925</w:t>
            </w:r>
          </w:p>
        </w:tc>
      </w:tr>
      <w:tr w:rsidR="00341315" w14:paraId="2C80AF17" w14:textId="77777777" w:rsidTr="00341315">
        <w:trPr>
          <w:trHeight w:val="269"/>
        </w:trPr>
        <w:tc>
          <w:tcPr>
            <w:tcW w:w="3174" w:type="dxa"/>
          </w:tcPr>
          <w:p w14:paraId="579EFB8A" w14:textId="381F95D5" w:rsidR="00341315" w:rsidRPr="003060A1" w:rsidRDefault="00341315" w:rsidP="0064398F">
            <w:pPr>
              <w:jc w:val="both"/>
            </w:pPr>
            <w:r>
              <w:t>Born alive sum (kg)</w:t>
            </w:r>
            <w:r w:rsidRPr="00E57673">
              <w:rPr>
                <w:vertAlign w:val="superscript"/>
              </w:rPr>
              <w:t>A</w:t>
            </w:r>
          </w:p>
        </w:tc>
        <w:tc>
          <w:tcPr>
            <w:tcW w:w="1154" w:type="dxa"/>
          </w:tcPr>
          <w:p w14:paraId="0924D493" w14:textId="03AB7992" w:rsidR="00341315" w:rsidRPr="003060A1" w:rsidRDefault="00341315" w:rsidP="0064398F">
            <w:pPr>
              <w:jc w:val="both"/>
            </w:pPr>
            <w:r>
              <w:t>23.3</w:t>
            </w:r>
          </w:p>
        </w:tc>
        <w:tc>
          <w:tcPr>
            <w:tcW w:w="1626" w:type="dxa"/>
          </w:tcPr>
          <w:p w14:paraId="64FBB882" w14:textId="6C6B82A5" w:rsidR="00341315" w:rsidRPr="003060A1" w:rsidRDefault="00341315" w:rsidP="0064398F">
            <w:pPr>
              <w:jc w:val="both"/>
            </w:pPr>
            <w:r>
              <w:t>23.3</w:t>
            </w:r>
          </w:p>
        </w:tc>
        <w:tc>
          <w:tcPr>
            <w:tcW w:w="1691" w:type="dxa"/>
          </w:tcPr>
          <w:p w14:paraId="27E23A68" w14:textId="0CF45624" w:rsidR="00341315" w:rsidRPr="003060A1" w:rsidRDefault="00341315" w:rsidP="0064398F">
            <w:pPr>
              <w:jc w:val="both"/>
            </w:pPr>
            <w:r>
              <w:t>23.4</w:t>
            </w:r>
          </w:p>
        </w:tc>
        <w:tc>
          <w:tcPr>
            <w:tcW w:w="866" w:type="dxa"/>
          </w:tcPr>
          <w:p w14:paraId="2CE75FD4" w14:textId="77777777" w:rsidR="00341315" w:rsidRPr="003060A1" w:rsidRDefault="00341315" w:rsidP="0064398F">
            <w:pPr>
              <w:jc w:val="both"/>
            </w:pPr>
            <w:r w:rsidRPr="003060A1">
              <w:t>0.223</w:t>
            </w:r>
          </w:p>
        </w:tc>
        <w:tc>
          <w:tcPr>
            <w:tcW w:w="1254" w:type="dxa"/>
            <w:gridSpan w:val="2"/>
            <w:vAlign w:val="center"/>
          </w:tcPr>
          <w:p w14:paraId="43541CC2" w14:textId="77777777" w:rsidR="00341315" w:rsidRPr="003060A1" w:rsidRDefault="00341315" w:rsidP="00341315">
            <w:pPr>
              <w:jc w:val="center"/>
            </w:pPr>
            <w:r w:rsidRPr="003060A1">
              <w:t>0.885</w:t>
            </w:r>
          </w:p>
        </w:tc>
      </w:tr>
      <w:tr w:rsidR="00341315" w14:paraId="0F7ADFD0" w14:textId="77777777" w:rsidTr="00341315">
        <w:trPr>
          <w:trHeight w:val="269"/>
        </w:trPr>
        <w:tc>
          <w:tcPr>
            <w:tcW w:w="3174" w:type="dxa"/>
          </w:tcPr>
          <w:p w14:paraId="5FC9DA66" w14:textId="473977B9" w:rsidR="00341315" w:rsidRPr="003060A1" w:rsidRDefault="00341315" w:rsidP="0064398F">
            <w:pPr>
              <w:jc w:val="both"/>
            </w:pPr>
            <w:r w:rsidRPr="003060A1">
              <w:t>Born alive average</w:t>
            </w:r>
            <w:r>
              <w:t xml:space="preserve"> (kg)</w:t>
            </w:r>
            <w:r w:rsidRPr="00E57673">
              <w:rPr>
                <w:vertAlign w:val="superscript"/>
              </w:rPr>
              <w:t>A</w:t>
            </w:r>
          </w:p>
        </w:tc>
        <w:tc>
          <w:tcPr>
            <w:tcW w:w="1154" w:type="dxa"/>
          </w:tcPr>
          <w:p w14:paraId="5DCC5B1C" w14:textId="078FEC4B" w:rsidR="00341315" w:rsidRPr="003060A1" w:rsidRDefault="00341315" w:rsidP="0064398F">
            <w:pPr>
              <w:jc w:val="both"/>
            </w:pPr>
            <w:r>
              <w:t>1.44</w:t>
            </w:r>
          </w:p>
        </w:tc>
        <w:tc>
          <w:tcPr>
            <w:tcW w:w="1626" w:type="dxa"/>
          </w:tcPr>
          <w:p w14:paraId="03D03C22" w14:textId="5178F7FC" w:rsidR="00341315" w:rsidRPr="003060A1" w:rsidRDefault="00341315" w:rsidP="0064398F">
            <w:pPr>
              <w:jc w:val="both"/>
            </w:pPr>
            <w:r>
              <w:t>1.43</w:t>
            </w:r>
          </w:p>
        </w:tc>
        <w:tc>
          <w:tcPr>
            <w:tcW w:w="1691" w:type="dxa"/>
          </w:tcPr>
          <w:p w14:paraId="669F9A99" w14:textId="5CE7713C" w:rsidR="00341315" w:rsidRPr="003060A1" w:rsidRDefault="00341315" w:rsidP="0064398F">
            <w:pPr>
              <w:jc w:val="both"/>
            </w:pPr>
            <w:r>
              <w:t>1.44</w:t>
            </w:r>
          </w:p>
        </w:tc>
        <w:tc>
          <w:tcPr>
            <w:tcW w:w="866" w:type="dxa"/>
          </w:tcPr>
          <w:p w14:paraId="13FACCE8" w14:textId="77777777" w:rsidR="00341315" w:rsidRPr="003060A1" w:rsidRDefault="00341315" w:rsidP="0064398F">
            <w:pPr>
              <w:jc w:val="both"/>
            </w:pPr>
            <w:r w:rsidRPr="003060A1">
              <w:t>0.014</w:t>
            </w:r>
          </w:p>
        </w:tc>
        <w:tc>
          <w:tcPr>
            <w:tcW w:w="1254" w:type="dxa"/>
            <w:gridSpan w:val="2"/>
            <w:vAlign w:val="center"/>
          </w:tcPr>
          <w:p w14:paraId="17939449" w14:textId="77777777" w:rsidR="00341315" w:rsidRPr="003060A1" w:rsidRDefault="00341315" w:rsidP="00341315">
            <w:pPr>
              <w:jc w:val="center"/>
            </w:pPr>
            <w:r w:rsidRPr="003060A1">
              <w:t>0.891</w:t>
            </w:r>
          </w:p>
        </w:tc>
      </w:tr>
      <w:tr w:rsidR="00341315" w14:paraId="22F79FE1" w14:textId="77777777" w:rsidTr="00341315">
        <w:trPr>
          <w:trHeight w:val="269"/>
        </w:trPr>
        <w:tc>
          <w:tcPr>
            <w:tcW w:w="3174" w:type="dxa"/>
          </w:tcPr>
          <w:p w14:paraId="77E8E1A9" w14:textId="30E2F04C" w:rsidR="00341315" w:rsidRPr="003060A1" w:rsidRDefault="00341315" w:rsidP="0064398F">
            <w:pPr>
              <w:jc w:val="both"/>
            </w:pPr>
            <w:r>
              <w:t>Week 1 sum (kg)</w:t>
            </w:r>
            <w:r w:rsidRPr="00E57673">
              <w:rPr>
                <w:vertAlign w:val="superscript"/>
              </w:rPr>
              <w:t>C</w:t>
            </w:r>
          </w:p>
        </w:tc>
        <w:tc>
          <w:tcPr>
            <w:tcW w:w="1154" w:type="dxa"/>
          </w:tcPr>
          <w:p w14:paraId="3C260BF4" w14:textId="47F8CCE2" w:rsidR="00341315" w:rsidRPr="003060A1" w:rsidRDefault="00341315" w:rsidP="0064398F">
            <w:pPr>
              <w:jc w:val="both"/>
            </w:pPr>
            <w:r>
              <w:t>38.3</w:t>
            </w:r>
          </w:p>
        </w:tc>
        <w:tc>
          <w:tcPr>
            <w:tcW w:w="1626" w:type="dxa"/>
          </w:tcPr>
          <w:p w14:paraId="1AA55759" w14:textId="6CCA156E" w:rsidR="00341315" w:rsidRPr="003060A1" w:rsidRDefault="00341315" w:rsidP="0064398F">
            <w:pPr>
              <w:jc w:val="both"/>
            </w:pPr>
            <w:r>
              <w:t>37.6</w:t>
            </w:r>
          </w:p>
        </w:tc>
        <w:tc>
          <w:tcPr>
            <w:tcW w:w="1691" w:type="dxa"/>
          </w:tcPr>
          <w:p w14:paraId="5414C4A7" w14:textId="1B23542E" w:rsidR="00341315" w:rsidRPr="003060A1" w:rsidRDefault="00341315" w:rsidP="0064398F">
            <w:pPr>
              <w:jc w:val="both"/>
            </w:pPr>
            <w:r>
              <w:t>37.1</w:t>
            </w:r>
          </w:p>
        </w:tc>
        <w:tc>
          <w:tcPr>
            <w:tcW w:w="866" w:type="dxa"/>
          </w:tcPr>
          <w:p w14:paraId="3BC913E8" w14:textId="77777777" w:rsidR="00341315" w:rsidRPr="003060A1" w:rsidRDefault="00341315" w:rsidP="0064398F">
            <w:pPr>
              <w:jc w:val="both"/>
            </w:pPr>
            <w:r w:rsidRPr="003060A1">
              <w:t>0.409</w:t>
            </w:r>
          </w:p>
        </w:tc>
        <w:tc>
          <w:tcPr>
            <w:tcW w:w="1254" w:type="dxa"/>
            <w:gridSpan w:val="2"/>
            <w:vAlign w:val="center"/>
          </w:tcPr>
          <w:p w14:paraId="2C0D91EF" w14:textId="77777777" w:rsidR="00341315" w:rsidRPr="00341315" w:rsidRDefault="00341315" w:rsidP="00341315">
            <w:pPr>
              <w:jc w:val="center"/>
            </w:pPr>
            <w:r w:rsidRPr="00341315">
              <w:t>0.095</w:t>
            </w:r>
          </w:p>
        </w:tc>
      </w:tr>
      <w:tr w:rsidR="00341315" w14:paraId="7C511BF8" w14:textId="77777777" w:rsidTr="00341315">
        <w:trPr>
          <w:trHeight w:val="269"/>
        </w:trPr>
        <w:tc>
          <w:tcPr>
            <w:tcW w:w="3174" w:type="dxa"/>
          </w:tcPr>
          <w:p w14:paraId="10BD522F" w14:textId="734ACE59" w:rsidR="00341315" w:rsidRDefault="00341315" w:rsidP="0064398F">
            <w:pPr>
              <w:jc w:val="both"/>
            </w:pPr>
            <w:r>
              <w:t>Week 1 average (kg)</w:t>
            </w:r>
            <w:r w:rsidRPr="00E57673">
              <w:rPr>
                <w:vertAlign w:val="superscript"/>
              </w:rPr>
              <w:t>C</w:t>
            </w:r>
          </w:p>
        </w:tc>
        <w:tc>
          <w:tcPr>
            <w:tcW w:w="1154" w:type="dxa"/>
          </w:tcPr>
          <w:p w14:paraId="4A068793" w14:textId="35F8678B" w:rsidR="00341315" w:rsidRDefault="00341315" w:rsidP="0064398F">
            <w:pPr>
              <w:jc w:val="both"/>
            </w:pPr>
            <w:r>
              <w:t>2.82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26" w:type="dxa"/>
          </w:tcPr>
          <w:p w14:paraId="778BFC93" w14:textId="20E5FED3" w:rsidR="00341315" w:rsidRDefault="00341315" w:rsidP="0064398F">
            <w:pPr>
              <w:jc w:val="both"/>
            </w:pPr>
            <w:r>
              <w:t>2.75</w:t>
            </w:r>
            <w:r w:rsidRPr="00715E1F">
              <w:rPr>
                <w:vertAlign w:val="superscript"/>
              </w:rPr>
              <w:t>ab</w:t>
            </w:r>
          </w:p>
        </w:tc>
        <w:tc>
          <w:tcPr>
            <w:tcW w:w="1691" w:type="dxa"/>
          </w:tcPr>
          <w:p w14:paraId="50657C00" w14:textId="69DC4B19" w:rsidR="00341315" w:rsidRDefault="00341315" w:rsidP="0064398F">
            <w:pPr>
              <w:jc w:val="both"/>
            </w:pPr>
            <w:r>
              <w:t>2.72</w:t>
            </w:r>
            <w:r w:rsidRPr="00715E1F">
              <w:rPr>
                <w:vertAlign w:val="superscript"/>
              </w:rPr>
              <w:t>b</w:t>
            </w:r>
          </w:p>
        </w:tc>
        <w:tc>
          <w:tcPr>
            <w:tcW w:w="866" w:type="dxa"/>
          </w:tcPr>
          <w:p w14:paraId="6052FBB7" w14:textId="77777777" w:rsidR="00341315" w:rsidRDefault="00341315" w:rsidP="0064398F">
            <w:pPr>
              <w:jc w:val="both"/>
            </w:pPr>
            <w:r>
              <w:t>0.029</w:t>
            </w:r>
          </w:p>
        </w:tc>
        <w:tc>
          <w:tcPr>
            <w:tcW w:w="1254" w:type="dxa"/>
            <w:gridSpan w:val="2"/>
            <w:vAlign w:val="center"/>
          </w:tcPr>
          <w:p w14:paraId="6A8F9503" w14:textId="77777777" w:rsidR="00341315" w:rsidRPr="003060A1" w:rsidRDefault="00341315" w:rsidP="00341315">
            <w:pPr>
              <w:jc w:val="center"/>
              <w:rPr>
                <w:b/>
              </w:rPr>
            </w:pPr>
            <w:r w:rsidRPr="003060A1">
              <w:rPr>
                <w:b/>
              </w:rPr>
              <w:t>0.042</w:t>
            </w:r>
          </w:p>
        </w:tc>
      </w:tr>
      <w:tr w:rsidR="00341315" w14:paraId="7117A73F" w14:textId="77777777" w:rsidTr="00341315">
        <w:trPr>
          <w:trHeight w:val="259"/>
        </w:trPr>
        <w:tc>
          <w:tcPr>
            <w:tcW w:w="3174" w:type="dxa"/>
          </w:tcPr>
          <w:p w14:paraId="4EAAF1BA" w14:textId="7F26A219" w:rsidR="00341315" w:rsidRDefault="00341315" w:rsidP="0064398F">
            <w:pPr>
              <w:jc w:val="both"/>
            </w:pPr>
            <w:r>
              <w:t>Week 1 average daily gain (g/d)</w:t>
            </w:r>
            <w:r w:rsidRPr="00E57673">
              <w:rPr>
                <w:vertAlign w:val="superscript"/>
              </w:rPr>
              <w:t>C</w:t>
            </w:r>
          </w:p>
        </w:tc>
        <w:tc>
          <w:tcPr>
            <w:tcW w:w="1154" w:type="dxa"/>
          </w:tcPr>
          <w:p w14:paraId="0F08577F" w14:textId="77777777" w:rsidR="00341315" w:rsidRDefault="00341315" w:rsidP="0064398F">
            <w:pPr>
              <w:jc w:val="both"/>
            </w:pPr>
            <w:r>
              <w:t>0.194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26" w:type="dxa"/>
          </w:tcPr>
          <w:p w14:paraId="4E115E54" w14:textId="77777777" w:rsidR="00341315" w:rsidRDefault="00341315" w:rsidP="0064398F">
            <w:pPr>
              <w:jc w:val="both"/>
            </w:pPr>
            <w:r>
              <w:t>0.187</w:t>
            </w:r>
            <w:r w:rsidRPr="00715E1F">
              <w:rPr>
                <w:vertAlign w:val="superscript"/>
              </w:rPr>
              <w:t>ab</w:t>
            </w:r>
          </w:p>
        </w:tc>
        <w:tc>
          <w:tcPr>
            <w:tcW w:w="1691" w:type="dxa"/>
          </w:tcPr>
          <w:p w14:paraId="0B5CA964" w14:textId="77777777" w:rsidR="00341315" w:rsidRDefault="00341315" w:rsidP="0064398F">
            <w:pPr>
              <w:jc w:val="both"/>
            </w:pPr>
            <w:r>
              <w:t>0.181</w:t>
            </w:r>
            <w:r w:rsidRPr="00715E1F">
              <w:rPr>
                <w:vertAlign w:val="superscript"/>
              </w:rPr>
              <w:t>b</w:t>
            </w:r>
          </w:p>
        </w:tc>
        <w:tc>
          <w:tcPr>
            <w:tcW w:w="866" w:type="dxa"/>
          </w:tcPr>
          <w:p w14:paraId="7CDB11E1" w14:textId="77777777" w:rsidR="00341315" w:rsidRDefault="00341315" w:rsidP="0064398F">
            <w:pPr>
              <w:jc w:val="both"/>
            </w:pPr>
            <w:r>
              <w:t>0.003</w:t>
            </w:r>
          </w:p>
        </w:tc>
        <w:tc>
          <w:tcPr>
            <w:tcW w:w="1254" w:type="dxa"/>
            <w:gridSpan w:val="2"/>
            <w:vAlign w:val="center"/>
          </w:tcPr>
          <w:p w14:paraId="7B49D98C" w14:textId="77777777" w:rsidR="00341315" w:rsidRPr="00E86E4C" w:rsidRDefault="00341315" w:rsidP="00341315">
            <w:pPr>
              <w:jc w:val="center"/>
              <w:rPr>
                <w:b/>
              </w:rPr>
            </w:pPr>
            <w:r w:rsidRPr="00E86E4C">
              <w:rPr>
                <w:b/>
              </w:rPr>
              <w:t>0.003</w:t>
            </w:r>
          </w:p>
        </w:tc>
      </w:tr>
      <w:tr w:rsidR="00341315" w14:paraId="17307C6E" w14:textId="77777777" w:rsidTr="00341315">
        <w:trPr>
          <w:trHeight w:val="269"/>
        </w:trPr>
        <w:tc>
          <w:tcPr>
            <w:tcW w:w="3174" w:type="dxa"/>
          </w:tcPr>
          <w:p w14:paraId="33780875" w14:textId="577E5D9D" w:rsidR="00341315" w:rsidRDefault="00341315" w:rsidP="0064398F">
            <w:pPr>
              <w:jc w:val="both"/>
            </w:pPr>
            <w:r>
              <w:t>Wean sum (kg)</w:t>
            </w:r>
            <w:r w:rsidRPr="00E57673">
              <w:rPr>
                <w:vertAlign w:val="superscript"/>
              </w:rPr>
              <w:t>D</w:t>
            </w:r>
          </w:p>
        </w:tc>
        <w:tc>
          <w:tcPr>
            <w:tcW w:w="1154" w:type="dxa"/>
          </w:tcPr>
          <w:p w14:paraId="1EE951FD" w14:textId="77777777" w:rsidR="00341315" w:rsidRDefault="00341315" w:rsidP="0064398F">
            <w:pPr>
              <w:jc w:val="both"/>
            </w:pPr>
            <w:r>
              <w:t>115.8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26" w:type="dxa"/>
          </w:tcPr>
          <w:p w14:paraId="77FB1672" w14:textId="77777777" w:rsidR="00341315" w:rsidRDefault="00341315" w:rsidP="0064398F">
            <w:pPr>
              <w:jc w:val="both"/>
            </w:pPr>
            <w:r>
              <w:t>115.2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91" w:type="dxa"/>
          </w:tcPr>
          <w:p w14:paraId="769914D0" w14:textId="77777777" w:rsidR="00341315" w:rsidRDefault="00341315" w:rsidP="0064398F">
            <w:pPr>
              <w:jc w:val="both"/>
            </w:pPr>
            <w:r>
              <w:t>112.9</w:t>
            </w:r>
            <w:r w:rsidRPr="00715E1F">
              <w:rPr>
                <w:vertAlign w:val="superscript"/>
              </w:rPr>
              <w:t>b</w:t>
            </w:r>
          </w:p>
        </w:tc>
        <w:tc>
          <w:tcPr>
            <w:tcW w:w="866" w:type="dxa"/>
          </w:tcPr>
          <w:p w14:paraId="69C06413" w14:textId="77777777" w:rsidR="00341315" w:rsidRDefault="00341315" w:rsidP="0064398F">
            <w:pPr>
              <w:jc w:val="both"/>
            </w:pPr>
            <w:r>
              <w:t>0.705</w:t>
            </w:r>
          </w:p>
        </w:tc>
        <w:tc>
          <w:tcPr>
            <w:tcW w:w="1254" w:type="dxa"/>
            <w:gridSpan w:val="2"/>
            <w:vAlign w:val="center"/>
          </w:tcPr>
          <w:p w14:paraId="14CC1821" w14:textId="77777777" w:rsidR="00341315" w:rsidRPr="00E86E4C" w:rsidRDefault="00341315" w:rsidP="00341315">
            <w:pPr>
              <w:jc w:val="center"/>
              <w:rPr>
                <w:b/>
              </w:rPr>
            </w:pPr>
            <w:r>
              <w:rPr>
                <w:b/>
              </w:rPr>
              <w:t>0.009</w:t>
            </w:r>
          </w:p>
        </w:tc>
      </w:tr>
      <w:tr w:rsidR="00341315" w14:paraId="6A2F6C15" w14:textId="77777777" w:rsidTr="00341315">
        <w:trPr>
          <w:trHeight w:val="269"/>
        </w:trPr>
        <w:tc>
          <w:tcPr>
            <w:tcW w:w="3174" w:type="dxa"/>
          </w:tcPr>
          <w:p w14:paraId="3A224F5E" w14:textId="53BE4B50" w:rsidR="00341315" w:rsidRDefault="00341315" w:rsidP="0064398F">
            <w:pPr>
              <w:jc w:val="both"/>
            </w:pPr>
            <w:r>
              <w:t>Wean average (kg)</w:t>
            </w:r>
            <w:r w:rsidRPr="00E57673">
              <w:rPr>
                <w:vertAlign w:val="superscript"/>
              </w:rPr>
              <w:t>D</w:t>
            </w:r>
          </w:p>
        </w:tc>
        <w:tc>
          <w:tcPr>
            <w:tcW w:w="1154" w:type="dxa"/>
          </w:tcPr>
          <w:p w14:paraId="514BA6F5" w14:textId="3AF131CA" w:rsidR="00341315" w:rsidRDefault="00341315" w:rsidP="0064398F">
            <w:pPr>
              <w:jc w:val="both"/>
            </w:pPr>
            <w:r>
              <w:t>8.63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26" w:type="dxa"/>
          </w:tcPr>
          <w:p w14:paraId="5E50EEBA" w14:textId="48507398" w:rsidR="00341315" w:rsidRDefault="00341315" w:rsidP="0064398F">
            <w:pPr>
              <w:jc w:val="both"/>
            </w:pPr>
            <w:r>
              <w:t>8.62</w:t>
            </w:r>
            <w:r w:rsidRPr="00715E1F">
              <w:rPr>
                <w:vertAlign w:val="superscript"/>
              </w:rPr>
              <w:t>ab</w:t>
            </w:r>
          </w:p>
        </w:tc>
        <w:tc>
          <w:tcPr>
            <w:tcW w:w="1691" w:type="dxa"/>
          </w:tcPr>
          <w:p w14:paraId="61E33AB9" w14:textId="0EEC2F9B" w:rsidR="00341315" w:rsidRDefault="00341315" w:rsidP="0064398F">
            <w:pPr>
              <w:jc w:val="both"/>
            </w:pPr>
            <w:r>
              <w:t>8.49</w:t>
            </w:r>
            <w:r w:rsidRPr="00715E1F">
              <w:rPr>
                <w:vertAlign w:val="superscript"/>
              </w:rPr>
              <w:t>b</w:t>
            </w:r>
          </w:p>
        </w:tc>
        <w:tc>
          <w:tcPr>
            <w:tcW w:w="866" w:type="dxa"/>
          </w:tcPr>
          <w:p w14:paraId="6550AD49" w14:textId="77777777" w:rsidR="00341315" w:rsidRDefault="00341315" w:rsidP="0064398F">
            <w:pPr>
              <w:jc w:val="both"/>
            </w:pPr>
            <w:r>
              <w:t>0.050</w:t>
            </w:r>
          </w:p>
        </w:tc>
        <w:tc>
          <w:tcPr>
            <w:tcW w:w="1254" w:type="dxa"/>
            <w:gridSpan w:val="2"/>
            <w:vAlign w:val="center"/>
          </w:tcPr>
          <w:p w14:paraId="6314C0CE" w14:textId="77777777" w:rsidR="00341315" w:rsidRPr="00341315" w:rsidRDefault="00341315" w:rsidP="00341315">
            <w:pPr>
              <w:jc w:val="center"/>
            </w:pPr>
            <w:r w:rsidRPr="00341315">
              <w:t>0.073</w:t>
            </w:r>
          </w:p>
        </w:tc>
      </w:tr>
      <w:tr w:rsidR="00341315" w14:paraId="7E59A929" w14:textId="77777777" w:rsidTr="00341315">
        <w:trPr>
          <w:trHeight w:val="269"/>
        </w:trPr>
        <w:tc>
          <w:tcPr>
            <w:tcW w:w="3174" w:type="dxa"/>
          </w:tcPr>
          <w:p w14:paraId="385250D3" w14:textId="77146B97" w:rsidR="00341315" w:rsidRDefault="00341315" w:rsidP="0064398F">
            <w:pPr>
              <w:jc w:val="both"/>
            </w:pPr>
            <w:r>
              <w:t>Wean average daily gain (g/d)</w:t>
            </w:r>
            <w:r w:rsidRPr="00E57673">
              <w:rPr>
                <w:vertAlign w:val="superscript"/>
              </w:rPr>
              <w:t>E</w:t>
            </w:r>
          </w:p>
        </w:tc>
        <w:tc>
          <w:tcPr>
            <w:tcW w:w="1154" w:type="dxa"/>
          </w:tcPr>
          <w:p w14:paraId="48F37768" w14:textId="77777777" w:rsidR="00341315" w:rsidRDefault="00341315" w:rsidP="0064398F">
            <w:pPr>
              <w:jc w:val="both"/>
            </w:pPr>
            <w:r>
              <w:t>0.288</w:t>
            </w:r>
          </w:p>
        </w:tc>
        <w:tc>
          <w:tcPr>
            <w:tcW w:w="1626" w:type="dxa"/>
          </w:tcPr>
          <w:p w14:paraId="3F38B8EF" w14:textId="77777777" w:rsidR="00341315" w:rsidRDefault="00341315" w:rsidP="0064398F">
            <w:pPr>
              <w:jc w:val="both"/>
            </w:pPr>
            <w:r>
              <w:t>0.288</w:t>
            </w:r>
          </w:p>
        </w:tc>
        <w:tc>
          <w:tcPr>
            <w:tcW w:w="1691" w:type="dxa"/>
          </w:tcPr>
          <w:p w14:paraId="7E1B6EBB" w14:textId="77777777" w:rsidR="00341315" w:rsidRDefault="00341315" w:rsidP="0064398F">
            <w:pPr>
              <w:jc w:val="both"/>
            </w:pPr>
            <w:r>
              <w:t>0.283</w:t>
            </w:r>
          </w:p>
        </w:tc>
        <w:tc>
          <w:tcPr>
            <w:tcW w:w="866" w:type="dxa"/>
          </w:tcPr>
          <w:p w14:paraId="7D73E7D4" w14:textId="77777777" w:rsidR="00341315" w:rsidRDefault="00341315" w:rsidP="0064398F">
            <w:pPr>
              <w:jc w:val="both"/>
            </w:pPr>
            <w:r>
              <w:t>0.002</w:t>
            </w:r>
          </w:p>
        </w:tc>
        <w:tc>
          <w:tcPr>
            <w:tcW w:w="1254" w:type="dxa"/>
            <w:gridSpan w:val="2"/>
            <w:vAlign w:val="center"/>
          </w:tcPr>
          <w:p w14:paraId="62919F6F" w14:textId="77777777" w:rsidR="00341315" w:rsidRPr="00B851DA" w:rsidRDefault="00341315" w:rsidP="00341315">
            <w:pPr>
              <w:jc w:val="center"/>
            </w:pPr>
            <w:r w:rsidRPr="00B851DA">
              <w:t>0.145</w:t>
            </w:r>
          </w:p>
        </w:tc>
      </w:tr>
      <w:tr w:rsidR="00341315" w14:paraId="7EEDCE49" w14:textId="77777777" w:rsidTr="00341315">
        <w:trPr>
          <w:trHeight w:val="269"/>
        </w:trPr>
        <w:tc>
          <w:tcPr>
            <w:tcW w:w="3174" w:type="dxa"/>
            <w:tcBorders>
              <w:bottom w:val="single" w:sz="4" w:space="0" w:color="auto"/>
            </w:tcBorders>
          </w:tcPr>
          <w:p w14:paraId="50BB91F7" w14:textId="76EF2DC4" w:rsidR="00341315" w:rsidRDefault="00341315" w:rsidP="0064398F">
            <w:pPr>
              <w:jc w:val="both"/>
            </w:pPr>
            <w:r>
              <w:t xml:space="preserve">Number weaned </w:t>
            </w:r>
            <w:r w:rsidRPr="006E41A0">
              <w:rPr>
                <w:vertAlign w:val="superscript"/>
              </w:rPr>
              <w:t>F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46DB852D" w14:textId="3C59B0AA" w:rsidR="00341315" w:rsidRDefault="00341315" w:rsidP="0064398F">
            <w:pPr>
              <w:jc w:val="both"/>
            </w:pPr>
            <w:r>
              <w:t>13.1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6E90DE05" w14:textId="78640040" w:rsidR="00341315" w:rsidRDefault="00341315" w:rsidP="0064398F">
            <w:pPr>
              <w:jc w:val="both"/>
            </w:pPr>
            <w:r>
              <w:t>13.4</w:t>
            </w:r>
            <w:r w:rsidRPr="00715E1F">
              <w:rPr>
                <w:vertAlign w:val="superscript"/>
              </w:rPr>
              <w:t>a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46A25B61" w14:textId="07A1ABD2" w:rsidR="00341315" w:rsidRDefault="00341315" w:rsidP="0064398F">
            <w:pPr>
              <w:jc w:val="both"/>
            </w:pPr>
            <w:r>
              <w:t>13.7</w:t>
            </w:r>
            <w:r w:rsidRPr="00715E1F">
              <w:rPr>
                <w:vertAlign w:val="superscript"/>
              </w:rPr>
              <w:t>b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5D9871ED" w14:textId="77777777" w:rsidR="00341315" w:rsidRDefault="00341315" w:rsidP="0064398F">
            <w:pPr>
              <w:jc w:val="both"/>
            </w:pPr>
            <w:r>
              <w:t>0.128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14:paraId="3C577B32" w14:textId="7F9A65AA" w:rsidR="00341315" w:rsidRPr="00770A03" w:rsidRDefault="00341315" w:rsidP="00341315">
            <w:pPr>
              <w:jc w:val="center"/>
              <w:rPr>
                <w:b/>
              </w:rPr>
            </w:pPr>
            <w:r w:rsidRPr="00770A03">
              <w:rPr>
                <w:b/>
              </w:rPr>
              <w:t>0.001</w:t>
            </w:r>
          </w:p>
        </w:tc>
      </w:tr>
    </w:tbl>
    <w:p w14:paraId="6E136442" w14:textId="2B2CF63C" w:rsidR="009F5457" w:rsidRPr="006E41A0" w:rsidRDefault="00180E9B" w:rsidP="0064398F">
      <w:pPr>
        <w:jc w:val="both"/>
        <w:rPr>
          <w:sz w:val="18"/>
        </w:rPr>
      </w:pPr>
      <w:r w:rsidRPr="00770A03">
        <w:rPr>
          <w:sz w:val="18"/>
          <w:vertAlign w:val="superscript"/>
        </w:rPr>
        <w:t>A</w:t>
      </w:r>
      <w:r w:rsidRPr="00B851DA">
        <w:rPr>
          <w:sz w:val="18"/>
        </w:rPr>
        <w:t xml:space="preserve"> controlling for number born, </w:t>
      </w:r>
      <w:r w:rsidRPr="00770A03">
        <w:rPr>
          <w:sz w:val="18"/>
          <w:vertAlign w:val="superscript"/>
        </w:rPr>
        <w:t>B</w:t>
      </w:r>
      <w:r w:rsidRPr="00B851DA">
        <w:rPr>
          <w:sz w:val="18"/>
        </w:rPr>
        <w:t xml:space="preserve"> controlling for number born alive, </w:t>
      </w:r>
      <w:r w:rsidRPr="00770A03">
        <w:rPr>
          <w:sz w:val="18"/>
          <w:vertAlign w:val="superscript"/>
        </w:rPr>
        <w:t>C</w:t>
      </w:r>
      <w:r w:rsidRPr="00B851DA">
        <w:rPr>
          <w:sz w:val="18"/>
        </w:rPr>
        <w:t xml:space="preserve"> controlling for number of pigs and piglet age, </w:t>
      </w:r>
      <w:r w:rsidR="00770A03">
        <w:rPr>
          <w:sz w:val="18"/>
        </w:rPr>
        <w:br/>
      </w:r>
      <w:r w:rsidRPr="00770A03">
        <w:rPr>
          <w:sz w:val="18"/>
          <w:vertAlign w:val="superscript"/>
        </w:rPr>
        <w:t>D</w:t>
      </w:r>
      <w:r w:rsidRPr="00B851DA">
        <w:rPr>
          <w:sz w:val="18"/>
        </w:rPr>
        <w:t xml:space="preserve"> controlling for number weaned and week 1 weight, </w:t>
      </w:r>
      <w:r w:rsidRPr="00770A03">
        <w:rPr>
          <w:sz w:val="18"/>
          <w:vertAlign w:val="superscript"/>
        </w:rPr>
        <w:t>E</w:t>
      </w:r>
      <w:r w:rsidRPr="00B851DA">
        <w:rPr>
          <w:sz w:val="18"/>
        </w:rPr>
        <w:t xml:space="preserve"> controlling for number weaned, wean age and week 1 weight</w:t>
      </w:r>
      <w:r>
        <w:rPr>
          <w:sz w:val="18"/>
        </w:rPr>
        <w:t xml:space="preserve">, </w:t>
      </w:r>
      <w:r w:rsidR="00770A03">
        <w:rPr>
          <w:sz w:val="18"/>
        </w:rPr>
        <w:br/>
      </w:r>
      <w:r w:rsidRPr="00770A03">
        <w:rPr>
          <w:sz w:val="18"/>
          <w:vertAlign w:val="superscript"/>
        </w:rPr>
        <w:t>F</w:t>
      </w:r>
      <w:r>
        <w:rPr>
          <w:sz w:val="18"/>
        </w:rPr>
        <w:t xml:space="preserve"> cont</w:t>
      </w:r>
      <w:r w:rsidR="00E74ED9">
        <w:rPr>
          <w:sz w:val="18"/>
        </w:rPr>
        <w:t>rolling for weaning age</w:t>
      </w:r>
    </w:p>
    <w:p w14:paraId="78FA3780" w14:textId="7D40D7FE" w:rsidR="00240BB4" w:rsidRDefault="00240BB4" w:rsidP="0064398F">
      <w:pPr>
        <w:jc w:val="both"/>
      </w:pPr>
      <w:r w:rsidRPr="00D41F95">
        <w:rPr>
          <w:b/>
        </w:rPr>
        <w:t>Conclusion</w:t>
      </w:r>
      <w:r w:rsidR="00D41F95">
        <w:t>:</w:t>
      </w:r>
      <w:r w:rsidR="00EA5CB5">
        <w:t xml:space="preserve"> Restricting the movement of sows in the early lactation period reduced</w:t>
      </w:r>
      <w:r w:rsidR="00BA7D32">
        <w:t xml:space="preserve"> pre-weaning mortality compared to those allowed to farrow and lactate freely within the pen. Analysis of the e</w:t>
      </w:r>
      <w:r w:rsidR="00BF2257">
        <w:t xml:space="preserve">ffects of housing </w:t>
      </w:r>
      <w:r w:rsidR="00BA7D32">
        <w:t xml:space="preserve">on sow stress and behaviour are on-going and required to support management decisions. </w:t>
      </w:r>
    </w:p>
    <w:p w14:paraId="7DA2A5CA" w14:textId="77D5A327" w:rsidR="00240BB4" w:rsidRDefault="00240BB4" w:rsidP="0064398F">
      <w:pPr>
        <w:jc w:val="both"/>
      </w:pPr>
      <w:r w:rsidRPr="00240BB4">
        <w:rPr>
          <w:b/>
        </w:rPr>
        <w:t>Acknowledgements:</w:t>
      </w:r>
      <w:r w:rsidR="00444C72">
        <w:t xml:space="preserve"> F</w:t>
      </w:r>
      <w:r>
        <w:t xml:space="preserve">unding </w:t>
      </w:r>
      <w:r w:rsidR="00444C72">
        <w:t>received f</w:t>
      </w:r>
      <w:r>
        <w:t>rom the Michael Beverly Innovation Fellowship and Research England.</w:t>
      </w:r>
    </w:p>
    <w:p w14:paraId="2453E6AC" w14:textId="7CBC24A4" w:rsidR="00444C72" w:rsidRDefault="00444C72" w:rsidP="0064398F">
      <w:pPr>
        <w:jc w:val="both"/>
      </w:pPr>
      <w:r w:rsidRPr="00444C72">
        <w:rPr>
          <w:b/>
        </w:rPr>
        <w:t>References:</w:t>
      </w:r>
      <w:r>
        <w:t xml:space="preserve"> King RL, Baxter EM, Matheson SM, Edwards SA, 2019. Animal 13, 189-197</w:t>
      </w:r>
    </w:p>
    <w:sectPr w:rsidR="00444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B4"/>
    <w:rsid w:val="00180E9B"/>
    <w:rsid w:val="001917CE"/>
    <w:rsid w:val="001A42EC"/>
    <w:rsid w:val="00240BB4"/>
    <w:rsid w:val="0033080F"/>
    <w:rsid w:val="00341315"/>
    <w:rsid w:val="00444C72"/>
    <w:rsid w:val="004552EB"/>
    <w:rsid w:val="0059567F"/>
    <w:rsid w:val="0064398F"/>
    <w:rsid w:val="006E41A0"/>
    <w:rsid w:val="00715E1F"/>
    <w:rsid w:val="00760D4A"/>
    <w:rsid w:val="00770A03"/>
    <w:rsid w:val="008C4EB5"/>
    <w:rsid w:val="009F5457"/>
    <w:rsid w:val="00BA7D32"/>
    <w:rsid w:val="00BF2257"/>
    <w:rsid w:val="00D268C8"/>
    <w:rsid w:val="00D41F95"/>
    <w:rsid w:val="00E57673"/>
    <w:rsid w:val="00E74ED9"/>
    <w:rsid w:val="00EA5CB5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6FF01"/>
  <w15:chartTrackingRefBased/>
  <w15:docId w15:val="{6925DCDD-022D-457A-AFD7-B280C984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B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8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8C9FC42C8204281AE53756D23EE37" ma:contentTypeVersion="16" ma:contentTypeDescription="Create a new document." ma:contentTypeScope="" ma:versionID="60064d7835491b7f4b16c50538176188">
  <xsd:schema xmlns:xsd="http://www.w3.org/2001/XMLSchema" xmlns:xs="http://www.w3.org/2001/XMLSchema" xmlns:p="http://schemas.microsoft.com/office/2006/metadata/properties" xmlns:ns3="fb9151c2-9a96-4f40-b296-29e0d27596a1" xmlns:ns4="56572833-27b7-4d9b-88c7-f3f14c65cfa3" targetNamespace="http://schemas.microsoft.com/office/2006/metadata/properties" ma:root="true" ma:fieldsID="f8b5839ef2a995c22a751bb6ca75be26" ns3:_="" ns4:_="">
    <xsd:import namespace="fb9151c2-9a96-4f40-b296-29e0d27596a1"/>
    <xsd:import namespace="56572833-27b7-4d9b-88c7-f3f14c65c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51c2-9a96-4f40-b296-29e0d275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72833-27b7-4d9b-88c7-f3f14c65c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9151c2-9a96-4f40-b296-29e0d27596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56C3F-3D09-4F32-8D35-2EBAD609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151c2-9a96-4f40-b296-29e0d27596a1"/>
    <ds:schemaRef ds:uri="56572833-27b7-4d9b-88c7-f3f14c65c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B3A640-B621-4F6F-89A9-6E010EACB8E0}">
  <ds:schemaRefs>
    <ds:schemaRef ds:uri="http://purl.org/dc/elements/1.1/"/>
    <ds:schemaRef ds:uri="http://schemas.microsoft.com/office/2006/metadata/properties"/>
    <ds:schemaRef ds:uri="fb9151c2-9a96-4f40-b296-29e0d27596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572833-27b7-4d9b-88c7-f3f14c65cf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55A11D-A1CC-43E1-B42D-A352C9E74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McDermott</dc:creator>
  <cp:keywords/>
  <dc:description/>
  <cp:lastModifiedBy>Katie McDermott</cp:lastModifiedBy>
  <cp:revision>3</cp:revision>
  <dcterms:created xsi:type="dcterms:W3CDTF">2024-01-02T10:33:00Z</dcterms:created>
  <dcterms:modified xsi:type="dcterms:W3CDTF">2024-01-02T10:34:00Z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0x010100D8A8C9FC42C8204281AE53756D23EE37</vt:lpwstr>
  </property>
</Properties>
</file>