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ECB3" w14:textId="6B1CC50D" w:rsidR="007B30E3" w:rsidRPr="00834AD4" w:rsidRDefault="007B30E3" w:rsidP="00BB3AE3">
      <w:pPr>
        <w:jc w:val="both"/>
        <w:rPr>
          <w:lang w:val="en-US"/>
        </w:rPr>
      </w:pPr>
      <w:r>
        <w:rPr>
          <w:b/>
          <w:bCs/>
          <w:lang w:val="en-US"/>
        </w:rPr>
        <w:t>Application</w:t>
      </w:r>
      <w:r w:rsidR="00834AD4">
        <w:rPr>
          <w:b/>
          <w:bCs/>
          <w:lang w:val="en-US"/>
        </w:rPr>
        <w:t xml:space="preserve"> </w:t>
      </w:r>
      <w:r w:rsidR="00834AD4" w:rsidRPr="00834AD4">
        <w:rPr>
          <w:lang w:val="en-US"/>
        </w:rPr>
        <w:t>The increased use of low human-edible feeds in concentrates c</w:t>
      </w:r>
      <w:r w:rsidR="00804A57">
        <w:rPr>
          <w:lang w:val="en-US"/>
        </w:rPr>
        <w:t>an improve</w:t>
      </w:r>
      <w:r w:rsidR="00834AD4" w:rsidRPr="00834AD4">
        <w:rPr>
          <w:lang w:val="en-US"/>
        </w:rPr>
        <w:t xml:space="preserve"> the </w:t>
      </w:r>
      <w:r w:rsidR="00804A57">
        <w:rPr>
          <w:lang w:val="en-US"/>
        </w:rPr>
        <w:t>sustainability of future</w:t>
      </w:r>
      <w:r w:rsidR="00834AD4" w:rsidRPr="00834AD4">
        <w:rPr>
          <w:lang w:val="en-US"/>
        </w:rPr>
        <w:t xml:space="preserve"> milk production systems</w:t>
      </w:r>
    </w:p>
    <w:p w14:paraId="167B5498" w14:textId="459D1E70" w:rsidR="007B30E3" w:rsidRPr="00834AD4" w:rsidRDefault="007B30E3" w:rsidP="00BB3AE3">
      <w:pPr>
        <w:jc w:val="both"/>
        <w:rPr>
          <w:rFonts w:cs="Times New Roman"/>
        </w:rPr>
      </w:pPr>
      <w:r w:rsidRPr="00834AD4">
        <w:rPr>
          <w:b/>
          <w:bCs/>
          <w:lang w:val="en-US"/>
        </w:rPr>
        <w:t>Introduction</w:t>
      </w:r>
      <w:r w:rsidR="00834AD4" w:rsidRPr="00834AD4">
        <w:rPr>
          <w:b/>
          <w:bCs/>
          <w:lang w:val="en-US"/>
        </w:rPr>
        <w:t xml:space="preserve"> </w:t>
      </w:r>
      <w:r w:rsidR="00834AD4" w:rsidRPr="00834AD4">
        <w:rPr>
          <w:rFonts w:cs="Times New Roman"/>
        </w:rPr>
        <w:t xml:space="preserve">The study examined milk production </w:t>
      </w:r>
      <w:r w:rsidR="00483762">
        <w:rPr>
          <w:rFonts w:cs="Times New Roman"/>
        </w:rPr>
        <w:t>responses</w:t>
      </w:r>
      <w:r w:rsidR="00834AD4" w:rsidRPr="00834AD4">
        <w:rPr>
          <w:rFonts w:cs="Times New Roman"/>
        </w:rPr>
        <w:t xml:space="preserve"> of dairy cows offered concentrates differing in </w:t>
      </w:r>
      <w:r w:rsidR="00804A57">
        <w:rPr>
          <w:rFonts w:cs="Times New Roman"/>
        </w:rPr>
        <w:t xml:space="preserve">their </w:t>
      </w:r>
      <w:r w:rsidR="00834AD4" w:rsidRPr="00834AD4">
        <w:rPr>
          <w:rFonts w:cs="Times New Roman"/>
        </w:rPr>
        <w:t>human-edible fraction (HEF) and grass silages harvested at different stages of maturity.</w:t>
      </w:r>
    </w:p>
    <w:p w14:paraId="31DE43A2" w14:textId="79F09D29" w:rsidR="007B30E3" w:rsidRPr="00834AD4" w:rsidRDefault="007B30E3" w:rsidP="00BB3AE3">
      <w:pPr>
        <w:jc w:val="both"/>
        <w:rPr>
          <w:rFonts w:cs="Times New Roman"/>
        </w:rPr>
      </w:pPr>
      <w:r w:rsidRPr="00834AD4">
        <w:rPr>
          <w:b/>
          <w:bCs/>
          <w:lang w:val="en-US"/>
        </w:rPr>
        <w:t>Materials and Methods</w:t>
      </w:r>
      <w:r w:rsidR="00834AD4" w:rsidRPr="00834AD4">
        <w:rPr>
          <w:b/>
          <w:bCs/>
          <w:lang w:val="en-US"/>
        </w:rPr>
        <w:t xml:space="preserve"> </w:t>
      </w:r>
      <w:r w:rsidR="00834AD4" w:rsidRPr="00834AD4">
        <w:rPr>
          <w:rFonts w:cs="Times New Roman"/>
        </w:rPr>
        <w:t>Four treatments (2×2 factorial design) were examined in a three-period partial changeover design experiment using 32 mid lactation dairy cows</w:t>
      </w:r>
      <w:r w:rsidR="00D9029F">
        <w:rPr>
          <w:rFonts w:cs="Times New Roman"/>
        </w:rPr>
        <w:t xml:space="preserve"> </w:t>
      </w:r>
      <w:r w:rsidR="008F7F15">
        <w:rPr>
          <w:rFonts w:cs="Times New Roman"/>
        </w:rPr>
        <w:t>(mean of 191 days calved)</w:t>
      </w:r>
      <w:r w:rsidR="00834AD4" w:rsidRPr="00834AD4">
        <w:rPr>
          <w:rFonts w:cs="Times New Roman"/>
        </w:rPr>
        <w:t xml:space="preserve">. Factors comprised concentrates containing either a low (LE) or high level of human-edible ingredients (HE) and silages harvested at an early (EC) or later (LC) date (4 May and 17 May 2023). The HE </w:t>
      </w:r>
      <w:proofErr w:type="gramStart"/>
      <w:r w:rsidR="00834AD4" w:rsidRPr="00834AD4">
        <w:rPr>
          <w:rFonts w:cs="Times New Roman"/>
        </w:rPr>
        <w:t>concentrate</w:t>
      </w:r>
      <w:proofErr w:type="gramEnd"/>
      <w:r w:rsidR="00834AD4" w:rsidRPr="00834AD4">
        <w:rPr>
          <w:rFonts w:cs="Times New Roman"/>
        </w:rPr>
        <w:t xml:space="preserve"> contained significant quantities of cereals and soya-bean meal, while</w:t>
      </w:r>
      <w:r w:rsidR="00DC3FA2">
        <w:rPr>
          <w:rFonts w:cs="Times New Roman"/>
        </w:rPr>
        <w:t xml:space="preserve"> </w:t>
      </w:r>
      <w:r w:rsidR="00A47AB4">
        <w:rPr>
          <w:rFonts w:cs="Times New Roman"/>
        </w:rPr>
        <w:t xml:space="preserve">these feedstuffs </w:t>
      </w:r>
      <w:r w:rsidR="00834AD4" w:rsidRPr="00834AD4">
        <w:rPr>
          <w:rFonts w:cs="Times New Roman"/>
        </w:rPr>
        <w:t>were replaced with by-product feeds</w:t>
      </w:r>
      <w:r w:rsidR="00A47AB4" w:rsidRPr="00A47AB4">
        <w:rPr>
          <w:rFonts w:cs="Times New Roman"/>
        </w:rPr>
        <w:t xml:space="preserve"> </w:t>
      </w:r>
      <w:r w:rsidR="00AC2DE7">
        <w:rPr>
          <w:rFonts w:cs="Times New Roman"/>
        </w:rPr>
        <w:t xml:space="preserve">like sugar beet pulp and distillers dark grains </w:t>
      </w:r>
      <w:r w:rsidR="00A47AB4">
        <w:rPr>
          <w:rFonts w:cs="Times New Roman"/>
        </w:rPr>
        <w:t xml:space="preserve">in </w:t>
      </w:r>
      <w:r w:rsidR="00A47AB4" w:rsidRPr="00834AD4">
        <w:rPr>
          <w:rFonts w:cs="Times New Roman"/>
        </w:rPr>
        <w:t>the LE concentrate treatments</w:t>
      </w:r>
      <w:r w:rsidR="00834AD4" w:rsidRPr="00834AD4">
        <w:rPr>
          <w:rFonts w:cs="Times New Roman"/>
        </w:rPr>
        <w:t xml:space="preserve">. The HEF of the LE and HE concentrates were calculated as described by Wilkinson (2011) and were 0.18 and 0.52 respectively. Rations were offered as a partial mixed ration (PMR) comprising 55% grass silage and 45% concentrate on a dry matter (DM) basis. Cows received 0.25 kg of a commercial pellet at each milking. Feed intake, milk yield and milk composition </w:t>
      </w:r>
      <w:proofErr w:type="gramStart"/>
      <w:r w:rsidR="00834AD4" w:rsidRPr="00834AD4">
        <w:rPr>
          <w:rFonts w:cs="Times New Roman"/>
        </w:rPr>
        <w:t>was</w:t>
      </w:r>
      <w:proofErr w:type="gramEnd"/>
      <w:r w:rsidR="00834AD4" w:rsidRPr="00834AD4">
        <w:rPr>
          <w:rFonts w:cs="Times New Roman"/>
        </w:rPr>
        <w:t xml:space="preserve"> recorded during the fourth week of each period. Feed conversion rate (FCR) was calculated as energy corrected milk yield (ECM) per kg DM intake</w:t>
      </w:r>
      <w:r w:rsidR="00DC3FA2">
        <w:rPr>
          <w:rFonts w:cs="Times New Roman"/>
        </w:rPr>
        <w:t xml:space="preserve"> (DMI)</w:t>
      </w:r>
      <w:r w:rsidR="00834AD4" w:rsidRPr="00834AD4">
        <w:rPr>
          <w:rFonts w:cs="Times New Roman"/>
        </w:rPr>
        <w:t xml:space="preserve">. </w:t>
      </w:r>
      <w:r w:rsidR="000C5B48" w:rsidRPr="00BE2B8C">
        <w:rPr>
          <w:rFonts w:ascii="Aptos" w:hAnsi="Aptos" w:cs="Times New Roman"/>
        </w:rPr>
        <w:t>Edible feed conversion rate (</w:t>
      </w:r>
      <w:proofErr w:type="spellStart"/>
      <w:r w:rsidR="000C5B48" w:rsidRPr="00BE2B8C">
        <w:rPr>
          <w:rFonts w:ascii="Aptos" w:hAnsi="Aptos" w:cs="Times New Roman"/>
        </w:rPr>
        <w:t>eFCR</w:t>
      </w:r>
      <w:proofErr w:type="spellEnd"/>
      <w:r w:rsidR="000C5B48" w:rsidRPr="00BE2B8C">
        <w:rPr>
          <w:rFonts w:ascii="Aptos" w:hAnsi="Aptos" w:cs="Times New Roman"/>
        </w:rPr>
        <w:t xml:space="preserve">) was calculated as human-edible output </w:t>
      </w:r>
      <w:r w:rsidR="000C5B48">
        <w:rPr>
          <w:rFonts w:ascii="Aptos" w:hAnsi="Aptos" w:cs="Times New Roman"/>
        </w:rPr>
        <w:t>divided by</w:t>
      </w:r>
      <w:r w:rsidR="000C5B48" w:rsidRPr="00BE2B8C">
        <w:rPr>
          <w:rFonts w:ascii="Aptos" w:hAnsi="Aptos" w:cs="Times New Roman"/>
        </w:rPr>
        <w:t xml:space="preserve"> human-edible input per day. Net Food Production (NFP) was expressed as </w:t>
      </w:r>
      <w:r w:rsidR="000C5B48">
        <w:rPr>
          <w:rFonts w:ascii="Aptos" w:hAnsi="Aptos" w:cs="Times New Roman"/>
        </w:rPr>
        <w:t>daily human-</w:t>
      </w:r>
      <w:r w:rsidR="000C5B48" w:rsidRPr="00BE2B8C">
        <w:rPr>
          <w:rFonts w:ascii="Aptos" w:hAnsi="Aptos" w:cs="Times New Roman"/>
        </w:rPr>
        <w:t>edible output minus</w:t>
      </w:r>
      <w:r w:rsidR="000C5B48">
        <w:rPr>
          <w:rFonts w:ascii="Aptos" w:hAnsi="Aptos" w:cs="Times New Roman"/>
        </w:rPr>
        <w:t xml:space="preserve"> daily</w:t>
      </w:r>
      <w:r w:rsidR="000C5B48" w:rsidRPr="00BE2B8C">
        <w:rPr>
          <w:rFonts w:ascii="Aptos" w:hAnsi="Aptos" w:cs="Times New Roman"/>
        </w:rPr>
        <w:t xml:space="preserve"> human-edible input using HEF values described by Ertl et al. (2015)</w:t>
      </w:r>
      <w:r w:rsidR="000C5B48">
        <w:rPr>
          <w:rFonts w:ascii="Aptos" w:hAnsi="Aptos" w:cs="Times New Roman"/>
        </w:rPr>
        <w:t xml:space="preserve"> under current standard extraction allowances.</w:t>
      </w:r>
      <w:r w:rsidR="000C5B48">
        <w:rPr>
          <w:rFonts w:cs="Times New Roman"/>
        </w:rPr>
        <w:t xml:space="preserve"> </w:t>
      </w:r>
      <w:r w:rsidR="00834AD4" w:rsidRPr="00834AD4">
        <w:rPr>
          <w:rFonts w:cs="Times New Roman"/>
        </w:rPr>
        <w:t>Data was analysed using linear mixed model methodology (REML) with animal and period fitted as random effects</w:t>
      </w:r>
      <w:r w:rsidR="006F722F">
        <w:rPr>
          <w:rFonts w:cs="Times New Roman"/>
        </w:rPr>
        <w:t xml:space="preserve"> and tested for stage of maturity</w:t>
      </w:r>
      <w:r w:rsidR="00B341F5">
        <w:rPr>
          <w:rFonts w:cs="Times New Roman"/>
        </w:rPr>
        <w:t xml:space="preserve">, </w:t>
      </w:r>
      <w:r w:rsidR="006F722F">
        <w:rPr>
          <w:rFonts w:cs="Times New Roman"/>
        </w:rPr>
        <w:t>concentrate type and interactions between these factors</w:t>
      </w:r>
      <w:r w:rsidR="00834AD4" w:rsidRPr="00834AD4">
        <w:rPr>
          <w:rFonts w:cs="Times New Roman"/>
        </w:rPr>
        <w:t>.</w:t>
      </w:r>
    </w:p>
    <w:p w14:paraId="7571B079" w14:textId="3768EA9C" w:rsidR="00214789" w:rsidRDefault="007B30E3" w:rsidP="006039BD">
      <w:pPr>
        <w:jc w:val="both"/>
        <w:rPr>
          <w:rFonts w:cs="Times New Roman"/>
        </w:rPr>
      </w:pPr>
      <w:r>
        <w:rPr>
          <w:b/>
          <w:bCs/>
          <w:lang w:val="en-US"/>
        </w:rPr>
        <w:t>Results</w:t>
      </w:r>
      <w:r w:rsidR="00834AD4">
        <w:rPr>
          <w:b/>
          <w:bCs/>
          <w:lang w:val="en-US"/>
        </w:rPr>
        <w:t xml:space="preserve"> </w:t>
      </w:r>
      <w:r w:rsidR="005E4C74">
        <w:rPr>
          <w:rFonts w:cs="Times New Roman"/>
        </w:rPr>
        <w:t>The D-value of EC and LC</w:t>
      </w:r>
      <w:r w:rsidR="00834AD4" w:rsidRPr="00F53055">
        <w:rPr>
          <w:rFonts w:cs="Times New Roman"/>
        </w:rPr>
        <w:t xml:space="preserve"> silages were 709</w:t>
      </w:r>
      <w:r w:rsidR="005E4C74">
        <w:rPr>
          <w:rFonts w:cs="Times New Roman"/>
        </w:rPr>
        <w:t xml:space="preserve"> </w:t>
      </w:r>
      <w:r w:rsidR="00834AD4" w:rsidRPr="00F53055">
        <w:rPr>
          <w:rFonts w:cs="Times New Roman"/>
        </w:rPr>
        <w:t>and 690 g/kg DM</w:t>
      </w:r>
      <w:r w:rsidR="005E4C74">
        <w:rPr>
          <w:rFonts w:cs="Times New Roman"/>
        </w:rPr>
        <w:t xml:space="preserve"> respectively</w:t>
      </w:r>
      <w:r w:rsidR="00834AD4" w:rsidRPr="00F53055">
        <w:rPr>
          <w:rFonts w:cs="Times New Roman"/>
        </w:rPr>
        <w:t>. Cows offered EC silage had a higher DM intake (P&lt;0.001), ECM yields (P=0.0</w:t>
      </w:r>
      <w:r w:rsidR="003E51C4">
        <w:rPr>
          <w:rFonts w:cs="Times New Roman"/>
        </w:rPr>
        <w:t>18</w:t>
      </w:r>
      <w:r w:rsidR="00834AD4" w:rsidRPr="00F53055">
        <w:rPr>
          <w:rFonts w:cs="Times New Roman"/>
        </w:rPr>
        <w:t>), milk fat content (P=0.016) and NFP (P</w:t>
      </w:r>
      <w:r w:rsidR="003E51C4">
        <w:rPr>
          <w:rFonts w:cs="Times New Roman"/>
        </w:rPr>
        <w:t>=0.015</w:t>
      </w:r>
      <w:r w:rsidR="00834AD4" w:rsidRPr="00F53055">
        <w:rPr>
          <w:rFonts w:cs="Times New Roman"/>
        </w:rPr>
        <w:t>) and a lower FCR (P</w:t>
      </w:r>
      <w:r w:rsidR="003E51C4">
        <w:rPr>
          <w:rFonts w:cs="Times New Roman"/>
        </w:rPr>
        <w:t>=0.005</w:t>
      </w:r>
      <w:r w:rsidR="00834AD4" w:rsidRPr="00F53055">
        <w:rPr>
          <w:rFonts w:cs="Times New Roman"/>
        </w:rPr>
        <w:t xml:space="preserve">) than cows offered LC silage. Concentrate type had no impact </w:t>
      </w:r>
      <w:r w:rsidR="00C47E39">
        <w:rPr>
          <w:rFonts w:cs="Times New Roman"/>
        </w:rPr>
        <w:t>o</w:t>
      </w:r>
      <w:r w:rsidR="00834AD4" w:rsidRPr="00F53055">
        <w:rPr>
          <w:rFonts w:cs="Times New Roman"/>
        </w:rPr>
        <w:t xml:space="preserve">n DM intake, ECM yield, milk composition or FCR. Cows offered LE concentrates had a higher </w:t>
      </w:r>
      <w:proofErr w:type="spellStart"/>
      <w:r w:rsidR="00834AD4" w:rsidRPr="00F53055">
        <w:rPr>
          <w:rFonts w:cs="Times New Roman"/>
        </w:rPr>
        <w:t>eFCR</w:t>
      </w:r>
      <w:proofErr w:type="spellEnd"/>
      <w:r w:rsidR="00834AD4" w:rsidRPr="00F53055">
        <w:rPr>
          <w:rFonts w:cs="Times New Roman"/>
        </w:rPr>
        <w:t xml:space="preserve"> and NFP (P&lt;0.001) than cows offered</w:t>
      </w:r>
      <w:r w:rsidR="00FC4E3A">
        <w:rPr>
          <w:rFonts w:cs="Times New Roman"/>
        </w:rPr>
        <w:t xml:space="preserve"> HE</w:t>
      </w:r>
      <w:r w:rsidR="00834AD4" w:rsidRPr="00F53055">
        <w:rPr>
          <w:rFonts w:cs="Times New Roman"/>
        </w:rPr>
        <w:t xml:space="preserve"> concentrate. </w:t>
      </w:r>
      <w:r w:rsidR="00804A57">
        <w:rPr>
          <w:rFonts w:cs="Times New Roman"/>
        </w:rPr>
        <w:t>There was an interaction between silage maturity and concentrate type for milk protein concentration, where c</w:t>
      </w:r>
      <w:r w:rsidR="00834AD4" w:rsidRPr="00F53055">
        <w:rPr>
          <w:rFonts w:cs="Times New Roman"/>
        </w:rPr>
        <w:t>ows offered EC silage and HE concentrate produced milk with a higher milk protein concentration than cows offered EC and LE concentrate (EC-LE, 36.7</w:t>
      </w:r>
      <w:r w:rsidR="00834AD4" w:rsidRPr="003B4FF1">
        <w:rPr>
          <w:rFonts w:cs="Times New Roman"/>
          <w:vertAlign w:val="superscript"/>
        </w:rPr>
        <w:t>a</w:t>
      </w:r>
      <w:r w:rsidR="00834AD4" w:rsidRPr="00F53055">
        <w:rPr>
          <w:rFonts w:cs="Times New Roman"/>
        </w:rPr>
        <w:t>; EC-HE, 37.</w:t>
      </w:r>
      <w:r w:rsidR="0011662A">
        <w:rPr>
          <w:rFonts w:cs="Times New Roman"/>
        </w:rPr>
        <w:t>8</w:t>
      </w:r>
      <w:r w:rsidR="00834AD4" w:rsidRPr="003B4FF1">
        <w:rPr>
          <w:rFonts w:cs="Times New Roman"/>
          <w:vertAlign w:val="superscript"/>
        </w:rPr>
        <w:t>b</w:t>
      </w:r>
      <w:r w:rsidR="00834AD4" w:rsidRPr="00F53055">
        <w:rPr>
          <w:rFonts w:cs="Times New Roman"/>
        </w:rPr>
        <w:t>; LC-LE, 37.</w:t>
      </w:r>
      <w:r w:rsidR="007144B1">
        <w:rPr>
          <w:rFonts w:cs="Times New Roman"/>
        </w:rPr>
        <w:t>2</w:t>
      </w:r>
      <w:r w:rsidR="00834AD4" w:rsidRPr="003B4FF1">
        <w:rPr>
          <w:rFonts w:cs="Times New Roman"/>
          <w:vertAlign w:val="superscript"/>
        </w:rPr>
        <w:t>ab</w:t>
      </w:r>
      <w:r w:rsidR="00834AD4" w:rsidRPr="00F53055">
        <w:rPr>
          <w:rFonts w:cs="Times New Roman"/>
        </w:rPr>
        <w:t>; LC-HE, 36.</w:t>
      </w:r>
      <w:r w:rsidR="007144B1">
        <w:rPr>
          <w:rFonts w:cs="Times New Roman"/>
        </w:rPr>
        <w:t>7</w:t>
      </w:r>
      <w:r w:rsidR="00834AD4" w:rsidRPr="003B4FF1">
        <w:rPr>
          <w:rFonts w:cs="Times New Roman"/>
          <w:vertAlign w:val="superscript"/>
        </w:rPr>
        <w:t>a</w:t>
      </w:r>
      <w:r w:rsidR="00834AD4" w:rsidRPr="00F53055">
        <w:rPr>
          <w:rFonts w:cs="Times New Roman"/>
        </w:rPr>
        <w:t>; SED, 0.43; P</w:t>
      </w:r>
      <w:r w:rsidR="003E51C4">
        <w:rPr>
          <w:rFonts w:cs="Times New Roman"/>
        </w:rPr>
        <w:t>=0.005</w:t>
      </w:r>
      <w:r w:rsidR="00834AD4" w:rsidRPr="00F53055">
        <w:rPr>
          <w:rFonts w:cs="Times New Roman"/>
        </w:rPr>
        <w:t>).</w:t>
      </w:r>
      <w:r w:rsidR="00DF5306">
        <w:rPr>
          <w:rFonts w:cs="Times New Roman"/>
        </w:rPr>
        <w:t xml:space="preserve"> In addition, cows offered EC </w:t>
      </w:r>
      <w:proofErr w:type="gramStart"/>
      <w:r w:rsidR="00DF5306">
        <w:rPr>
          <w:rFonts w:cs="Times New Roman"/>
        </w:rPr>
        <w:t>silage</w:t>
      </w:r>
      <w:proofErr w:type="gramEnd"/>
      <w:r w:rsidR="00DF5306">
        <w:rPr>
          <w:rFonts w:cs="Times New Roman"/>
        </w:rPr>
        <w:t xml:space="preserve"> and LE concentrate recorded a higher NFP value than cows offered the other treatments (EC-LE, 759</w:t>
      </w:r>
      <w:r w:rsidR="00DF5306" w:rsidRPr="00C32F6E">
        <w:rPr>
          <w:rFonts w:cs="Times New Roman"/>
          <w:vertAlign w:val="superscript"/>
        </w:rPr>
        <w:t>c</w:t>
      </w:r>
      <w:r w:rsidR="00DF5306">
        <w:rPr>
          <w:rFonts w:cs="Times New Roman"/>
        </w:rPr>
        <w:t>; EC-HE, 24</w:t>
      </w:r>
      <w:r w:rsidR="00DF5306" w:rsidRPr="00C32F6E">
        <w:rPr>
          <w:rFonts w:cs="Times New Roman"/>
          <w:vertAlign w:val="superscript"/>
        </w:rPr>
        <w:t>a</w:t>
      </w:r>
      <w:r w:rsidR="00DF5306">
        <w:rPr>
          <w:rFonts w:cs="Times New Roman"/>
        </w:rPr>
        <w:t>; LC-LE, 613</w:t>
      </w:r>
      <w:r w:rsidR="00DF5306" w:rsidRPr="00C32F6E">
        <w:rPr>
          <w:rFonts w:cs="Times New Roman"/>
          <w:vertAlign w:val="superscript"/>
        </w:rPr>
        <w:t>b</w:t>
      </w:r>
      <w:r w:rsidR="00DF5306">
        <w:rPr>
          <w:rFonts w:cs="Times New Roman"/>
        </w:rPr>
        <w:t xml:space="preserve">; LC-HE, </w:t>
      </w:r>
      <w:r w:rsidR="00700B28">
        <w:rPr>
          <w:rFonts w:cs="Times New Roman"/>
        </w:rPr>
        <w:t>-</w:t>
      </w:r>
      <w:r w:rsidR="00DF5306">
        <w:rPr>
          <w:rFonts w:cs="Times New Roman"/>
        </w:rPr>
        <w:t>1</w:t>
      </w:r>
      <w:r w:rsidR="00DF5306" w:rsidRPr="00C32F6E">
        <w:rPr>
          <w:rFonts w:cs="Times New Roman"/>
          <w:vertAlign w:val="superscript"/>
        </w:rPr>
        <w:t>a</w:t>
      </w:r>
      <w:r w:rsidR="00DF5306">
        <w:rPr>
          <w:rFonts w:cs="Times New Roman"/>
        </w:rPr>
        <w:t>; SED, 42.8; P=0.048).</w:t>
      </w:r>
    </w:p>
    <w:p w14:paraId="7CEF9D48" w14:textId="39726AA3" w:rsidR="00834AD4" w:rsidRPr="00F53055" w:rsidRDefault="00483762" w:rsidP="00BB3AE3">
      <w:pPr>
        <w:jc w:val="both"/>
        <w:rPr>
          <w:rFonts w:cs="Times New Roman"/>
        </w:rPr>
      </w:pPr>
      <w:r>
        <w:rPr>
          <w:rFonts w:cs="Times New Roman"/>
        </w:rPr>
        <w:t>T</w:t>
      </w:r>
      <w:r w:rsidR="00834AD4" w:rsidRPr="00F53055">
        <w:rPr>
          <w:rFonts w:cs="Times New Roman"/>
        </w:rPr>
        <w:t>able 1. Dairy cow response to concentrate</w:t>
      </w:r>
      <w:r w:rsidR="006F722F">
        <w:rPr>
          <w:rFonts w:cs="Times New Roman"/>
        </w:rPr>
        <w:t>s</w:t>
      </w:r>
      <w:r w:rsidR="00834AD4" w:rsidRPr="00F53055">
        <w:rPr>
          <w:rFonts w:cs="Times New Roman"/>
        </w:rPr>
        <w:t xml:space="preserve"> differing in human-edible </w:t>
      </w:r>
      <w:r w:rsidR="006F722F">
        <w:rPr>
          <w:rFonts w:cs="Times New Roman"/>
        </w:rPr>
        <w:t>fraction</w:t>
      </w:r>
      <w:r w:rsidR="00834AD4" w:rsidRPr="00F53055">
        <w:rPr>
          <w:rFonts w:cs="Times New Roman"/>
        </w:rPr>
        <w:t xml:space="preserve"> and silage</w:t>
      </w:r>
      <w:r w:rsidR="00D403A7">
        <w:rPr>
          <w:rFonts w:cs="Times New Roman"/>
        </w:rPr>
        <w:t xml:space="preserve"> </w:t>
      </w:r>
      <w:r w:rsidR="00834AD4" w:rsidRPr="00F53055">
        <w:rPr>
          <w:rFonts w:cs="Times New Roman"/>
        </w:rPr>
        <w:t>maturity</w:t>
      </w:r>
    </w:p>
    <w:tbl>
      <w:tblPr>
        <w:tblStyle w:val="ListTable2"/>
        <w:tblW w:w="949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5"/>
        <w:gridCol w:w="564"/>
        <w:gridCol w:w="287"/>
        <w:gridCol w:w="846"/>
        <w:gridCol w:w="991"/>
        <w:gridCol w:w="851"/>
        <w:gridCol w:w="71"/>
        <w:gridCol w:w="926"/>
        <w:gridCol w:w="986"/>
        <w:gridCol w:w="999"/>
      </w:tblGrid>
      <w:tr w:rsidR="00AA5DB2" w:rsidRPr="00F53055" w14:paraId="168E5869" w14:textId="77777777" w:rsidTr="00BE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0F71BBAF" w14:textId="77777777" w:rsidR="00AA5DB2" w:rsidRPr="007B0DFB" w:rsidRDefault="00AA5DB2" w:rsidP="00395139">
            <w:pPr>
              <w:jc w:val="both"/>
              <w:rPr>
                <w:rFonts w:cs="Times New Roman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9EB0A" w14:textId="4633BCB5" w:rsidR="00AA5DB2" w:rsidRPr="007B0DFB" w:rsidRDefault="00214789" w:rsidP="00AA5D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     </w:t>
            </w:r>
            <w:r w:rsidR="00AA5DB2" w:rsidRPr="007B0DFB">
              <w:rPr>
                <w:rFonts w:cs="Times New Roman"/>
                <w:b w:val="0"/>
                <w:bCs w:val="0"/>
              </w:rPr>
              <w:t>Maturity</w:t>
            </w:r>
          </w:p>
        </w:tc>
        <w:tc>
          <w:tcPr>
            <w:tcW w:w="2124" w:type="dxa"/>
            <w:gridSpan w:val="3"/>
            <w:shd w:val="clear" w:color="auto" w:fill="auto"/>
          </w:tcPr>
          <w:p w14:paraId="5DFA9687" w14:textId="7C546686" w:rsidR="00AA5DB2" w:rsidRPr="007B0DFB" w:rsidRDefault="00214789" w:rsidP="00AA5D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  </w:t>
            </w:r>
            <w:r w:rsidR="00AA5DB2" w:rsidRPr="007B0DFB">
              <w:rPr>
                <w:rFonts w:cs="Times New Roman"/>
                <w:b w:val="0"/>
              </w:rPr>
              <w:t>Conc</w:t>
            </w:r>
            <w:r w:rsidR="00CC7841">
              <w:rPr>
                <w:rFonts w:cs="Times New Roman"/>
                <w:b w:val="0"/>
              </w:rPr>
              <w:t>.</w:t>
            </w:r>
          </w:p>
        </w:tc>
        <w:tc>
          <w:tcPr>
            <w:tcW w:w="922" w:type="dxa"/>
            <w:gridSpan w:val="2"/>
            <w:tcBorders>
              <w:top w:val="single" w:sz="4" w:space="0" w:color="666666" w:themeColor="text1" w:themeTint="99"/>
              <w:bottom w:val="nil"/>
              <w:right w:val="nil"/>
            </w:tcBorders>
            <w:shd w:val="clear" w:color="auto" w:fill="auto"/>
          </w:tcPr>
          <w:p w14:paraId="40495861" w14:textId="5CBF36AF" w:rsidR="00AA5DB2" w:rsidRPr="007B0DFB" w:rsidRDefault="00AA5DB2" w:rsidP="00AA5D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666666" w:themeColor="text1" w:themeTint="99"/>
              <w:bottom w:val="nil"/>
              <w:right w:val="nil"/>
            </w:tcBorders>
            <w:shd w:val="clear" w:color="auto" w:fill="auto"/>
          </w:tcPr>
          <w:p w14:paraId="716DA636" w14:textId="499B5DE5" w:rsidR="00AA5DB2" w:rsidRPr="007B0DFB" w:rsidRDefault="00AA5DB2" w:rsidP="00AA5D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P-value</w:t>
            </w:r>
          </w:p>
        </w:tc>
      </w:tr>
      <w:tr w:rsidR="007B0DFB" w:rsidRPr="00F53055" w14:paraId="15FB158C" w14:textId="77777777" w:rsidTr="0021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DE2721C" w14:textId="77777777" w:rsidR="00834AD4" w:rsidRPr="007B0DFB" w:rsidRDefault="00834AD4" w:rsidP="00395139">
            <w:pPr>
              <w:jc w:val="both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B348E" w14:textId="4977D17E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E</w:t>
            </w:r>
            <w:r w:rsidR="006F722F" w:rsidRPr="007B0DFB">
              <w:rPr>
                <w:rFonts w:cs="Times New Roman"/>
              </w:rPr>
              <w:t>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5C15D7" w14:textId="02D78360" w:rsidR="00834AD4" w:rsidRPr="007B0DFB" w:rsidRDefault="00792068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L</w:t>
            </w:r>
            <w:r w:rsidR="006F722F" w:rsidRPr="007B0DFB">
              <w:rPr>
                <w:rFonts w:cs="Times New Roman"/>
              </w:rPr>
              <w:t>C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B9E41" w14:textId="493E607D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L</w:t>
            </w:r>
            <w:r w:rsidR="006F722F" w:rsidRPr="007B0DFB">
              <w:rPr>
                <w:rFonts w:cs="Times New Roman"/>
              </w:rPr>
              <w:t>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2EEEB" w14:textId="6D1B4095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H</w:t>
            </w:r>
            <w:r w:rsidR="006F722F" w:rsidRPr="007B0DFB">
              <w:rPr>
                <w:rFonts w:cs="Times New Roman"/>
              </w:rPr>
              <w:t>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F475E7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SED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BF22A" w14:textId="0F339DBF" w:rsidR="00834AD4" w:rsidRPr="007B0DFB" w:rsidRDefault="006F722F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Maturity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60788" w14:textId="33A5B75A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Conc</w:t>
            </w:r>
            <w:r w:rsidR="00CC7841">
              <w:rPr>
                <w:rFonts w:cs="Times New Roman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BB0D1" w14:textId="7777B49C" w:rsidR="00834AD4" w:rsidRPr="007B0DFB" w:rsidRDefault="00AA5DB2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Maturity</w:t>
            </w:r>
            <w:r w:rsidR="00D403A7" w:rsidRPr="007B0DFB">
              <w:rPr>
                <w:rFonts w:cs="Times New Roman"/>
              </w:rPr>
              <w:t>× Conc</w:t>
            </w:r>
            <w:r w:rsidR="00CC7841">
              <w:rPr>
                <w:rFonts w:cs="Times New Roman"/>
              </w:rPr>
              <w:t>.</w:t>
            </w:r>
          </w:p>
        </w:tc>
      </w:tr>
      <w:tr w:rsidR="00483762" w:rsidRPr="00F53055" w14:paraId="1EB6DEB8" w14:textId="77777777" w:rsidTr="0021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C766A9C" w14:textId="57921CDD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r w:rsidRPr="007B0DFB">
              <w:rPr>
                <w:rFonts w:cs="Times New Roman"/>
                <w:b w:val="0"/>
              </w:rPr>
              <w:t>Total DM</w:t>
            </w:r>
            <w:r w:rsidR="0045315E" w:rsidRPr="007B0DFB">
              <w:rPr>
                <w:rFonts w:cs="Times New Roman"/>
                <w:b w:val="0"/>
              </w:rPr>
              <w:t>I</w:t>
            </w:r>
            <w:r w:rsidRPr="007B0DFB">
              <w:rPr>
                <w:rFonts w:cs="Times New Roman"/>
                <w:b w:val="0"/>
              </w:rPr>
              <w:t xml:space="preserve"> (kg/day)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14:paraId="45E4B8D7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22.9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3E599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20.2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2EDC0217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21.4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14:paraId="4948E839" w14:textId="7DCB6C4A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21.</w:t>
            </w:r>
            <w:r w:rsidR="00C77CF2">
              <w:rPr>
                <w:rFonts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01B192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0.60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05DFDF" w14:textId="6FAF81E9" w:rsidR="00834AD4" w:rsidRPr="007B0DFB" w:rsidRDefault="00C77CF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1D6A1979" w14:textId="04F70FE3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</w:t>
            </w:r>
            <w:r w:rsidR="00C77CF2">
              <w:rPr>
                <w:rFonts w:cs="Times New Roman"/>
              </w:rPr>
              <w:t>292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</w:tcPr>
          <w:p w14:paraId="0A5FF7EC" w14:textId="6C72F6B6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0.1</w:t>
            </w:r>
            <w:r w:rsidR="00C77CF2">
              <w:rPr>
                <w:rFonts w:cs="Times New Roman"/>
              </w:rPr>
              <w:t>79</w:t>
            </w:r>
          </w:p>
        </w:tc>
      </w:tr>
      <w:tr w:rsidR="00DB3247" w:rsidRPr="00F53055" w14:paraId="2614EF3F" w14:textId="77777777" w:rsidTr="0021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688B0558" w14:textId="77777777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r w:rsidRPr="007B0DFB">
              <w:rPr>
                <w:rFonts w:cs="Times New Roman"/>
                <w:b w:val="0"/>
              </w:rPr>
              <w:t>ECM yield (kg/day)</w:t>
            </w:r>
          </w:p>
        </w:tc>
        <w:tc>
          <w:tcPr>
            <w:tcW w:w="855" w:type="dxa"/>
            <w:shd w:val="clear" w:color="auto" w:fill="auto"/>
          </w:tcPr>
          <w:p w14:paraId="3858EC44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31.6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6CCABD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30.3</w:t>
            </w:r>
          </w:p>
        </w:tc>
        <w:tc>
          <w:tcPr>
            <w:tcW w:w="846" w:type="dxa"/>
            <w:shd w:val="clear" w:color="auto" w:fill="auto"/>
          </w:tcPr>
          <w:p w14:paraId="56AA8CED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30.9</w:t>
            </w:r>
          </w:p>
        </w:tc>
        <w:tc>
          <w:tcPr>
            <w:tcW w:w="991" w:type="dxa"/>
            <w:shd w:val="clear" w:color="auto" w:fill="auto"/>
          </w:tcPr>
          <w:p w14:paraId="67ED38E3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31.0</w:t>
            </w:r>
          </w:p>
        </w:tc>
        <w:tc>
          <w:tcPr>
            <w:tcW w:w="851" w:type="dxa"/>
            <w:shd w:val="clear" w:color="auto" w:fill="auto"/>
          </w:tcPr>
          <w:p w14:paraId="12AC3FAC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0.75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75136FD7" w14:textId="5F0F033D" w:rsidR="00834AD4" w:rsidRPr="007B0DFB" w:rsidRDefault="00C77CF2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0.018</w:t>
            </w:r>
          </w:p>
        </w:tc>
        <w:tc>
          <w:tcPr>
            <w:tcW w:w="986" w:type="dxa"/>
            <w:shd w:val="clear" w:color="auto" w:fill="auto"/>
          </w:tcPr>
          <w:p w14:paraId="05B67A74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0.868</w:t>
            </w:r>
          </w:p>
        </w:tc>
        <w:tc>
          <w:tcPr>
            <w:tcW w:w="999" w:type="dxa"/>
            <w:shd w:val="clear" w:color="auto" w:fill="auto"/>
          </w:tcPr>
          <w:p w14:paraId="4484649F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0.099</w:t>
            </w:r>
          </w:p>
        </w:tc>
      </w:tr>
      <w:tr w:rsidR="00130F7D" w:rsidRPr="00F53055" w14:paraId="7111F291" w14:textId="77777777" w:rsidTr="0021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0C2B024E" w14:textId="77777777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r w:rsidRPr="007B0DFB">
              <w:rPr>
                <w:rFonts w:cs="Times New Roman"/>
                <w:b w:val="0"/>
              </w:rPr>
              <w:t>Milk fat (g/kg)</w:t>
            </w:r>
          </w:p>
        </w:tc>
        <w:tc>
          <w:tcPr>
            <w:tcW w:w="855" w:type="dxa"/>
            <w:shd w:val="clear" w:color="auto" w:fill="auto"/>
          </w:tcPr>
          <w:p w14:paraId="69042993" w14:textId="71ACA20D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50.</w:t>
            </w:r>
            <w:r w:rsidR="0026629B">
              <w:rPr>
                <w:rFonts w:cs="Times New Roman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BBD1EE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48.9</w:t>
            </w:r>
          </w:p>
        </w:tc>
        <w:tc>
          <w:tcPr>
            <w:tcW w:w="846" w:type="dxa"/>
            <w:shd w:val="clear" w:color="auto" w:fill="auto"/>
          </w:tcPr>
          <w:p w14:paraId="43717605" w14:textId="004DCE94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49.</w:t>
            </w:r>
            <w:r w:rsidR="00C77CF2">
              <w:rPr>
                <w:rFonts w:cs="Times New Roman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72C9807F" w14:textId="040CBA6F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49.</w:t>
            </w:r>
            <w:r w:rsidR="00C77CF2">
              <w:rPr>
                <w:rFonts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7536A72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0.84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162756E2" w14:textId="196DC565" w:rsidR="00834AD4" w:rsidRPr="007B0DFB" w:rsidRDefault="00C77CF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0.016</w:t>
            </w:r>
          </w:p>
        </w:tc>
        <w:tc>
          <w:tcPr>
            <w:tcW w:w="986" w:type="dxa"/>
            <w:shd w:val="clear" w:color="auto" w:fill="auto"/>
          </w:tcPr>
          <w:p w14:paraId="7E3CC9CE" w14:textId="1C6F9F8C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0.9</w:t>
            </w:r>
            <w:r w:rsidR="00C77CF2">
              <w:rPr>
                <w:rFonts w:cs="Times New Roman"/>
              </w:rPr>
              <w:t>16</w:t>
            </w:r>
          </w:p>
        </w:tc>
        <w:tc>
          <w:tcPr>
            <w:tcW w:w="999" w:type="dxa"/>
            <w:shd w:val="clear" w:color="auto" w:fill="auto"/>
          </w:tcPr>
          <w:p w14:paraId="7D16DC64" w14:textId="6C31A5AB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0.5</w:t>
            </w:r>
            <w:r w:rsidR="00C77CF2">
              <w:rPr>
                <w:rFonts w:cs="Times New Roman"/>
              </w:rPr>
              <w:t>06</w:t>
            </w:r>
          </w:p>
        </w:tc>
      </w:tr>
      <w:tr w:rsidR="00DB3247" w:rsidRPr="00F53055" w14:paraId="468E0BDD" w14:textId="77777777" w:rsidTr="0021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5893A9D2" w14:textId="77777777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r w:rsidRPr="007B0DFB">
              <w:rPr>
                <w:rFonts w:cs="Times New Roman"/>
                <w:b w:val="0"/>
              </w:rPr>
              <w:t>Milk protein (g/kg)</w:t>
            </w:r>
          </w:p>
        </w:tc>
        <w:tc>
          <w:tcPr>
            <w:tcW w:w="855" w:type="dxa"/>
            <w:shd w:val="clear" w:color="auto" w:fill="auto"/>
          </w:tcPr>
          <w:p w14:paraId="33E6D4F3" w14:textId="234BFFD0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37.</w:t>
            </w:r>
            <w:r w:rsidR="006039BD">
              <w:rPr>
                <w:rFonts w:cs="Times New Roman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844B30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37.0</w:t>
            </w:r>
          </w:p>
        </w:tc>
        <w:tc>
          <w:tcPr>
            <w:tcW w:w="846" w:type="dxa"/>
            <w:shd w:val="clear" w:color="auto" w:fill="auto"/>
          </w:tcPr>
          <w:p w14:paraId="23455345" w14:textId="7AF38222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</w:t>
            </w:r>
            <w:r w:rsidR="00C77CF2">
              <w:rPr>
                <w:rFonts w:cs="Times New Roman"/>
              </w:rPr>
              <w:t>6.9</w:t>
            </w:r>
          </w:p>
        </w:tc>
        <w:tc>
          <w:tcPr>
            <w:tcW w:w="991" w:type="dxa"/>
            <w:shd w:val="clear" w:color="auto" w:fill="auto"/>
          </w:tcPr>
          <w:p w14:paraId="359847F2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37.3</w:t>
            </w:r>
          </w:p>
        </w:tc>
        <w:tc>
          <w:tcPr>
            <w:tcW w:w="851" w:type="dxa"/>
            <w:shd w:val="clear" w:color="auto" w:fill="auto"/>
          </w:tcPr>
          <w:p w14:paraId="2E0CEC80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0.43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40D9BF52" w14:textId="3AD0222A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0.3</w:t>
            </w:r>
            <w:r w:rsidR="00C77CF2">
              <w:rPr>
                <w:rFonts w:cs="Times New Roman"/>
              </w:rPr>
              <w:t>58</w:t>
            </w:r>
          </w:p>
        </w:tc>
        <w:tc>
          <w:tcPr>
            <w:tcW w:w="986" w:type="dxa"/>
            <w:shd w:val="clear" w:color="auto" w:fill="auto"/>
          </w:tcPr>
          <w:p w14:paraId="7C8D77F0" w14:textId="0F054669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0.2</w:t>
            </w:r>
            <w:r w:rsidR="00C77CF2">
              <w:rPr>
                <w:rFonts w:cs="Times New Roman"/>
              </w:rPr>
              <w:t>48</w:t>
            </w:r>
          </w:p>
        </w:tc>
        <w:tc>
          <w:tcPr>
            <w:tcW w:w="999" w:type="dxa"/>
            <w:shd w:val="clear" w:color="auto" w:fill="auto"/>
          </w:tcPr>
          <w:p w14:paraId="5A3F3982" w14:textId="3A1822CC" w:rsidR="00834AD4" w:rsidRPr="007B0DFB" w:rsidRDefault="00C77CF2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0.005</w:t>
            </w:r>
          </w:p>
        </w:tc>
      </w:tr>
      <w:tr w:rsidR="00130F7D" w:rsidRPr="00F53055" w14:paraId="71A8373B" w14:textId="77777777" w:rsidTr="0021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5269FCBE" w14:textId="77777777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r w:rsidRPr="007B0DFB">
              <w:rPr>
                <w:rFonts w:cs="Times New Roman"/>
                <w:b w:val="0"/>
              </w:rPr>
              <w:t xml:space="preserve">FCR </w:t>
            </w:r>
          </w:p>
        </w:tc>
        <w:tc>
          <w:tcPr>
            <w:tcW w:w="855" w:type="dxa"/>
            <w:shd w:val="clear" w:color="auto" w:fill="auto"/>
          </w:tcPr>
          <w:p w14:paraId="4711EE99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1.38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FB3ACD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1.51</w:t>
            </w:r>
          </w:p>
        </w:tc>
        <w:tc>
          <w:tcPr>
            <w:tcW w:w="846" w:type="dxa"/>
            <w:shd w:val="clear" w:color="auto" w:fill="auto"/>
          </w:tcPr>
          <w:p w14:paraId="620B8E6E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1.45</w:t>
            </w:r>
          </w:p>
        </w:tc>
        <w:tc>
          <w:tcPr>
            <w:tcW w:w="991" w:type="dxa"/>
            <w:shd w:val="clear" w:color="auto" w:fill="auto"/>
          </w:tcPr>
          <w:p w14:paraId="7064087F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1.44</w:t>
            </w:r>
          </w:p>
        </w:tc>
        <w:tc>
          <w:tcPr>
            <w:tcW w:w="851" w:type="dxa"/>
            <w:shd w:val="clear" w:color="auto" w:fill="auto"/>
          </w:tcPr>
          <w:p w14:paraId="48A6D79D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0.063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43AA7608" w14:textId="5FE6F00D" w:rsidR="00834AD4" w:rsidRPr="007B0DFB" w:rsidRDefault="00C77CF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0.005</w:t>
            </w:r>
          </w:p>
        </w:tc>
        <w:tc>
          <w:tcPr>
            <w:tcW w:w="986" w:type="dxa"/>
            <w:shd w:val="clear" w:color="auto" w:fill="auto"/>
          </w:tcPr>
          <w:p w14:paraId="7D7EDC21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0.654</w:t>
            </w:r>
          </w:p>
        </w:tc>
        <w:tc>
          <w:tcPr>
            <w:tcW w:w="999" w:type="dxa"/>
            <w:shd w:val="clear" w:color="auto" w:fill="auto"/>
          </w:tcPr>
          <w:p w14:paraId="06CFEC48" w14:textId="77777777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0.127</w:t>
            </w:r>
          </w:p>
        </w:tc>
      </w:tr>
      <w:tr w:rsidR="00DB3247" w:rsidRPr="00F53055" w14:paraId="79D65FAE" w14:textId="77777777" w:rsidTr="0021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5D5BD1A9" w14:textId="77777777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proofErr w:type="spellStart"/>
            <w:r w:rsidRPr="007B0DFB">
              <w:rPr>
                <w:rFonts w:cs="Times New Roman"/>
                <w:b w:val="0"/>
              </w:rPr>
              <w:t>eFCR</w:t>
            </w:r>
            <w:proofErr w:type="spellEnd"/>
            <w:r w:rsidRPr="007B0DFB">
              <w:rPr>
                <w:rFonts w:cs="Times New Roman"/>
                <w:b w:val="0"/>
              </w:rPr>
              <w:t xml:space="preserve"> (Energy)</w:t>
            </w:r>
          </w:p>
        </w:tc>
        <w:tc>
          <w:tcPr>
            <w:tcW w:w="855" w:type="dxa"/>
            <w:shd w:val="clear" w:color="auto" w:fill="auto"/>
          </w:tcPr>
          <w:p w14:paraId="26872AB8" w14:textId="37AC4F89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1.9</w:t>
            </w:r>
            <w:r w:rsidR="00C77CF2">
              <w:rPr>
                <w:rFonts w:cs="Times New Roman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A7EA505" w14:textId="4910AD4A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2.0</w:t>
            </w:r>
            <w:r w:rsidR="00C77CF2">
              <w:rPr>
                <w:rFonts w:cs="Times New Roman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578D71EE" w14:textId="7850F51D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2.8</w:t>
            </w:r>
            <w:r w:rsidR="001E77F7">
              <w:rPr>
                <w:rFonts w:cs="Times New Roman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68588B61" w14:textId="39F3E4E1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1.0</w:t>
            </w:r>
            <w:r w:rsidR="00C77CF2">
              <w:rPr>
                <w:rFonts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7E7F2DD" w14:textId="77777777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0.112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085CCDF9" w14:textId="0C5140A5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</w:t>
            </w:r>
            <w:r w:rsidR="008C2B62">
              <w:rPr>
                <w:rFonts w:cs="Times New Roman"/>
              </w:rPr>
              <w:t>388</w:t>
            </w:r>
          </w:p>
        </w:tc>
        <w:tc>
          <w:tcPr>
            <w:tcW w:w="986" w:type="dxa"/>
            <w:shd w:val="clear" w:color="auto" w:fill="auto"/>
          </w:tcPr>
          <w:p w14:paraId="6B567A15" w14:textId="42CF9725" w:rsidR="00834AD4" w:rsidRPr="007B0DFB" w:rsidRDefault="008C2B62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  <w:tc>
          <w:tcPr>
            <w:tcW w:w="999" w:type="dxa"/>
            <w:shd w:val="clear" w:color="auto" w:fill="auto"/>
          </w:tcPr>
          <w:p w14:paraId="6F967368" w14:textId="4233C632" w:rsidR="00834AD4" w:rsidRPr="007B0DFB" w:rsidRDefault="00834AD4" w:rsidP="00AA5D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0.9</w:t>
            </w:r>
            <w:r w:rsidR="008C2B62">
              <w:rPr>
                <w:rFonts w:cs="Times New Roman"/>
              </w:rPr>
              <w:t>48</w:t>
            </w:r>
          </w:p>
        </w:tc>
      </w:tr>
      <w:tr w:rsidR="00483762" w:rsidRPr="00F53055" w14:paraId="5A7692EF" w14:textId="77777777" w:rsidTr="0021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0217CA4" w14:textId="7270382E" w:rsidR="00834AD4" w:rsidRPr="007B0DFB" w:rsidRDefault="00834AD4" w:rsidP="00395139">
            <w:pPr>
              <w:jc w:val="both"/>
              <w:rPr>
                <w:rFonts w:cs="Times New Roman"/>
                <w:b w:val="0"/>
              </w:rPr>
            </w:pPr>
            <w:proofErr w:type="gramStart"/>
            <w:r w:rsidRPr="007B0DFB">
              <w:rPr>
                <w:rFonts w:cs="Times New Roman"/>
                <w:b w:val="0"/>
              </w:rPr>
              <w:lastRenderedPageBreak/>
              <w:t>NFP(</w:t>
            </w:r>
            <w:proofErr w:type="gramEnd"/>
            <w:r w:rsidRPr="007B0DFB">
              <w:rPr>
                <w:rFonts w:cs="Times New Roman"/>
                <w:b w:val="0"/>
              </w:rPr>
              <w:t>protein) (g/day)</w:t>
            </w:r>
          </w:p>
        </w:tc>
        <w:tc>
          <w:tcPr>
            <w:tcW w:w="855" w:type="dxa"/>
            <w:shd w:val="clear" w:color="auto" w:fill="auto"/>
          </w:tcPr>
          <w:p w14:paraId="0FB75EBF" w14:textId="5361CA44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</w:t>
            </w:r>
            <w:r w:rsidR="008C2B62">
              <w:rPr>
                <w:rFonts w:cs="Times New Roman"/>
              </w:rPr>
              <w:t>91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BA7D96" w14:textId="40C2E131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30</w:t>
            </w:r>
            <w:r w:rsidR="008C2B62">
              <w:rPr>
                <w:rFonts w:cs="Times New Roman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14:paraId="75709FCE" w14:textId="068DD606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68</w:t>
            </w:r>
            <w:r w:rsidR="008C2B62">
              <w:rPr>
                <w:rFonts w:cs="Times New Roman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7CAFAA80" w14:textId="65E1F934" w:rsidR="00834AD4" w:rsidRPr="007B0DFB" w:rsidRDefault="008C2B6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7A2CFCB0" w14:textId="20F9364A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42.</w:t>
            </w:r>
            <w:r w:rsidR="008C2B62">
              <w:rPr>
                <w:rFonts w:cs="Times New Roman"/>
              </w:rPr>
              <w:t>8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2AE6E672" w14:textId="5F628A01" w:rsidR="00834AD4" w:rsidRPr="007B0DFB" w:rsidRDefault="008C2B6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0.015</w:t>
            </w:r>
          </w:p>
        </w:tc>
        <w:tc>
          <w:tcPr>
            <w:tcW w:w="986" w:type="dxa"/>
            <w:shd w:val="clear" w:color="auto" w:fill="auto"/>
          </w:tcPr>
          <w:p w14:paraId="77237CA7" w14:textId="5E52601D" w:rsidR="00834AD4" w:rsidRPr="007B0DFB" w:rsidRDefault="008C2B62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  <w:tc>
          <w:tcPr>
            <w:tcW w:w="999" w:type="dxa"/>
            <w:shd w:val="clear" w:color="auto" w:fill="auto"/>
          </w:tcPr>
          <w:p w14:paraId="2771F952" w14:textId="77810BB0" w:rsidR="00834AD4" w:rsidRPr="007B0DFB" w:rsidRDefault="00834AD4" w:rsidP="00AA5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B0DFB">
              <w:rPr>
                <w:rFonts w:cs="Times New Roman"/>
              </w:rPr>
              <w:t>0.0</w:t>
            </w:r>
            <w:r w:rsidR="005855FB">
              <w:rPr>
                <w:rFonts w:cs="Times New Roman"/>
              </w:rPr>
              <w:t>48</w:t>
            </w:r>
          </w:p>
        </w:tc>
      </w:tr>
    </w:tbl>
    <w:p w14:paraId="3923E09B" w14:textId="77777777" w:rsidR="009960F0" w:rsidRDefault="009960F0" w:rsidP="00107CCA">
      <w:pPr>
        <w:rPr>
          <w:b/>
          <w:bCs/>
          <w:lang w:val="en-US"/>
        </w:rPr>
      </w:pPr>
    </w:p>
    <w:p w14:paraId="618CB3C3" w14:textId="5857BE14" w:rsidR="00F54EC3" w:rsidRDefault="007B30E3" w:rsidP="00107CCA">
      <w:pPr>
        <w:rPr>
          <w:rFonts w:cs="Times New Roman"/>
        </w:rPr>
      </w:pPr>
      <w:r w:rsidRPr="00992831">
        <w:rPr>
          <w:b/>
          <w:bCs/>
          <w:lang w:val="en-US"/>
        </w:rPr>
        <w:t>Conclusions</w:t>
      </w:r>
      <w:r w:rsidR="00992831" w:rsidRPr="00992831">
        <w:rPr>
          <w:b/>
          <w:bCs/>
          <w:lang w:val="en-US"/>
        </w:rPr>
        <w:t xml:space="preserve"> </w:t>
      </w:r>
      <w:r w:rsidR="00992831" w:rsidRPr="00992831">
        <w:rPr>
          <w:rFonts w:cs="Times New Roman"/>
        </w:rPr>
        <w:t xml:space="preserve">Milk yields can be maintained and </w:t>
      </w:r>
      <w:proofErr w:type="spellStart"/>
      <w:r w:rsidR="00992831" w:rsidRPr="00992831">
        <w:rPr>
          <w:rFonts w:cs="Times New Roman"/>
        </w:rPr>
        <w:t>eFCR</w:t>
      </w:r>
      <w:proofErr w:type="spellEnd"/>
      <w:r w:rsidR="00992831" w:rsidRPr="00992831">
        <w:rPr>
          <w:rFonts w:cs="Times New Roman"/>
        </w:rPr>
        <w:t xml:space="preserve"> improved by offering concentrates based on low human-edible ingredients </w:t>
      </w:r>
      <w:r w:rsidR="006B2E77">
        <w:rPr>
          <w:rFonts w:cs="Times New Roman"/>
        </w:rPr>
        <w:t>with</w:t>
      </w:r>
      <w:r w:rsidR="00992831" w:rsidRPr="00992831">
        <w:rPr>
          <w:rFonts w:cs="Times New Roman"/>
        </w:rPr>
        <w:t xml:space="preserve"> grass silage harvested at </w:t>
      </w:r>
      <w:r w:rsidR="006B2E77">
        <w:rPr>
          <w:rFonts w:cs="Times New Roman"/>
        </w:rPr>
        <w:t>differing</w:t>
      </w:r>
      <w:r w:rsidR="00992831" w:rsidRPr="00992831">
        <w:rPr>
          <w:rFonts w:cs="Times New Roman"/>
        </w:rPr>
        <w:t xml:space="preserve"> stages of maturity.</w:t>
      </w:r>
    </w:p>
    <w:p w14:paraId="485AEDE3" w14:textId="209A4354" w:rsidR="009960F0" w:rsidRPr="009960F0" w:rsidRDefault="009960F0" w:rsidP="009960F0">
      <w:pPr>
        <w:jc w:val="both"/>
        <w:rPr>
          <w:rFonts w:ascii="Aptos" w:hAnsi="Aptos" w:cs="Times New Roman"/>
          <w:b/>
          <w:bCs/>
        </w:rPr>
      </w:pPr>
      <w:r w:rsidRPr="00B95019">
        <w:rPr>
          <w:rFonts w:ascii="Aptos" w:hAnsi="Aptos" w:cs="Times New Roman"/>
          <w:b/>
          <w:bCs/>
        </w:rPr>
        <w:t xml:space="preserve">Acknowledgements </w:t>
      </w:r>
      <w:r w:rsidRPr="00B95019">
        <w:rPr>
          <w:rFonts w:cs="Times New Roman"/>
        </w:rPr>
        <w:t>This project was funded by Department of Agriculture, Environment and Rural Affairs (DAERA).</w:t>
      </w:r>
    </w:p>
    <w:p w14:paraId="32D2241F" w14:textId="77777777" w:rsidR="009960F0" w:rsidRDefault="007B30E3" w:rsidP="00107CCA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  <w:r w:rsidR="00992831">
        <w:rPr>
          <w:b/>
          <w:bCs/>
          <w:lang w:val="en-US"/>
        </w:rPr>
        <w:t xml:space="preserve"> </w:t>
      </w:r>
    </w:p>
    <w:p w14:paraId="1E330357" w14:textId="5915A0EA" w:rsidR="00992831" w:rsidRPr="00992831" w:rsidRDefault="00992831" w:rsidP="00107CCA">
      <w:pPr>
        <w:rPr>
          <w:rFonts w:cs="Times New Roman"/>
        </w:rPr>
      </w:pPr>
      <w:r w:rsidRPr="00992831">
        <w:rPr>
          <w:rFonts w:cs="Times New Roman"/>
        </w:rPr>
        <w:t xml:space="preserve">Ertl, P., Klocker, H., </w:t>
      </w:r>
      <w:proofErr w:type="spellStart"/>
      <w:r w:rsidRPr="00992831">
        <w:rPr>
          <w:rFonts w:cs="Times New Roman"/>
        </w:rPr>
        <w:t>Hortenhuber</w:t>
      </w:r>
      <w:proofErr w:type="spellEnd"/>
      <w:r w:rsidRPr="00992831">
        <w:rPr>
          <w:rFonts w:cs="Times New Roman"/>
        </w:rPr>
        <w:t>, S., Knaus, W. and Zollitsch, W. (2015).  Agricultural Systems, 137: 119-125</w:t>
      </w:r>
      <w:r w:rsidR="009960F0">
        <w:rPr>
          <w:rFonts w:cs="Times New Roman"/>
        </w:rPr>
        <w:t>.</w:t>
      </w:r>
    </w:p>
    <w:p w14:paraId="0ADB320F" w14:textId="2DCB2213" w:rsidR="007B30E3" w:rsidRPr="007B30E3" w:rsidRDefault="00992831" w:rsidP="00A571D3">
      <w:pPr>
        <w:spacing w:line="240" w:lineRule="auto"/>
        <w:jc w:val="both"/>
        <w:rPr>
          <w:b/>
          <w:bCs/>
          <w:lang w:val="en-US"/>
        </w:rPr>
      </w:pPr>
      <w:r w:rsidRPr="00992831">
        <w:rPr>
          <w:rFonts w:cs="Times New Roman"/>
        </w:rPr>
        <w:t>Wilkinson, J.M. (2011).  Animal, 5: 1014-1022</w:t>
      </w:r>
      <w:r w:rsidR="009960F0">
        <w:rPr>
          <w:rFonts w:cs="Times New Roman"/>
        </w:rPr>
        <w:t>.</w:t>
      </w:r>
    </w:p>
    <w:sectPr w:rsidR="007B30E3" w:rsidRPr="007B30E3" w:rsidSect="00792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C4D22"/>
    <w:rsid w:val="000C5B48"/>
    <w:rsid w:val="000F0131"/>
    <w:rsid w:val="00107CCA"/>
    <w:rsid w:val="0011662A"/>
    <w:rsid w:val="00130F7D"/>
    <w:rsid w:val="00190CD7"/>
    <w:rsid w:val="001E3188"/>
    <w:rsid w:val="001E77F7"/>
    <w:rsid w:val="00214789"/>
    <w:rsid w:val="00256070"/>
    <w:rsid w:val="0026629B"/>
    <w:rsid w:val="00383DCD"/>
    <w:rsid w:val="00397193"/>
    <w:rsid w:val="003B4FF1"/>
    <w:rsid w:val="003E51C4"/>
    <w:rsid w:val="00450781"/>
    <w:rsid w:val="0045315E"/>
    <w:rsid w:val="00483762"/>
    <w:rsid w:val="005855FB"/>
    <w:rsid w:val="005E4C74"/>
    <w:rsid w:val="006039BD"/>
    <w:rsid w:val="00625B14"/>
    <w:rsid w:val="00663ED7"/>
    <w:rsid w:val="0067575D"/>
    <w:rsid w:val="006B2E77"/>
    <w:rsid w:val="006F722F"/>
    <w:rsid w:val="00700B28"/>
    <w:rsid w:val="007144B1"/>
    <w:rsid w:val="00790624"/>
    <w:rsid w:val="00792068"/>
    <w:rsid w:val="007B0DFB"/>
    <w:rsid w:val="007B30E3"/>
    <w:rsid w:val="00804A57"/>
    <w:rsid w:val="00834AD4"/>
    <w:rsid w:val="0089302F"/>
    <w:rsid w:val="008C2B62"/>
    <w:rsid w:val="008F7F15"/>
    <w:rsid w:val="00933E8C"/>
    <w:rsid w:val="00992831"/>
    <w:rsid w:val="009960F0"/>
    <w:rsid w:val="00A13391"/>
    <w:rsid w:val="00A226A1"/>
    <w:rsid w:val="00A47AB4"/>
    <w:rsid w:val="00A571D3"/>
    <w:rsid w:val="00AA5DB2"/>
    <w:rsid w:val="00AC2DE7"/>
    <w:rsid w:val="00AE7EB3"/>
    <w:rsid w:val="00B341F5"/>
    <w:rsid w:val="00B52E4E"/>
    <w:rsid w:val="00BB3AE3"/>
    <w:rsid w:val="00C32F6E"/>
    <w:rsid w:val="00C47E39"/>
    <w:rsid w:val="00C539E9"/>
    <w:rsid w:val="00C53AE2"/>
    <w:rsid w:val="00C77CF2"/>
    <w:rsid w:val="00C95030"/>
    <w:rsid w:val="00CC0251"/>
    <w:rsid w:val="00CC7841"/>
    <w:rsid w:val="00CD3F64"/>
    <w:rsid w:val="00D403A7"/>
    <w:rsid w:val="00D9029F"/>
    <w:rsid w:val="00DB3247"/>
    <w:rsid w:val="00DC3FA2"/>
    <w:rsid w:val="00DD21B5"/>
    <w:rsid w:val="00DF5306"/>
    <w:rsid w:val="00E144A2"/>
    <w:rsid w:val="00E27EE6"/>
    <w:rsid w:val="00E833C4"/>
    <w:rsid w:val="00F15792"/>
    <w:rsid w:val="00F53055"/>
    <w:rsid w:val="00F54EC3"/>
    <w:rsid w:val="00F82F3D"/>
    <w:rsid w:val="00FB6EC0"/>
    <w:rsid w:val="00F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table" w:styleId="ListTable6Colorful-Accent3">
    <w:name w:val="List Table 6 Colorful Accent 3"/>
    <w:basedOn w:val="TableNormal"/>
    <w:uiPriority w:val="51"/>
    <w:rsid w:val="00834AD4"/>
    <w:pPr>
      <w:spacing w:after="0" w:line="240" w:lineRule="auto"/>
    </w:pPr>
    <w:rPr>
      <w:color w:val="124F1A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Grid">
    <w:name w:val="Table Grid"/>
    <w:basedOn w:val="TableNormal"/>
    <w:uiPriority w:val="39"/>
    <w:rsid w:val="0010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7B0D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Cushnahan, Aidan</cp:lastModifiedBy>
  <cp:revision>2</cp:revision>
  <cp:lastPrinted>2024-11-15T13:50:00Z</cp:lastPrinted>
  <dcterms:created xsi:type="dcterms:W3CDTF">2024-11-15T14:29:00Z</dcterms:created>
  <dcterms:modified xsi:type="dcterms:W3CDTF">2024-11-15T14:29:00Z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