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74C6D" w14:textId="77777777" w:rsidR="00582AA7" w:rsidRPr="00582AA7" w:rsidRDefault="00582AA7" w:rsidP="00582AA7">
      <w:pPr>
        <w:jc w:val="both"/>
        <w:rPr>
          <w:rFonts w:ascii="Times New Roman" w:hAnsi="Times New Roman" w:cs="Times New Roman"/>
          <w:b/>
          <w:bCs/>
          <w:lang w:val="en-US"/>
        </w:rPr>
      </w:pPr>
      <w:r w:rsidRPr="00582AA7">
        <w:rPr>
          <w:rFonts w:ascii="Times New Roman" w:hAnsi="Times New Roman" w:cs="Times New Roman"/>
          <w:b/>
          <w:bCs/>
          <w:lang w:val="en-US"/>
        </w:rPr>
        <w:t>Moral Injury in Adolescents Exposed to War-Related Continuous Traumatic Stress in Ukraine</w:t>
      </w:r>
    </w:p>
    <w:p w14:paraId="091C6E9C" w14:textId="77777777" w:rsidR="00582AA7" w:rsidRPr="00582AA7" w:rsidRDefault="00582AA7" w:rsidP="00582AA7">
      <w:pPr>
        <w:jc w:val="both"/>
        <w:rPr>
          <w:rFonts w:ascii="Times New Roman" w:hAnsi="Times New Roman" w:cs="Times New Roman"/>
          <w:b/>
          <w:bCs/>
          <w:lang w:val="en-US"/>
        </w:rPr>
      </w:pPr>
    </w:p>
    <w:p w14:paraId="52ABDDB8" w14:textId="7AED9FE8" w:rsidR="00582AA7" w:rsidRPr="00582AA7" w:rsidRDefault="00582AA7" w:rsidP="00582AA7">
      <w:pPr>
        <w:jc w:val="both"/>
        <w:rPr>
          <w:rFonts w:ascii="Times New Roman" w:hAnsi="Times New Roman" w:cs="Times New Roman"/>
          <w:b/>
          <w:bCs/>
          <w:lang w:val="en-US"/>
        </w:rPr>
      </w:pPr>
      <w:r w:rsidRPr="00582AA7">
        <w:rPr>
          <w:rFonts w:ascii="Times New Roman" w:hAnsi="Times New Roman" w:cs="Times New Roman"/>
          <w:b/>
          <w:bCs/>
          <w:lang w:val="en-US"/>
        </w:rPr>
        <w:t>Larysa Zasiekina</w:t>
      </w:r>
    </w:p>
    <w:p w14:paraId="2665B9CE" w14:textId="77777777" w:rsidR="00582AA7" w:rsidRPr="00582AA7" w:rsidRDefault="00582AA7" w:rsidP="00582AA7">
      <w:pPr>
        <w:jc w:val="both"/>
        <w:rPr>
          <w:rFonts w:ascii="Times New Roman" w:hAnsi="Times New Roman" w:cs="Times New Roman"/>
          <w:lang w:val="en-US"/>
        </w:rPr>
      </w:pPr>
    </w:p>
    <w:p w14:paraId="2795E523" w14:textId="10D5EF23" w:rsidR="00582AA7" w:rsidRPr="00582AA7" w:rsidRDefault="00582AA7" w:rsidP="00582AA7">
      <w:pPr>
        <w:jc w:val="both"/>
        <w:rPr>
          <w:rFonts w:ascii="Times New Roman" w:hAnsi="Times New Roman" w:cs="Times New Roman"/>
          <w:lang w:val="en-US"/>
        </w:rPr>
      </w:pPr>
      <w:r w:rsidRPr="00582AA7">
        <w:rPr>
          <w:rFonts w:ascii="Times New Roman" w:hAnsi="Times New Roman" w:cs="Times New Roman"/>
          <w:b/>
          <w:bCs/>
          <w:lang w:val="en-US"/>
        </w:rPr>
        <w:t>Background</w:t>
      </w:r>
      <w:r>
        <w:rPr>
          <w:rFonts w:ascii="Times New Roman" w:hAnsi="Times New Roman" w:cs="Times New Roman"/>
          <w:b/>
          <w:bCs/>
          <w:lang w:val="en-US"/>
        </w:rPr>
        <w:t>:</w:t>
      </w:r>
      <w:r w:rsidRPr="00582AA7">
        <w:rPr>
          <w:rFonts w:ascii="Times New Roman" w:hAnsi="Times New Roman" w:cs="Times New Roman"/>
          <w:lang w:val="en-US"/>
        </w:rPr>
        <w:t xml:space="preserve"> The ongoing war in Ukraine has exposed adolescents to continuous traumatic stress (CTS), leading to psychological challenges, including moral injury (MI) (Kidwell &amp; </w:t>
      </w:r>
      <w:proofErr w:type="spellStart"/>
      <w:r w:rsidRPr="00582AA7">
        <w:rPr>
          <w:rFonts w:ascii="Times New Roman" w:hAnsi="Times New Roman" w:cs="Times New Roman"/>
          <w:lang w:val="en-US"/>
        </w:rPr>
        <w:t>Kerig</w:t>
      </w:r>
      <w:proofErr w:type="spellEnd"/>
      <w:r w:rsidRPr="00582AA7">
        <w:rPr>
          <w:rFonts w:ascii="Times New Roman" w:hAnsi="Times New Roman" w:cs="Times New Roman"/>
          <w:lang w:val="en-US"/>
        </w:rPr>
        <w:t xml:space="preserve">, 2021; Zasiekina et al., 2024). MI refers to the emotional distress resulting from forced action or inacting that violates moral values in moral paradoxical situations during the war (Fleming, 2021). While MI has been studied primarily among military personnel, the prevalence and impacts of MI among youth in war-torn regions are less understood. This presentation examines MI in Ukrainian adolescents exposed to war-related CTS, highlighting its risk and protective factors. </w:t>
      </w:r>
    </w:p>
    <w:p w14:paraId="3C842643" w14:textId="14278387" w:rsidR="00582AA7" w:rsidRPr="00582AA7" w:rsidRDefault="00582AA7" w:rsidP="00582AA7">
      <w:pPr>
        <w:jc w:val="both"/>
        <w:rPr>
          <w:rFonts w:ascii="Times New Roman" w:hAnsi="Times New Roman" w:cs="Times New Roman"/>
          <w:lang w:val="en-UA"/>
        </w:rPr>
      </w:pPr>
      <w:r w:rsidRPr="00582AA7">
        <w:rPr>
          <w:rFonts w:ascii="Times New Roman" w:hAnsi="Times New Roman" w:cs="Times New Roman"/>
          <w:b/>
          <w:bCs/>
          <w:lang w:val="en-UA"/>
        </w:rPr>
        <w:t>Methods</w:t>
      </w:r>
      <w:r>
        <w:rPr>
          <w:rFonts w:ascii="Times New Roman" w:hAnsi="Times New Roman" w:cs="Times New Roman"/>
          <w:b/>
          <w:bCs/>
          <w:lang w:val="en-UA"/>
        </w:rPr>
        <w:t>:</w:t>
      </w:r>
      <w:r w:rsidRPr="00582AA7">
        <w:rPr>
          <w:rFonts w:ascii="Times New Roman" w:hAnsi="Times New Roman" w:cs="Times New Roman"/>
          <w:lang w:val="en-UA"/>
        </w:rPr>
        <w:t xml:space="preserve"> A hierarchical regression analysis was conducted to assess the influence of demographic, family, and personal trauma factors on MI in the Ukrainina adolescents (n=418, </w:t>
      </w:r>
      <w:proofErr w:type="spellStart"/>
      <w:r w:rsidRPr="00582AA7">
        <w:rPr>
          <w:rFonts w:ascii="Times New Roman" w:hAnsi="Times New Roman" w:cs="Times New Roman"/>
        </w:rPr>
        <w:t>mean</w:t>
      </w:r>
      <w:proofErr w:type="spellEnd"/>
      <w:r w:rsidRPr="00582AA7">
        <w:rPr>
          <w:rFonts w:ascii="Times New Roman" w:hAnsi="Times New Roman" w:cs="Times New Roman"/>
        </w:rPr>
        <w:t xml:space="preserve"> </w:t>
      </w:r>
      <w:proofErr w:type="spellStart"/>
      <w:r w:rsidRPr="00582AA7">
        <w:rPr>
          <w:rFonts w:ascii="Times New Roman" w:hAnsi="Times New Roman" w:cs="Times New Roman"/>
        </w:rPr>
        <w:t>age</w:t>
      </w:r>
      <w:proofErr w:type="spellEnd"/>
      <w:r w:rsidRPr="00582AA7">
        <w:rPr>
          <w:rFonts w:ascii="Times New Roman" w:hAnsi="Times New Roman" w:cs="Times New Roman"/>
          <w:lang w:val="en-US"/>
        </w:rPr>
        <w:t xml:space="preserve"> was </w:t>
      </w:r>
      <w:r w:rsidRPr="00582AA7">
        <w:rPr>
          <w:rFonts w:ascii="Times New Roman" w:hAnsi="Times New Roman" w:cs="Times New Roman"/>
        </w:rPr>
        <w:t>18.90</w:t>
      </w:r>
      <w:r w:rsidRPr="00582AA7">
        <w:rPr>
          <w:rFonts w:ascii="Times New Roman" w:hAnsi="Times New Roman" w:cs="Times New Roman"/>
          <w:i/>
          <w:iCs/>
          <w:lang w:val="en-US"/>
        </w:rPr>
        <w:t xml:space="preserve"> </w:t>
      </w:r>
      <w:r w:rsidRPr="00582AA7">
        <w:rPr>
          <w:rFonts w:ascii="Times New Roman" w:hAnsi="Times New Roman" w:cs="Times New Roman"/>
          <w:lang w:val="en-US"/>
        </w:rPr>
        <w:t>±</w:t>
      </w:r>
      <w:r w:rsidRPr="00582AA7">
        <w:rPr>
          <w:rFonts w:ascii="Times New Roman" w:hAnsi="Times New Roman" w:cs="Times New Roman"/>
        </w:rPr>
        <w:t xml:space="preserve"> 2.19).</w:t>
      </w:r>
      <w:r w:rsidRPr="00582AA7">
        <w:rPr>
          <w:rFonts w:ascii="Times New Roman" w:hAnsi="Times New Roman" w:cs="Times New Roman"/>
          <w:lang w:val="en-UA"/>
        </w:rPr>
        <w:t xml:space="preserve"> </w:t>
      </w:r>
    </w:p>
    <w:p w14:paraId="34BCBB2C" w14:textId="369030E2" w:rsidR="00582AA7" w:rsidRPr="00582AA7" w:rsidRDefault="00582AA7" w:rsidP="00582AA7">
      <w:pPr>
        <w:jc w:val="both"/>
        <w:rPr>
          <w:rFonts w:ascii="Times New Roman" w:hAnsi="Times New Roman" w:cs="Times New Roman"/>
          <w:lang w:val="en-UA"/>
        </w:rPr>
      </w:pPr>
      <w:r w:rsidRPr="00582AA7">
        <w:rPr>
          <w:rFonts w:ascii="Times New Roman" w:hAnsi="Times New Roman" w:cs="Times New Roman"/>
          <w:b/>
          <w:bCs/>
          <w:lang w:val="en-UA"/>
        </w:rPr>
        <w:t>Results</w:t>
      </w:r>
      <w:r>
        <w:rPr>
          <w:rFonts w:ascii="Times New Roman" w:hAnsi="Times New Roman" w:cs="Times New Roman"/>
          <w:b/>
          <w:bCs/>
          <w:lang w:val="en-UA"/>
        </w:rPr>
        <w:t>:</w:t>
      </w:r>
      <w:r w:rsidRPr="00582AA7">
        <w:rPr>
          <w:rFonts w:ascii="Times New Roman" w:hAnsi="Times New Roman" w:cs="Times New Roman"/>
          <w:lang w:val="en-UA"/>
        </w:rPr>
        <w:t xml:space="preserve"> In </w:t>
      </w:r>
      <w:r w:rsidRPr="00582AA7">
        <w:rPr>
          <w:rFonts w:ascii="Times New Roman" w:hAnsi="Times New Roman" w:cs="Times New Roman"/>
          <w:i/>
          <w:iCs/>
          <w:lang w:val="en-UA"/>
        </w:rPr>
        <w:t>Model 1</w:t>
      </w:r>
      <w:r w:rsidRPr="00582AA7">
        <w:rPr>
          <w:rFonts w:ascii="Times New Roman" w:hAnsi="Times New Roman" w:cs="Times New Roman"/>
          <w:lang w:val="en-UA"/>
        </w:rPr>
        <w:t>, gender, age, family trauma, adverse childhood experiences, and displacement were included, explaining 8.9% of the variance in distress scores (Adjusted R² = .078, </w:t>
      </w:r>
      <w:r w:rsidRPr="00582AA7">
        <w:rPr>
          <w:rFonts w:ascii="Times New Roman" w:hAnsi="Times New Roman" w:cs="Times New Roman"/>
          <w:i/>
          <w:iCs/>
          <w:lang w:val="en-UA"/>
        </w:rPr>
        <w:t>p</w:t>
      </w:r>
      <w:r w:rsidRPr="00582AA7">
        <w:rPr>
          <w:rFonts w:ascii="Times New Roman" w:hAnsi="Times New Roman" w:cs="Times New Roman"/>
          <w:lang w:val="en-UA"/>
        </w:rPr>
        <w:t> &lt; .001). </w:t>
      </w:r>
      <w:r w:rsidRPr="00582AA7">
        <w:rPr>
          <w:rFonts w:ascii="Times New Roman" w:hAnsi="Times New Roman" w:cs="Times New Roman"/>
          <w:i/>
          <w:iCs/>
          <w:lang w:val="en-UA"/>
        </w:rPr>
        <w:t>Model 2</w:t>
      </w:r>
      <w:r w:rsidRPr="00582AA7">
        <w:rPr>
          <w:rFonts w:ascii="Times New Roman" w:hAnsi="Times New Roman" w:cs="Times New Roman"/>
          <w:lang w:val="en-UA"/>
        </w:rPr>
        <w:t> added friendship and family attitude, resulting in a slight increase in explained variance to 11.7% (Adjusted R² = .117, </w:t>
      </w:r>
      <w:r w:rsidRPr="00582AA7">
        <w:rPr>
          <w:rFonts w:ascii="Times New Roman" w:hAnsi="Times New Roman" w:cs="Times New Roman"/>
          <w:i/>
          <w:iCs/>
          <w:lang w:val="en-UA"/>
        </w:rPr>
        <w:t>p</w:t>
      </w:r>
      <w:r w:rsidRPr="00582AA7">
        <w:rPr>
          <w:rFonts w:ascii="Times New Roman" w:hAnsi="Times New Roman" w:cs="Times New Roman"/>
          <w:lang w:val="en-UA"/>
        </w:rPr>
        <w:t> &lt; .001). </w:t>
      </w:r>
      <w:r w:rsidRPr="00582AA7">
        <w:rPr>
          <w:rFonts w:ascii="Times New Roman" w:hAnsi="Times New Roman" w:cs="Times New Roman"/>
          <w:i/>
          <w:iCs/>
          <w:lang w:val="en-UA"/>
        </w:rPr>
        <w:t>Model 3</w:t>
      </w:r>
      <w:r w:rsidRPr="00582AA7">
        <w:rPr>
          <w:rFonts w:ascii="Times New Roman" w:hAnsi="Times New Roman" w:cs="Times New Roman"/>
          <w:lang w:val="en-UA"/>
        </w:rPr>
        <w:t> introduced posttraumatic stress symptoms (PCL) as a predictor, which significantly enhanced the model, accounting for 29.1% of the variance (Adjusted R² = .277, </w:t>
      </w:r>
      <w:r w:rsidRPr="00582AA7">
        <w:rPr>
          <w:rFonts w:ascii="Times New Roman" w:hAnsi="Times New Roman" w:cs="Times New Roman"/>
          <w:i/>
          <w:iCs/>
          <w:lang w:val="en-UA"/>
        </w:rPr>
        <w:t>p</w:t>
      </w:r>
      <w:r w:rsidRPr="00582AA7">
        <w:rPr>
          <w:rFonts w:ascii="Times New Roman" w:hAnsi="Times New Roman" w:cs="Times New Roman"/>
          <w:lang w:val="en-UA"/>
        </w:rPr>
        <w:t xml:space="preserve"> &lt; .001). In the final model, significant predictors included gender, perceived family attitude, and PCL scores, underscoring female gender, posttraumatic symptoms and supportive family dynamics as influential factors. </w:t>
      </w:r>
    </w:p>
    <w:p w14:paraId="476550DD" w14:textId="05523638" w:rsidR="00582AA7" w:rsidRPr="00582AA7" w:rsidRDefault="00582AA7" w:rsidP="00582AA7">
      <w:pPr>
        <w:jc w:val="both"/>
        <w:rPr>
          <w:rFonts w:ascii="Times New Roman" w:hAnsi="Times New Roman" w:cs="Times New Roman"/>
          <w:lang w:val="en-UA"/>
        </w:rPr>
      </w:pPr>
      <w:r w:rsidRPr="00582AA7">
        <w:rPr>
          <w:rFonts w:ascii="Times New Roman" w:hAnsi="Times New Roman" w:cs="Times New Roman"/>
          <w:b/>
          <w:bCs/>
          <w:lang w:val="en-UA"/>
        </w:rPr>
        <w:t>Conclusions</w:t>
      </w:r>
      <w:r>
        <w:rPr>
          <w:rFonts w:ascii="Times New Roman" w:hAnsi="Times New Roman" w:cs="Times New Roman"/>
          <w:b/>
          <w:bCs/>
          <w:lang w:val="en-UA"/>
        </w:rPr>
        <w:t>:</w:t>
      </w:r>
      <w:r w:rsidRPr="00582AA7">
        <w:rPr>
          <w:rFonts w:ascii="Times New Roman" w:hAnsi="Times New Roman" w:cs="Times New Roman"/>
          <w:lang w:val="en-UA"/>
        </w:rPr>
        <w:t xml:space="preserve"> These insights may inform targeted interventions aimed at reducing trauma-related distress in conflict-affected youth populations.</w:t>
      </w:r>
    </w:p>
    <w:p w14:paraId="14DC0BE0" w14:textId="77777777" w:rsidR="00582AA7" w:rsidRPr="00582AA7" w:rsidRDefault="00582AA7" w:rsidP="00582AA7">
      <w:pPr>
        <w:jc w:val="both"/>
        <w:rPr>
          <w:rFonts w:ascii="Times New Roman" w:hAnsi="Times New Roman" w:cs="Times New Roman"/>
          <w:lang w:val="en-US"/>
        </w:rPr>
      </w:pPr>
    </w:p>
    <w:p w14:paraId="58C03ED4" w14:textId="77777777" w:rsidR="00582AA7" w:rsidRPr="00582AA7" w:rsidRDefault="00582AA7" w:rsidP="00582AA7">
      <w:pPr>
        <w:jc w:val="both"/>
        <w:rPr>
          <w:rFonts w:ascii="Times New Roman" w:hAnsi="Times New Roman" w:cs="Times New Roman"/>
          <w:lang w:val="en-US"/>
        </w:rPr>
      </w:pPr>
    </w:p>
    <w:p w14:paraId="62373C88" w14:textId="77777777" w:rsidR="00582AA7" w:rsidRPr="00582AA7" w:rsidRDefault="00582AA7" w:rsidP="00582AA7">
      <w:pPr>
        <w:jc w:val="both"/>
        <w:rPr>
          <w:rFonts w:ascii="Times New Roman" w:hAnsi="Times New Roman" w:cs="Times New Roman"/>
          <w:lang w:val="en-US"/>
        </w:rPr>
      </w:pPr>
    </w:p>
    <w:p w14:paraId="7C1A0E5C" w14:textId="77777777" w:rsidR="00582AA7" w:rsidRPr="00582AA7" w:rsidRDefault="00582AA7" w:rsidP="00582AA7">
      <w:pPr>
        <w:jc w:val="both"/>
        <w:rPr>
          <w:rFonts w:ascii="Times New Roman" w:hAnsi="Times New Roman" w:cs="Times New Roman"/>
          <w:lang w:val="en-US"/>
        </w:rPr>
      </w:pPr>
    </w:p>
    <w:p w14:paraId="0EA5E147" w14:textId="77777777" w:rsidR="00582AA7" w:rsidRPr="00582AA7" w:rsidRDefault="00582AA7" w:rsidP="00582AA7">
      <w:pPr>
        <w:rPr>
          <w:lang w:val="en-US"/>
        </w:rPr>
      </w:pPr>
    </w:p>
    <w:p w14:paraId="5E268258" w14:textId="77777777" w:rsidR="000C3DF1" w:rsidRDefault="000C3DF1"/>
    <w:sectPr w:rsidR="000C3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A7"/>
    <w:rsid w:val="000C3DF1"/>
    <w:rsid w:val="00582AA7"/>
    <w:rsid w:val="00693254"/>
    <w:rsid w:val="0092006C"/>
    <w:rsid w:val="00960AB6"/>
    <w:rsid w:val="00B75330"/>
    <w:rsid w:val="00BF0818"/>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25DE7387"/>
  <w15:chartTrackingRefBased/>
  <w15:docId w15:val="{F3E33EAB-A523-6540-9697-1058F71D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582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A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A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A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A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A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A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A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AA7"/>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582AA7"/>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582AA7"/>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582AA7"/>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582AA7"/>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582AA7"/>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582AA7"/>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582AA7"/>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582A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AA7"/>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582A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AA7"/>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582A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2AA7"/>
    <w:rPr>
      <w:i/>
      <w:iCs/>
      <w:color w:val="404040" w:themeColor="text1" w:themeTint="BF"/>
      <w:lang w:val="uk-UA"/>
    </w:rPr>
  </w:style>
  <w:style w:type="paragraph" w:styleId="ListParagraph">
    <w:name w:val="List Paragraph"/>
    <w:basedOn w:val="Normal"/>
    <w:uiPriority w:val="34"/>
    <w:qFormat/>
    <w:rsid w:val="00582AA7"/>
    <w:pPr>
      <w:ind w:left="720"/>
      <w:contextualSpacing/>
    </w:pPr>
  </w:style>
  <w:style w:type="character" w:styleId="IntenseEmphasis">
    <w:name w:val="Intense Emphasis"/>
    <w:basedOn w:val="DefaultParagraphFont"/>
    <w:uiPriority w:val="21"/>
    <w:qFormat/>
    <w:rsid w:val="00582AA7"/>
    <w:rPr>
      <w:i/>
      <w:iCs/>
      <w:color w:val="0F4761" w:themeColor="accent1" w:themeShade="BF"/>
    </w:rPr>
  </w:style>
  <w:style w:type="paragraph" w:styleId="IntenseQuote">
    <w:name w:val="Intense Quote"/>
    <w:basedOn w:val="Normal"/>
    <w:next w:val="Normal"/>
    <w:link w:val="IntenseQuoteChar"/>
    <w:uiPriority w:val="30"/>
    <w:qFormat/>
    <w:rsid w:val="00582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AA7"/>
    <w:rPr>
      <w:i/>
      <w:iCs/>
      <w:color w:val="0F4761" w:themeColor="accent1" w:themeShade="BF"/>
      <w:lang w:val="uk-UA"/>
    </w:rPr>
  </w:style>
  <w:style w:type="character" w:styleId="IntenseReference">
    <w:name w:val="Intense Reference"/>
    <w:basedOn w:val="DefaultParagraphFont"/>
    <w:uiPriority w:val="32"/>
    <w:qFormat/>
    <w:rsid w:val="00582A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Zasiekina, Larysa</dc:creator>
  <cp:keywords/>
  <dc:description/>
  <cp:lastModifiedBy>Zasiekina, Larysa</cp:lastModifiedBy>
  <cp:revision>1</cp:revision>
  <dcterms:created xsi:type="dcterms:W3CDTF">2024-11-06T11:06:00Z</dcterms:created>
  <dcterms:modified xsi:type="dcterms:W3CDTF">2024-11-06T11:08:00Z</dcterms:modified>
</cp:coreProperties>
</file>