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DE979" w14:textId="24E06213" w:rsidR="00FE4659" w:rsidRDefault="008879F7" w:rsidP="008D4743">
      <w:pPr>
        <w:spacing w:line="276" w:lineRule="auto"/>
        <w:jc w:val="both"/>
        <w:rPr>
          <w:b/>
        </w:rPr>
      </w:pPr>
      <w:r w:rsidRPr="00C9758A">
        <w:rPr>
          <w:b/>
        </w:rPr>
        <w:t>Gastro</w:t>
      </w:r>
      <w:r w:rsidR="005F4430" w:rsidRPr="00C9758A">
        <w:rPr>
          <w:b/>
        </w:rPr>
        <w:t xml:space="preserve"> – intestinal parasites </w:t>
      </w:r>
      <w:r w:rsidR="0050717C">
        <w:rPr>
          <w:b/>
        </w:rPr>
        <w:t>in</w:t>
      </w:r>
      <w:r w:rsidR="005F4430" w:rsidRPr="00C9758A">
        <w:rPr>
          <w:b/>
        </w:rPr>
        <w:t xml:space="preserve"> outdoor pig</w:t>
      </w:r>
      <w:r w:rsidR="0050717C">
        <w:rPr>
          <w:b/>
        </w:rPr>
        <w:t>s</w:t>
      </w:r>
      <w:r w:rsidR="005F4430" w:rsidRPr="00C9758A">
        <w:rPr>
          <w:b/>
        </w:rPr>
        <w:t xml:space="preserve"> in Ireland</w:t>
      </w:r>
      <w:r w:rsidR="00C147DE">
        <w:rPr>
          <w:b/>
        </w:rPr>
        <w:t>:</w:t>
      </w:r>
      <w:r w:rsidR="005F4430" w:rsidRPr="00C9758A">
        <w:rPr>
          <w:b/>
        </w:rPr>
        <w:t xml:space="preserve"> </w:t>
      </w:r>
      <w:r w:rsidR="00072B3B">
        <w:rPr>
          <w:b/>
        </w:rPr>
        <w:t>what factors</w:t>
      </w:r>
      <w:r w:rsidR="00C147DE">
        <w:rPr>
          <w:b/>
        </w:rPr>
        <w:t xml:space="preserve"> </w:t>
      </w:r>
      <w:r w:rsidR="00E16879">
        <w:rPr>
          <w:b/>
        </w:rPr>
        <w:t>affect</w:t>
      </w:r>
      <w:r w:rsidR="00A64243">
        <w:rPr>
          <w:b/>
        </w:rPr>
        <w:t xml:space="preserve"> </w:t>
      </w:r>
      <w:r w:rsidR="00171687" w:rsidRPr="00C9758A">
        <w:rPr>
          <w:b/>
        </w:rPr>
        <w:t>parasitic load</w:t>
      </w:r>
      <w:r w:rsidR="00F0097A">
        <w:rPr>
          <w:b/>
        </w:rPr>
        <w:t>?</w:t>
      </w:r>
    </w:p>
    <w:p w14:paraId="2688192E" w14:textId="77777777" w:rsidR="00A64243" w:rsidRDefault="00A64243" w:rsidP="008D4743">
      <w:pPr>
        <w:spacing w:line="276" w:lineRule="auto"/>
        <w:jc w:val="both"/>
        <w:rPr>
          <w:b/>
        </w:rPr>
      </w:pPr>
    </w:p>
    <w:p w14:paraId="42EA21F7" w14:textId="77777777" w:rsidR="00A64243" w:rsidRPr="00C9758A" w:rsidRDefault="00A64243" w:rsidP="00A64243">
      <w:pPr>
        <w:spacing w:line="276" w:lineRule="auto"/>
        <w:jc w:val="both"/>
        <w:rPr>
          <w:b/>
        </w:rPr>
      </w:pPr>
      <w:r>
        <w:rPr>
          <w:b/>
        </w:rPr>
        <w:t>Authors and Affiliations</w:t>
      </w:r>
    </w:p>
    <w:p w14:paraId="2B25EB48" w14:textId="58EF98DA" w:rsidR="00A64243" w:rsidRDefault="00A64243" w:rsidP="00A64243">
      <w:pPr>
        <w:spacing w:line="276" w:lineRule="auto"/>
        <w:rPr>
          <w:vertAlign w:val="superscript"/>
        </w:rPr>
      </w:pPr>
      <w:r>
        <w:t>N.S.</w:t>
      </w:r>
      <w:r w:rsidRPr="00E411B9">
        <w:t xml:space="preserve"> Senanayake</w:t>
      </w:r>
      <w:r w:rsidRPr="00E411B9">
        <w:rPr>
          <w:vertAlign w:val="superscript"/>
        </w:rPr>
        <w:t>1, 2</w:t>
      </w:r>
      <w:r>
        <w:t>, L.</w:t>
      </w:r>
      <w:r w:rsidRPr="00E411B9">
        <w:t xml:space="preserve"> Boyle</w:t>
      </w:r>
      <w:r w:rsidRPr="00E411B9">
        <w:rPr>
          <w:vertAlign w:val="superscript"/>
        </w:rPr>
        <w:t>1</w:t>
      </w:r>
      <w:r>
        <w:t>, K.</w:t>
      </w:r>
      <w:r w:rsidRPr="00E411B9">
        <w:t xml:space="preserve"> O’Driscoll</w:t>
      </w:r>
      <w:r w:rsidRPr="00E411B9">
        <w:rPr>
          <w:vertAlign w:val="superscript"/>
        </w:rPr>
        <w:t>1</w:t>
      </w:r>
      <w:r>
        <w:t>, C.</w:t>
      </w:r>
      <w:r w:rsidRPr="00E411B9">
        <w:t xml:space="preserve"> Ducher</w:t>
      </w:r>
      <w:r w:rsidRPr="00E411B9">
        <w:rPr>
          <w:vertAlign w:val="superscript"/>
        </w:rPr>
        <w:t>1</w:t>
      </w:r>
      <w:r w:rsidRPr="00E411B9">
        <w:t xml:space="preserve">, </w:t>
      </w:r>
      <w:r w:rsidR="00250B05">
        <w:t>F. Butler</w:t>
      </w:r>
      <w:r w:rsidR="00250B05" w:rsidRPr="00250B05">
        <w:rPr>
          <w:vertAlign w:val="superscript"/>
        </w:rPr>
        <w:t>2</w:t>
      </w:r>
      <w:r w:rsidR="00250B05">
        <w:t xml:space="preserve"> and </w:t>
      </w:r>
      <w:r>
        <w:t>O.</w:t>
      </w:r>
      <w:r w:rsidRPr="00E411B9">
        <w:t xml:space="preserve"> Menant</w:t>
      </w:r>
      <w:r w:rsidRPr="00E411B9">
        <w:rPr>
          <w:vertAlign w:val="superscript"/>
        </w:rPr>
        <w:t>1</w:t>
      </w:r>
      <w:r w:rsidR="00F0097A" w:rsidRPr="00F0097A">
        <w:t xml:space="preserve"> </w:t>
      </w:r>
    </w:p>
    <w:p w14:paraId="68BFE7DE" w14:textId="77777777" w:rsidR="00A64243" w:rsidRDefault="00A64243" w:rsidP="00A64243">
      <w:pPr>
        <w:spacing w:line="276" w:lineRule="auto"/>
      </w:pPr>
      <w:r>
        <w:rPr>
          <w:vertAlign w:val="superscript"/>
        </w:rPr>
        <w:t>1</w:t>
      </w:r>
      <w:r>
        <w:t>Pig Development Department, Animal and Grassland Research and Innovation Centre, Fermoy, Co. Cork, Ireland</w:t>
      </w:r>
    </w:p>
    <w:p w14:paraId="0C8E1C8E" w14:textId="410962F3" w:rsidR="00A64243" w:rsidRPr="00A64243" w:rsidRDefault="00A64243" w:rsidP="00A64243">
      <w:pPr>
        <w:spacing w:line="276" w:lineRule="auto"/>
      </w:pPr>
      <w:r w:rsidRPr="00E411B9">
        <w:rPr>
          <w:vertAlign w:val="superscript"/>
        </w:rPr>
        <w:t>2</w:t>
      </w:r>
      <w:r>
        <w:t>School of Biological, Earth and Environmental Sciences, University College Cork, Cork, Ireland</w:t>
      </w:r>
    </w:p>
    <w:p w14:paraId="2EB29808" w14:textId="0E8A39CE" w:rsidR="00073C9B" w:rsidRDefault="00073C9B" w:rsidP="008D4743">
      <w:pPr>
        <w:spacing w:line="276" w:lineRule="auto"/>
        <w:rPr>
          <w:b/>
        </w:rPr>
      </w:pPr>
      <w:r w:rsidRPr="00C9758A">
        <w:rPr>
          <w:b/>
        </w:rPr>
        <w:t>Application</w:t>
      </w:r>
    </w:p>
    <w:p w14:paraId="147F32EA" w14:textId="202AA01F" w:rsidR="00C9758A" w:rsidRPr="008879F7" w:rsidRDefault="00D21EAE" w:rsidP="008D4743">
      <w:pPr>
        <w:spacing w:line="276" w:lineRule="auto"/>
        <w:jc w:val="both"/>
      </w:pPr>
      <w:r>
        <w:t>We must address t</w:t>
      </w:r>
      <w:r w:rsidR="00762BAC">
        <w:t xml:space="preserve">he high </w:t>
      </w:r>
      <w:r w:rsidR="008879F7">
        <w:t>prevalence of some species of gastro – intestinal parasites observed in o</w:t>
      </w:r>
      <w:r w:rsidR="00501267">
        <w:t>utdoor pig</w:t>
      </w:r>
      <w:r>
        <w:t>s to ensure the success</w:t>
      </w:r>
      <w:r w:rsidR="00814153">
        <w:t>ful</w:t>
      </w:r>
      <w:r>
        <w:t xml:space="preserve"> </w:t>
      </w:r>
      <w:r w:rsidR="00814153">
        <w:t xml:space="preserve">expansion </w:t>
      </w:r>
      <w:r>
        <w:t xml:space="preserve">of </w:t>
      </w:r>
      <w:r w:rsidR="00762BAC">
        <w:t xml:space="preserve">the outdoor </w:t>
      </w:r>
      <w:r>
        <w:t xml:space="preserve">production </w:t>
      </w:r>
      <w:r w:rsidR="00762BAC">
        <w:t>sector</w:t>
      </w:r>
      <w:r w:rsidR="0050717C" w:rsidRPr="0050717C">
        <w:t xml:space="preserve"> </w:t>
      </w:r>
      <w:r w:rsidR="0050717C">
        <w:t>in Ireland</w:t>
      </w:r>
      <w:r>
        <w:t>.</w:t>
      </w:r>
    </w:p>
    <w:p w14:paraId="6ED103D6" w14:textId="77777777" w:rsidR="001358B7" w:rsidRPr="00C9758A" w:rsidRDefault="00073C9B" w:rsidP="008D4743">
      <w:pPr>
        <w:spacing w:line="276" w:lineRule="auto"/>
        <w:rPr>
          <w:b/>
        </w:rPr>
      </w:pPr>
      <w:r w:rsidRPr="00C9758A">
        <w:rPr>
          <w:b/>
        </w:rPr>
        <w:t>Introduction</w:t>
      </w:r>
    </w:p>
    <w:p w14:paraId="638D17DC" w14:textId="6A9ED352" w:rsidR="005B1E1E" w:rsidRDefault="00483C64" w:rsidP="008D4743">
      <w:pPr>
        <w:spacing w:line="276" w:lineRule="auto"/>
        <w:jc w:val="both"/>
      </w:pPr>
      <w:r>
        <w:t xml:space="preserve">Societal concerns about </w:t>
      </w:r>
      <w:r w:rsidR="0011479C">
        <w:t xml:space="preserve">animal </w:t>
      </w:r>
      <w:r>
        <w:t>welfare in conventional production systems</w:t>
      </w:r>
      <w:r w:rsidR="0011479C">
        <w:t>,</w:t>
      </w:r>
      <w:r>
        <w:t xml:space="preserve"> and European Union policies such as </w:t>
      </w:r>
      <w:r w:rsidR="00814153">
        <w:t xml:space="preserve">the </w:t>
      </w:r>
      <w:r>
        <w:t xml:space="preserve">Green </w:t>
      </w:r>
      <w:r w:rsidR="00814153">
        <w:t>D</w:t>
      </w:r>
      <w:r>
        <w:t>eal and</w:t>
      </w:r>
      <w:r w:rsidR="00250B05">
        <w:t xml:space="preserve"> “Farm to Fork”</w:t>
      </w:r>
      <w:r>
        <w:t xml:space="preserve">, </w:t>
      </w:r>
      <w:r w:rsidR="0011479C">
        <w:t xml:space="preserve">promoted </w:t>
      </w:r>
      <w:r>
        <w:t>interest in outdoor</w:t>
      </w:r>
      <w:r w:rsidR="000F1E54">
        <w:t>/organic</w:t>
      </w:r>
      <w:r>
        <w:t xml:space="preserve"> </w:t>
      </w:r>
      <w:r w:rsidR="0011479C">
        <w:t xml:space="preserve">pig </w:t>
      </w:r>
      <w:r>
        <w:t xml:space="preserve">production systems. </w:t>
      </w:r>
      <w:r w:rsidR="005C31CB">
        <w:t>However,</w:t>
      </w:r>
      <w:r>
        <w:t xml:space="preserve"> </w:t>
      </w:r>
      <w:r w:rsidR="005C31CB">
        <w:t>g</w:t>
      </w:r>
      <w:r w:rsidR="00DF27E8" w:rsidRPr="005B1E1E">
        <w:t xml:space="preserve">astrointestinal parasites pose a threat to domestic pigs in outdoor systems. Left uncontrolled, these can significantly undermine performance, result in substantial </w:t>
      </w:r>
      <w:proofErr w:type="gramStart"/>
      <w:r w:rsidR="00DF27E8" w:rsidRPr="005B1E1E">
        <w:t>economic</w:t>
      </w:r>
      <w:proofErr w:type="gramEnd"/>
      <w:r w:rsidR="00DF27E8" w:rsidRPr="005B1E1E">
        <w:t xml:space="preserve"> losses, and potentially lead to </w:t>
      </w:r>
      <w:r w:rsidR="0011479C">
        <w:t xml:space="preserve">pig mortality </w:t>
      </w:r>
      <w:r w:rsidR="00DF27E8" w:rsidRPr="005B1E1E">
        <w:t>(</w:t>
      </w:r>
      <w:proofErr w:type="spellStart"/>
      <w:r w:rsidR="00DF27E8" w:rsidRPr="005B1E1E">
        <w:t>Roepstorff</w:t>
      </w:r>
      <w:proofErr w:type="spellEnd"/>
      <w:r w:rsidR="00DF27E8" w:rsidRPr="005B1E1E">
        <w:t xml:space="preserve"> et al., 2011). </w:t>
      </w:r>
      <w:r w:rsidR="0050717C">
        <w:t>S</w:t>
      </w:r>
      <w:r w:rsidR="00DF27E8" w:rsidRPr="005B1E1E">
        <w:t>tudies on the prevalence and occurrence of such parasites in Ireland are scarce</w:t>
      </w:r>
      <w:r w:rsidR="0050717C">
        <w:t>. Hence</w:t>
      </w:r>
      <w:r w:rsidR="00DF27E8" w:rsidRPr="005B1E1E">
        <w:t xml:space="preserve">, the objective of this study </w:t>
      </w:r>
      <w:r w:rsidR="0050717C">
        <w:t>wa</w:t>
      </w:r>
      <w:r w:rsidR="00DF27E8" w:rsidRPr="005B1E1E">
        <w:t>s to identify the specific parasites present in outdoor pigs</w:t>
      </w:r>
      <w:r w:rsidR="0050717C">
        <w:t xml:space="preserve">, </w:t>
      </w:r>
      <w:r w:rsidR="00DF27E8" w:rsidRPr="005B1E1E">
        <w:t>to compare parasitic loads across seasons</w:t>
      </w:r>
      <w:r w:rsidR="0011479C">
        <w:t>,</w:t>
      </w:r>
      <w:r w:rsidR="00DF27E8" w:rsidRPr="005B1E1E">
        <w:t xml:space="preserve"> and evaluate </w:t>
      </w:r>
      <w:r w:rsidR="00AA1F33">
        <w:t>associations between</w:t>
      </w:r>
      <w:r w:rsidR="00DF27E8" w:rsidRPr="005B1E1E">
        <w:t xml:space="preserve"> these loads </w:t>
      </w:r>
      <w:r w:rsidR="0011479C">
        <w:t xml:space="preserve">and </w:t>
      </w:r>
      <w:r w:rsidR="00DF27E8" w:rsidRPr="005B1E1E">
        <w:t xml:space="preserve">various </w:t>
      </w:r>
      <w:r w:rsidR="00171687">
        <w:t xml:space="preserve">pig and management </w:t>
      </w:r>
      <w:r w:rsidR="0050717C">
        <w:t xml:space="preserve">related </w:t>
      </w:r>
      <w:r w:rsidR="00DF27E8" w:rsidRPr="005B1E1E">
        <w:t>characteristics.</w:t>
      </w:r>
    </w:p>
    <w:p w14:paraId="36D93B26" w14:textId="77777777" w:rsidR="00073C9B" w:rsidRPr="00C9758A" w:rsidRDefault="00FE4659" w:rsidP="008D4743">
      <w:pPr>
        <w:spacing w:line="276" w:lineRule="auto"/>
        <w:rPr>
          <w:b/>
        </w:rPr>
      </w:pPr>
      <w:r w:rsidRPr="00C9758A">
        <w:rPr>
          <w:b/>
        </w:rPr>
        <w:t>Materials and methods</w:t>
      </w:r>
    </w:p>
    <w:p w14:paraId="46BEEDAE" w14:textId="553B163E" w:rsidR="00FE4659" w:rsidRDefault="00AE2336" w:rsidP="00627209">
      <w:pPr>
        <w:spacing w:line="276" w:lineRule="auto"/>
        <w:jc w:val="both"/>
      </w:pPr>
      <w:r>
        <w:t>A total of</w:t>
      </w:r>
      <w:r w:rsidR="00283CCB">
        <w:t xml:space="preserve"> 61 pig faecal samples </w:t>
      </w:r>
      <w:r w:rsidR="00534722">
        <w:t>were collected from 20</w:t>
      </w:r>
      <w:r w:rsidR="00283CCB">
        <w:t xml:space="preserve"> outdoor pig farms located </w:t>
      </w:r>
      <w:r w:rsidR="0011479C">
        <w:t xml:space="preserve">across the island of </w:t>
      </w:r>
      <w:r w:rsidR="00283CCB">
        <w:t xml:space="preserve">Ireland </w:t>
      </w:r>
      <w:r w:rsidR="00544FEB">
        <w:t>o</w:t>
      </w:r>
      <w:r w:rsidR="00283CCB">
        <w:t xml:space="preserve">n two separate visits </w:t>
      </w:r>
      <w:r w:rsidR="00D21EAE">
        <w:t xml:space="preserve">during </w:t>
      </w:r>
      <w:r w:rsidR="00283CCB">
        <w:t>Winter</w:t>
      </w:r>
      <w:r w:rsidR="00627209">
        <w:t xml:space="preserve"> (n = 33)</w:t>
      </w:r>
      <w:r w:rsidR="00283CCB">
        <w:t xml:space="preserve"> and Summer</w:t>
      </w:r>
      <w:r w:rsidR="00D21EAE">
        <w:t xml:space="preserve"> </w:t>
      </w:r>
      <w:r w:rsidR="00627209">
        <w:t xml:space="preserve">(n = 28) </w:t>
      </w:r>
      <w:r w:rsidR="00D21EAE">
        <w:t>2023</w:t>
      </w:r>
      <w:r w:rsidR="00FE4659">
        <w:t xml:space="preserve">. </w:t>
      </w:r>
      <w:r w:rsidR="00544FEB">
        <w:t xml:space="preserve">Between </w:t>
      </w:r>
      <w:proofErr w:type="gramStart"/>
      <w:r w:rsidR="00627209">
        <w:t>2</w:t>
      </w:r>
      <w:proofErr w:type="gramEnd"/>
      <w:r w:rsidR="00FA7454">
        <w:t xml:space="preserve"> and</w:t>
      </w:r>
      <w:r w:rsidR="003618F9">
        <w:t xml:space="preserve"> </w:t>
      </w:r>
      <w:r w:rsidR="00FA0505">
        <w:t>4 spontaneously v</w:t>
      </w:r>
      <w:r w:rsidR="00D21EAE">
        <w:t>oided f</w:t>
      </w:r>
      <w:r w:rsidR="002530CD">
        <w:t>aecal samples were collected per paddock</w:t>
      </w:r>
      <w:r w:rsidR="00544FEB">
        <w:t>,</w:t>
      </w:r>
      <w:r w:rsidR="002530CD">
        <w:t xml:space="preserve"> and mixed thoroughly to achieve paddock level </w:t>
      </w:r>
      <w:r w:rsidR="00544FEB">
        <w:t xml:space="preserve">composite </w:t>
      </w:r>
      <w:r w:rsidR="002530CD">
        <w:t>sample</w:t>
      </w:r>
      <w:r w:rsidR="00544FEB">
        <w:t xml:space="preserve">s. These </w:t>
      </w:r>
      <w:r w:rsidR="002530CD">
        <w:t xml:space="preserve">were stored </w:t>
      </w:r>
      <w:r w:rsidR="0011479C">
        <w:t xml:space="preserve">from </w:t>
      </w:r>
      <w:proofErr w:type="gramStart"/>
      <w:r w:rsidR="002530CD">
        <w:t>0</w:t>
      </w:r>
      <w:proofErr w:type="gramEnd"/>
      <w:r w:rsidR="002530CD">
        <w:t xml:space="preserve"> </w:t>
      </w:r>
      <w:r w:rsidR="00FA7454">
        <w:t>to</w:t>
      </w:r>
      <w:r w:rsidR="003618F9">
        <w:t xml:space="preserve"> </w:t>
      </w:r>
      <w:r w:rsidR="002530CD">
        <w:t xml:space="preserve">4 </w:t>
      </w:r>
      <w:r w:rsidR="002530CD">
        <w:rPr>
          <w:rFonts w:cstheme="minorHAnsi"/>
        </w:rPr>
        <w:t>°</w:t>
      </w:r>
      <w:r w:rsidR="002530CD">
        <w:t>C</w:t>
      </w:r>
      <w:r w:rsidR="0011479C">
        <w:t>,</w:t>
      </w:r>
      <w:r w:rsidR="002530CD">
        <w:t xml:space="preserve"> </w:t>
      </w:r>
      <w:r w:rsidR="00544FEB">
        <w:t>then anal</w:t>
      </w:r>
      <w:r w:rsidR="0011479C">
        <w:t xml:space="preserve">ysed using </w:t>
      </w:r>
      <w:r w:rsidR="00083A2C">
        <w:t>a</w:t>
      </w:r>
      <w:r w:rsidR="002530CD">
        <w:t xml:space="preserve">n improved </w:t>
      </w:r>
      <w:r w:rsidR="00FA7454">
        <w:t xml:space="preserve">- </w:t>
      </w:r>
      <w:r w:rsidR="002530CD">
        <w:t xml:space="preserve">McMaster </w:t>
      </w:r>
      <w:r w:rsidR="003D43CE">
        <w:t xml:space="preserve">floatation </w:t>
      </w:r>
      <w:r w:rsidR="00544FEB">
        <w:t xml:space="preserve">method </w:t>
      </w:r>
      <w:r w:rsidR="0011479C">
        <w:t>(</w:t>
      </w:r>
      <w:r w:rsidR="003D43CE">
        <w:t>described by Taylor et al.</w:t>
      </w:r>
      <w:r w:rsidR="0011479C">
        <w:t>,</w:t>
      </w:r>
      <w:r w:rsidR="003D43CE">
        <w:t xml:space="preserve"> 2016). </w:t>
      </w:r>
      <w:proofErr w:type="gramStart"/>
      <w:r w:rsidR="0011479C">
        <w:t>P</w:t>
      </w:r>
      <w:r w:rsidR="003D43CE">
        <w:t>arasitic egg</w:t>
      </w:r>
      <w:r w:rsidR="0011479C">
        <w:t xml:space="preserve"> type</w:t>
      </w:r>
      <w:r w:rsidR="003D43CE">
        <w:t xml:space="preserve">s were identified </w:t>
      </w:r>
      <w:r w:rsidR="00D36DA4">
        <w:t xml:space="preserve">by their </w:t>
      </w:r>
      <w:r w:rsidR="003D43CE">
        <w:t>morphology</w:t>
      </w:r>
      <w:r w:rsidR="0011479C">
        <w:t>,</w:t>
      </w:r>
      <w:r w:rsidR="003D43CE">
        <w:t xml:space="preserve"> th</w:t>
      </w:r>
      <w:r w:rsidR="00283CCB">
        <w:t>e number of eggs counted</w:t>
      </w:r>
      <w:r w:rsidR="0011479C">
        <w:t>,</w:t>
      </w:r>
      <w:r w:rsidR="003D43CE">
        <w:t xml:space="preserve"> and</w:t>
      </w:r>
      <w:r w:rsidR="00283CCB">
        <w:t xml:space="preserve"> </w:t>
      </w:r>
      <w:r w:rsidR="003D43CE">
        <w:t xml:space="preserve">Faecal </w:t>
      </w:r>
      <w:r w:rsidR="0050717C">
        <w:t>E</w:t>
      </w:r>
      <w:r w:rsidR="003D43CE">
        <w:t xml:space="preserve">gg </w:t>
      </w:r>
      <w:r w:rsidR="0050717C">
        <w:t>C</w:t>
      </w:r>
      <w:r w:rsidR="003D43CE">
        <w:t xml:space="preserve">ount (FEC </w:t>
      </w:r>
      <w:r w:rsidR="00D36DA4">
        <w:t xml:space="preserve">- </w:t>
      </w:r>
      <w:r w:rsidR="003D43CE">
        <w:t>number of eggs/gram)</w:t>
      </w:r>
      <w:proofErr w:type="gramEnd"/>
      <w:r w:rsidR="003D43CE">
        <w:t>.</w:t>
      </w:r>
      <w:r w:rsidR="000D0B82">
        <w:t xml:space="preserve"> </w:t>
      </w:r>
      <w:r w:rsidR="00D36DA4">
        <w:t>B</w:t>
      </w:r>
      <w:r w:rsidR="000D0B82">
        <w:t>ody condition score</w:t>
      </w:r>
      <w:r w:rsidR="007F0A6B">
        <w:t xml:space="preserve"> (BCS)</w:t>
      </w:r>
      <w:r w:rsidR="000D0B82">
        <w:t xml:space="preserve"> was </w:t>
      </w:r>
      <w:r w:rsidR="00083A2C">
        <w:t xml:space="preserve">individually </w:t>
      </w:r>
      <w:r w:rsidR="000D0B82">
        <w:t xml:space="preserve">recorded </w:t>
      </w:r>
      <w:r w:rsidR="00E560BC">
        <w:t>on</w:t>
      </w:r>
      <w:r w:rsidR="00D54686">
        <w:t xml:space="preserve"> 432</w:t>
      </w:r>
      <w:r w:rsidR="00083A2C">
        <w:t xml:space="preserve"> </w:t>
      </w:r>
      <w:r w:rsidR="00D36DA4">
        <w:t>pigs</w:t>
      </w:r>
      <w:r w:rsidR="00083A2C">
        <w:t xml:space="preserve"> </w:t>
      </w:r>
      <w:r w:rsidR="000D0B82">
        <w:t xml:space="preserve">using </w:t>
      </w:r>
      <w:r w:rsidR="0011479C">
        <w:t xml:space="preserve">a </w:t>
      </w:r>
      <w:r w:rsidR="000D0B82">
        <w:t>five point scoring system</w:t>
      </w:r>
      <w:r w:rsidR="007F0A6B">
        <w:t xml:space="preserve"> and averaged </w:t>
      </w:r>
      <w:r w:rsidR="0011479C">
        <w:t xml:space="preserve">at </w:t>
      </w:r>
      <w:r w:rsidR="007F0A6B">
        <w:t>paddock level</w:t>
      </w:r>
      <w:r w:rsidR="000D0B82">
        <w:t>.</w:t>
      </w:r>
      <w:r w:rsidR="003D43CE">
        <w:t xml:space="preserve"> </w:t>
      </w:r>
      <w:r w:rsidR="00D36DA4">
        <w:t>Data relating to the a</w:t>
      </w:r>
      <w:r w:rsidR="0011479C">
        <w:t>nimal (</w:t>
      </w:r>
      <w:r w:rsidR="001D0E2A">
        <w:t>sex and</w:t>
      </w:r>
      <w:r w:rsidR="00B5380F">
        <w:t xml:space="preserve"> age</w:t>
      </w:r>
      <w:r w:rsidR="0011479C">
        <w:t>)</w:t>
      </w:r>
      <w:r w:rsidR="001D0E2A">
        <w:t xml:space="preserve"> </w:t>
      </w:r>
      <w:r w:rsidR="0011479C">
        <w:t xml:space="preserve">and </w:t>
      </w:r>
      <w:r w:rsidR="00544FEB">
        <w:t xml:space="preserve">farm </w:t>
      </w:r>
      <w:r w:rsidR="0011479C">
        <w:t>(</w:t>
      </w:r>
      <w:r w:rsidR="00B5380F">
        <w:t>anthelmintic usage and paddock rotation</w:t>
      </w:r>
      <w:r w:rsidR="0011479C">
        <w:t>)</w:t>
      </w:r>
      <w:r w:rsidR="00B5380F">
        <w:t xml:space="preserve"> </w:t>
      </w:r>
      <w:proofErr w:type="gramStart"/>
      <w:r w:rsidR="00FA0505">
        <w:t xml:space="preserve">were </w:t>
      </w:r>
      <w:r w:rsidR="0011479C">
        <w:t>also collected</w:t>
      </w:r>
      <w:proofErr w:type="gramEnd"/>
      <w:r w:rsidR="00B5380F">
        <w:t xml:space="preserve">. </w:t>
      </w:r>
      <w:r w:rsidR="00544FEB">
        <w:t>D</w:t>
      </w:r>
      <w:r w:rsidR="00B5380F">
        <w:t xml:space="preserve">ata </w:t>
      </w:r>
      <w:r w:rsidR="00544FEB">
        <w:t xml:space="preserve">were analysed using </w:t>
      </w:r>
      <w:r w:rsidR="00B5380F">
        <w:t xml:space="preserve">non–parametric </w:t>
      </w:r>
      <w:r w:rsidR="00544FEB">
        <w:t>tests</w:t>
      </w:r>
      <w:r w:rsidR="00B5380F">
        <w:t>. T</w:t>
      </w:r>
      <w:r w:rsidR="003D43CE">
        <w:t>he effect</w:t>
      </w:r>
      <w:r w:rsidR="005C31BB">
        <w:t>s</w:t>
      </w:r>
      <w:r w:rsidR="003D43CE">
        <w:t xml:space="preserve"> of season</w:t>
      </w:r>
      <w:r w:rsidR="00B5380F">
        <w:t>, paddock rotation and anthelmintic treatment</w:t>
      </w:r>
      <w:r w:rsidR="003D43CE">
        <w:t xml:space="preserve"> on FEC </w:t>
      </w:r>
      <w:r w:rsidR="005C31BB">
        <w:t xml:space="preserve">were </w:t>
      </w:r>
      <w:r w:rsidR="003D43CE">
        <w:t>analysed using Wilcoxson sign r</w:t>
      </w:r>
      <w:r w:rsidR="00A97BA8">
        <w:t>ank test</w:t>
      </w:r>
      <w:r w:rsidR="005C31BB">
        <w:t>s</w:t>
      </w:r>
      <w:r w:rsidR="00544FEB">
        <w:t>,</w:t>
      </w:r>
      <w:r w:rsidR="00645BA5">
        <w:t xml:space="preserve"> and the effect</w:t>
      </w:r>
      <w:r w:rsidR="005C31BB">
        <w:t>s</w:t>
      </w:r>
      <w:r w:rsidR="00645BA5">
        <w:t xml:space="preserve"> of age and sex on FE</w:t>
      </w:r>
      <w:r w:rsidR="00627209">
        <w:t>C</w:t>
      </w:r>
      <w:r w:rsidR="00645BA5">
        <w:t xml:space="preserve"> </w:t>
      </w:r>
      <w:r w:rsidR="005C31BB">
        <w:t xml:space="preserve">were </w:t>
      </w:r>
      <w:r w:rsidR="00645BA5">
        <w:t xml:space="preserve">analysed using </w:t>
      </w:r>
      <w:proofErr w:type="spellStart"/>
      <w:r w:rsidR="00645BA5">
        <w:t>Kruskal</w:t>
      </w:r>
      <w:proofErr w:type="spellEnd"/>
      <w:r w:rsidR="00645BA5">
        <w:t xml:space="preserve"> – Wallis test</w:t>
      </w:r>
      <w:r w:rsidR="005C31BB">
        <w:t>s</w:t>
      </w:r>
      <w:r w:rsidR="00A97BA8">
        <w:t>.</w:t>
      </w:r>
      <w:r w:rsidR="00645BA5">
        <w:t xml:space="preserve"> Relationship</w:t>
      </w:r>
      <w:r w:rsidR="005C31BB">
        <w:t>s</w:t>
      </w:r>
      <w:r w:rsidR="00645BA5">
        <w:t xml:space="preserve"> between FEC and BCS w</w:t>
      </w:r>
      <w:r w:rsidR="005C31BB">
        <w:t>ere</w:t>
      </w:r>
      <w:r w:rsidR="00645BA5">
        <w:t xml:space="preserve"> analysed with Pearson correlation test</w:t>
      </w:r>
      <w:r w:rsidR="005C31BB">
        <w:t>s</w:t>
      </w:r>
      <w:r w:rsidR="00645BA5">
        <w:t>.</w:t>
      </w:r>
      <w:r w:rsidR="00A97BA8">
        <w:t xml:space="preserve"> R studio</w:t>
      </w:r>
      <w:r w:rsidR="00CD4613">
        <w:t xml:space="preserve"> (R version 4.2.1)</w:t>
      </w:r>
      <w:r w:rsidR="00A97BA8">
        <w:t xml:space="preserve"> statistical analysis software</w:t>
      </w:r>
      <w:r w:rsidR="00D36DA4">
        <w:t xml:space="preserve"> </w:t>
      </w:r>
      <w:proofErr w:type="gramStart"/>
      <w:r w:rsidR="00D36DA4">
        <w:t>was used</w:t>
      </w:r>
      <w:proofErr w:type="gramEnd"/>
      <w:r w:rsidR="00A97BA8">
        <w:t>.</w:t>
      </w:r>
    </w:p>
    <w:p w14:paraId="25B113FD" w14:textId="77777777" w:rsidR="00D07CE5" w:rsidRPr="00C9758A" w:rsidRDefault="00D07CE5" w:rsidP="008D4743">
      <w:pPr>
        <w:spacing w:line="276" w:lineRule="auto"/>
        <w:jc w:val="both"/>
        <w:rPr>
          <w:b/>
        </w:rPr>
      </w:pPr>
      <w:r w:rsidRPr="00C9758A">
        <w:rPr>
          <w:b/>
        </w:rPr>
        <w:t>Results</w:t>
      </w:r>
    </w:p>
    <w:p w14:paraId="15589A58" w14:textId="420A800E" w:rsidR="00542FDF" w:rsidRDefault="00147575" w:rsidP="00250B05">
      <w:pPr>
        <w:spacing w:before="240" w:line="276" w:lineRule="auto"/>
        <w:jc w:val="both"/>
      </w:pPr>
      <w:r>
        <w:t>Fo</w:t>
      </w:r>
      <w:r w:rsidR="00E17707">
        <w:t>u</w:t>
      </w:r>
      <w:r>
        <w:t>r</w:t>
      </w:r>
      <w:r w:rsidR="005B1E1E">
        <w:t xml:space="preserve"> types of gastrointestinal parasitic eggs were identified: </w:t>
      </w:r>
      <w:proofErr w:type="spellStart"/>
      <w:r w:rsidR="005B1E1E" w:rsidRPr="005B1E1E">
        <w:rPr>
          <w:i/>
        </w:rPr>
        <w:t>Eimeria</w:t>
      </w:r>
      <w:proofErr w:type="spellEnd"/>
      <w:r w:rsidR="005B1E1E">
        <w:t xml:space="preserve">, </w:t>
      </w:r>
      <w:proofErr w:type="spellStart"/>
      <w:r w:rsidR="005B1E1E">
        <w:t>Strongyles</w:t>
      </w:r>
      <w:proofErr w:type="spellEnd"/>
      <w:r w:rsidR="005B1E1E">
        <w:t xml:space="preserve">, </w:t>
      </w:r>
      <w:proofErr w:type="spellStart"/>
      <w:r w:rsidR="005B1E1E" w:rsidRPr="005B1E1E">
        <w:rPr>
          <w:i/>
        </w:rPr>
        <w:t>Ascaris</w:t>
      </w:r>
      <w:proofErr w:type="spellEnd"/>
      <w:r w:rsidR="005B1E1E" w:rsidRPr="005B1E1E">
        <w:rPr>
          <w:i/>
        </w:rPr>
        <w:t xml:space="preserve"> </w:t>
      </w:r>
      <w:proofErr w:type="spellStart"/>
      <w:r w:rsidR="005B1E1E" w:rsidRPr="005B1E1E">
        <w:rPr>
          <w:i/>
        </w:rPr>
        <w:t>suum</w:t>
      </w:r>
      <w:proofErr w:type="spellEnd"/>
      <w:r>
        <w:t xml:space="preserve"> and</w:t>
      </w:r>
      <w:r w:rsidR="005B1E1E">
        <w:t xml:space="preserve"> </w:t>
      </w:r>
      <w:proofErr w:type="spellStart"/>
      <w:r w:rsidR="005B1E1E" w:rsidRPr="005B1E1E">
        <w:rPr>
          <w:i/>
        </w:rPr>
        <w:t>Trichuris</w:t>
      </w:r>
      <w:proofErr w:type="spellEnd"/>
      <w:r w:rsidR="005B1E1E" w:rsidRPr="005B1E1E">
        <w:rPr>
          <w:i/>
        </w:rPr>
        <w:t xml:space="preserve"> </w:t>
      </w:r>
      <w:proofErr w:type="spellStart"/>
      <w:proofErr w:type="gramStart"/>
      <w:r w:rsidR="005B1E1E" w:rsidRPr="005B1E1E">
        <w:rPr>
          <w:i/>
        </w:rPr>
        <w:t>suis</w:t>
      </w:r>
      <w:proofErr w:type="spellEnd"/>
      <w:proofErr w:type="gramEnd"/>
      <w:r w:rsidR="00544FEB">
        <w:t xml:space="preserve"> (Table 1)</w:t>
      </w:r>
      <w:r w:rsidR="005B1E1E">
        <w:t>. Due to the challenge of identifying several species,</w:t>
      </w:r>
      <w:r w:rsidR="005B1E1E" w:rsidRPr="00147575">
        <w:rPr>
          <w:i/>
        </w:rPr>
        <w:t xml:space="preserve"> </w:t>
      </w:r>
      <w:proofErr w:type="spellStart"/>
      <w:r w:rsidR="005B1E1E" w:rsidRPr="00147575">
        <w:rPr>
          <w:i/>
        </w:rPr>
        <w:t>Eimeria</w:t>
      </w:r>
      <w:proofErr w:type="spellEnd"/>
      <w:r w:rsidR="005B1E1E">
        <w:t xml:space="preserve"> and </w:t>
      </w:r>
      <w:proofErr w:type="spellStart"/>
      <w:r w:rsidR="005B1E1E">
        <w:t>Strongylids</w:t>
      </w:r>
      <w:proofErr w:type="spellEnd"/>
      <w:r w:rsidR="005B1E1E">
        <w:t xml:space="preserve"> </w:t>
      </w:r>
      <w:proofErr w:type="gramStart"/>
      <w:r w:rsidR="005B1E1E">
        <w:t>were grouped</w:t>
      </w:r>
      <w:proofErr w:type="gramEnd"/>
      <w:r w:rsidR="005B1E1E">
        <w:t xml:space="preserve"> under the broad categories of </w:t>
      </w:r>
      <w:proofErr w:type="spellStart"/>
      <w:r w:rsidR="005B1E1E" w:rsidRPr="00E17707">
        <w:rPr>
          <w:i/>
        </w:rPr>
        <w:t>Eimeria</w:t>
      </w:r>
      <w:proofErr w:type="spellEnd"/>
      <w:r w:rsidR="005B1E1E" w:rsidRPr="00E17707">
        <w:rPr>
          <w:i/>
        </w:rPr>
        <w:t xml:space="preserve"> spp</w:t>
      </w:r>
      <w:r w:rsidR="005B1E1E">
        <w:t xml:space="preserve">. and </w:t>
      </w:r>
      <w:proofErr w:type="spellStart"/>
      <w:r w:rsidR="005B1E1E">
        <w:t>Strongyle</w:t>
      </w:r>
      <w:proofErr w:type="spellEnd"/>
      <w:r w:rsidR="005B1E1E">
        <w:t xml:space="preserve">. </w:t>
      </w:r>
      <w:r w:rsidR="00544FEB">
        <w:t xml:space="preserve">Both </w:t>
      </w:r>
      <w:proofErr w:type="spellStart"/>
      <w:r w:rsidR="005B1E1E" w:rsidRPr="005B1E1E">
        <w:rPr>
          <w:i/>
        </w:rPr>
        <w:t>Eimeria</w:t>
      </w:r>
      <w:proofErr w:type="spellEnd"/>
      <w:r w:rsidR="005B1E1E" w:rsidRPr="005B1E1E">
        <w:rPr>
          <w:i/>
        </w:rPr>
        <w:t xml:space="preserve"> spp</w:t>
      </w:r>
      <w:r w:rsidR="005B1E1E">
        <w:t>. (</w:t>
      </w:r>
      <w:r w:rsidR="00627209">
        <w:t xml:space="preserve">winter: </w:t>
      </w:r>
      <w:r w:rsidR="005B1E1E">
        <w:lastRenderedPageBreak/>
        <w:t xml:space="preserve">82%, </w:t>
      </w:r>
      <w:r w:rsidR="00627209">
        <w:t xml:space="preserve">summer: </w:t>
      </w:r>
      <w:r w:rsidR="005B1E1E">
        <w:t xml:space="preserve">94%) and </w:t>
      </w:r>
      <w:proofErr w:type="spellStart"/>
      <w:r w:rsidR="005B1E1E">
        <w:t>strongyles</w:t>
      </w:r>
      <w:proofErr w:type="spellEnd"/>
      <w:r w:rsidR="005B1E1E">
        <w:t xml:space="preserve"> (</w:t>
      </w:r>
      <w:r w:rsidR="00627209">
        <w:t xml:space="preserve">winter: </w:t>
      </w:r>
      <w:r w:rsidR="005B1E1E">
        <w:t xml:space="preserve">94%, </w:t>
      </w:r>
      <w:r w:rsidR="00627209">
        <w:t xml:space="preserve">summer: </w:t>
      </w:r>
      <w:r w:rsidR="005B1E1E">
        <w:t xml:space="preserve">82%) </w:t>
      </w:r>
      <w:r w:rsidR="00544FEB">
        <w:t>had a high prevalence</w:t>
      </w:r>
      <w:r w:rsidR="00AC13AE">
        <w:t xml:space="preserve"> across farms</w:t>
      </w:r>
      <w:r w:rsidR="00544FEB">
        <w:t xml:space="preserve"> </w:t>
      </w:r>
      <w:r w:rsidR="005B1E1E">
        <w:t xml:space="preserve">in both </w:t>
      </w:r>
      <w:r w:rsidR="00544FEB">
        <w:t>seasons</w:t>
      </w:r>
      <w:r w:rsidR="005B1E1E">
        <w:t xml:space="preserve">. </w:t>
      </w:r>
      <w:proofErr w:type="spellStart"/>
      <w:r w:rsidR="005B1E1E" w:rsidRPr="005B1E1E">
        <w:rPr>
          <w:i/>
        </w:rPr>
        <w:t>Ascaris</w:t>
      </w:r>
      <w:proofErr w:type="spellEnd"/>
      <w:r w:rsidR="005B1E1E" w:rsidRPr="005B1E1E">
        <w:rPr>
          <w:i/>
        </w:rPr>
        <w:t xml:space="preserve"> </w:t>
      </w:r>
      <w:proofErr w:type="spellStart"/>
      <w:r w:rsidR="005B1E1E" w:rsidRPr="005B1E1E">
        <w:rPr>
          <w:i/>
        </w:rPr>
        <w:t>suum</w:t>
      </w:r>
      <w:proofErr w:type="spellEnd"/>
      <w:r w:rsidR="005B1E1E">
        <w:t xml:space="preserve"> had a prevalence of 35% in winter and 29% in summer. </w:t>
      </w:r>
      <w:proofErr w:type="spellStart"/>
      <w:r w:rsidR="005B1E1E" w:rsidRPr="005B1E1E">
        <w:rPr>
          <w:i/>
        </w:rPr>
        <w:t>Trichuris</w:t>
      </w:r>
      <w:proofErr w:type="spellEnd"/>
      <w:r w:rsidR="005B1E1E" w:rsidRPr="005B1E1E">
        <w:rPr>
          <w:i/>
        </w:rPr>
        <w:t xml:space="preserve"> </w:t>
      </w:r>
      <w:proofErr w:type="spellStart"/>
      <w:proofErr w:type="gramStart"/>
      <w:r w:rsidR="005B1E1E" w:rsidRPr="005B1E1E">
        <w:rPr>
          <w:i/>
        </w:rPr>
        <w:t>suis</w:t>
      </w:r>
      <w:proofErr w:type="spellEnd"/>
      <w:proofErr w:type="gramEnd"/>
      <w:r w:rsidR="005B1E1E">
        <w:t xml:space="preserve"> was </w:t>
      </w:r>
      <w:r w:rsidR="00250B05">
        <w:t>recorded</w:t>
      </w:r>
      <w:r w:rsidR="003618F9">
        <w:t xml:space="preserve"> </w:t>
      </w:r>
      <w:r w:rsidR="005B1E1E">
        <w:t>in one farm</w:t>
      </w:r>
      <w:r w:rsidR="00CC6E11">
        <w:t xml:space="preserve"> (6%)</w:t>
      </w:r>
      <w:r w:rsidR="005B1E1E">
        <w:t xml:space="preserve"> in</w:t>
      </w:r>
      <w:r>
        <w:t xml:space="preserve"> winter and two farms</w:t>
      </w:r>
      <w:r w:rsidR="00923F84">
        <w:t xml:space="preserve"> (12%)</w:t>
      </w:r>
      <w:r>
        <w:t xml:space="preserve"> in summer</w:t>
      </w:r>
      <w:r w:rsidR="005B1E1E">
        <w:t>.</w:t>
      </w:r>
      <w:r w:rsidR="00CC48F0" w:rsidRPr="00CC48F0">
        <w:t xml:space="preserve"> </w:t>
      </w:r>
      <w:r w:rsidR="00CC48F0">
        <w:t xml:space="preserve">The effects of season, sex, </w:t>
      </w:r>
      <w:proofErr w:type="spellStart"/>
      <w:r w:rsidR="00CC48F0">
        <w:t>antihelminthic</w:t>
      </w:r>
      <w:proofErr w:type="spellEnd"/>
      <w:r w:rsidR="00CC48F0">
        <w:t xml:space="preserve"> use, and paddock rotation on FEC </w:t>
      </w:r>
      <w:proofErr w:type="gramStart"/>
      <w:r w:rsidR="00CC48F0">
        <w:t>are shown</w:t>
      </w:r>
      <w:proofErr w:type="gramEnd"/>
      <w:r w:rsidR="00CC48F0">
        <w:t xml:space="preserve"> in Tables 1 and 2</w:t>
      </w:r>
      <w:r w:rsidR="005B1E1E">
        <w:t>.</w:t>
      </w:r>
      <w:r w:rsidR="00D0170F">
        <w:t xml:space="preserve"> Juvenile pigs (&lt;8 months)</w:t>
      </w:r>
      <w:r w:rsidR="005B1E1E">
        <w:t xml:space="preserve"> had </w:t>
      </w:r>
      <w:r w:rsidR="00A22744">
        <w:t xml:space="preserve">a </w:t>
      </w:r>
      <w:r w:rsidR="005B1E1E">
        <w:t xml:space="preserve">higher (P &lt; 0.001) </w:t>
      </w:r>
      <w:proofErr w:type="spellStart"/>
      <w:r w:rsidR="005B1E1E" w:rsidRPr="005B1E1E">
        <w:rPr>
          <w:i/>
        </w:rPr>
        <w:t>Eimeria</w:t>
      </w:r>
      <w:proofErr w:type="spellEnd"/>
      <w:r w:rsidR="005B1E1E" w:rsidRPr="005B1E1E">
        <w:rPr>
          <w:i/>
        </w:rPr>
        <w:t xml:space="preserve"> spp.</w:t>
      </w:r>
      <w:r w:rsidR="00D0170F">
        <w:t xml:space="preserve"> FEC</w:t>
      </w:r>
      <w:r w:rsidR="00A22744">
        <w:t xml:space="preserve"> than adults</w:t>
      </w:r>
      <w:r w:rsidR="00D0170F">
        <w:t xml:space="preserve">, </w:t>
      </w:r>
      <w:r w:rsidR="00A22744">
        <w:t xml:space="preserve">whereas </w:t>
      </w:r>
      <w:r w:rsidR="00D0170F">
        <w:t>adult pigs (&gt;8 months)</w:t>
      </w:r>
      <w:r w:rsidR="005B1E1E">
        <w:t xml:space="preserve"> had </w:t>
      </w:r>
      <w:r w:rsidR="00A22744">
        <w:t xml:space="preserve">a higher </w:t>
      </w:r>
      <w:proofErr w:type="spellStart"/>
      <w:r w:rsidR="005B1E1E">
        <w:t>Strongyle</w:t>
      </w:r>
      <w:proofErr w:type="spellEnd"/>
      <w:r w:rsidR="005B1E1E">
        <w:t xml:space="preserve"> FEC</w:t>
      </w:r>
      <w:r w:rsidR="00072B3B">
        <w:t xml:space="preserve"> (P&lt;0.01)</w:t>
      </w:r>
      <w:r w:rsidR="00011DCB">
        <w:t xml:space="preserve"> </w:t>
      </w:r>
      <w:r w:rsidR="00072B3B">
        <w:t>(</w:t>
      </w:r>
      <w:r w:rsidR="00171687">
        <w:t>data not shown)</w:t>
      </w:r>
      <w:r w:rsidR="005B1E1E">
        <w:t xml:space="preserve">. </w:t>
      </w:r>
      <w:r w:rsidR="00BD688C">
        <w:t xml:space="preserve">The </w:t>
      </w:r>
      <w:proofErr w:type="spellStart"/>
      <w:r w:rsidR="00BD688C">
        <w:t>Strongyle</w:t>
      </w:r>
      <w:proofErr w:type="spellEnd"/>
      <w:r w:rsidR="00BD688C">
        <w:t xml:space="preserve"> load and body condition of pigs was</w:t>
      </w:r>
      <w:r w:rsidR="005B1E1E">
        <w:t xml:space="preserve"> negative</w:t>
      </w:r>
      <w:r w:rsidR="00BD688C">
        <w:t>ly</w:t>
      </w:r>
      <w:r w:rsidR="005B1E1E">
        <w:t xml:space="preserve"> correlat</w:t>
      </w:r>
      <w:r w:rsidR="00BD688C">
        <w:t>ed</w:t>
      </w:r>
      <w:r w:rsidR="005B1E1E">
        <w:t xml:space="preserve"> (</w:t>
      </w:r>
      <w:r w:rsidR="00083A2C" w:rsidRPr="00072B3B">
        <w:rPr>
          <w:i/>
        </w:rPr>
        <w:t>r</w:t>
      </w:r>
      <w:r w:rsidR="002C5B4C">
        <w:t xml:space="preserve"> = -0.2401, P</w:t>
      </w:r>
      <w:r w:rsidR="005B1E1E">
        <w:t xml:space="preserve"> = 0.001).</w:t>
      </w:r>
    </w:p>
    <w:p w14:paraId="0325D5C0" w14:textId="77777777" w:rsidR="00542FDF" w:rsidRPr="00C9758A" w:rsidRDefault="00542FDF" w:rsidP="008D4743">
      <w:pPr>
        <w:spacing w:line="276" w:lineRule="auto"/>
        <w:jc w:val="both"/>
        <w:rPr>
          <w:b/>
        </w:rPr>
      </w:pPr>
      <w:r w:rsidRPr="00C9758A">
        <w:rPr>
          <w:b/>
        </w:rPr>
        <w:t>Conclusions</w:t>
      </w:r>
    </w:p>
    <w:p w14:paraId="5D85C791" w14:textId="6C42A471" w:rsidR="003C3F9C" w:rsidRDefault="00091B21" w:rsidP="008D4743">
      <w:pPr>
        <w:spacing w:line="276" w:lineRule="auto"/>
        <w:jc w:val="both"/>
      </w:pPr>
      <w:r>
        <w:t xml:space="preserve">Prevalence of </w:t>
      </w:r>
      <w:proofErr w:type="spellStart"/>
      <w:r w:rsidRPr="00091B21">
        <w:rPr>
          <w:i/>
        </w:rPr>
        <w:t>Eimeria</w:t>
      </w:r>
      <w:proofErr w:type="spellEnd"/>
      <w:r w:rsidRPr="00091B21">
        <w:rPr>
          <w:i/>
        </w:rPr>
        <w:t xml:space="preserve"> spp.</w:t>
      </w:r>
      <w:r>
        <w:t xml:space="preserve"> and </w:t>
      </w:r>
      <w:proofErr w:type="spellStart"/>
      <w:r>
        <w:t>Strongyle</w:t>
      </w:r>
      <w:proofErr w:type="spellEnd"/>
      <w:r>
        <w:t xml:space="preserve"> was high</w:t>
      </w:r>
      <w:r w:rsidR="00A22744">
        <w:t>,</w:t>
      </w:r>
      <w:r>
        <w:t xml:space="preserve"> and the seasonal effe</w:t>
      </w:r>
      <w:r w:rsidR="00147575">
        <w:t>ct on the prevalence was minimal</w:t>
      </w:r>
      <w:r>
        <w:t xml:space="preserve">. </w:t>
      </w:r>
      <w:r w:rsidR="00072B3B">
        <w:t>However, the FEC for bo</w:t>
      </w:r>
      <w:r w:rsidR="00B612F4">
        <w:t>th seasons implied that there was</w:t>
      </w:r>
      <w:r w:rsidR="00072B3B">
        <w:t xml:space="preserve"> a seasonal effect for </w:t>
      </w:r>
      <w:proofErr w:type="spellStart"/>
      <w:r w:rsidR="00072B3B" w:rsidRPr="00A52427">
        <w:rPr>
          <w:i/>
        </w:rPr>
        <w:t>Eimeria</w:t>
      </w:r>
      <w:proofErr w:type="spellEnd"/>
      <w:r w:rsidR="00072B3B" w:rsidRPr="00A52427">
        <w:rPr>
          <w:i/>
        </w:rPr>
        <w:t xml:space="preserve"> spp.</w:t>
      </w:r>
      <w:r w:rsidR="00072B3B">
        <w:t xml:space="preserve"> and </w:t>
      </w:r>
      <w:proofErr w:type="spellStart"/>
      <w:r w:rsidR="00072B3B">
        <w:t>Strongyles</w:t>
      </w:r>
      <w:proofErr w:type="spellEnd"/>
      <w:r w:rsidR="00072B3B">
        <w:t>. P</w:t>
      </w:r>
      <w:r w:rsidR="00C9758A" w:rsidRPr="003266F5">
        <w:t>addock rotation and anthelmintic usage appeared effective in reduci</w:t>
      </w:r>
      <w:r>
        <w:t xml:space="preserve">ng </w:t>
      </w:r>
      <w:r w:rsidR="00BD688C">
        <w:t>parasite load (</w:t>
      </w:r>
      <w:r>
        <w:t>FEC</w:t>
      </w:r>
      <w:r w:rsidR="00BD688C">
        <w:t>)</w:t>
      </w:r>
      <w:r>
        <w:t>. M</w:t>
      </w:r>
      <w:r w:rsidR="00C9758A" w:rsidRPr="003266F5">
        <w:t xml:space="preserve">ale pigs </w:t>
      </w:r>
      <w:r w:rsidR="00A22744">
        <w:t xml:space="preserve">had </w:t>
      </w:r>
      <w:r w:rsidR="00C9758A" w:rsidRPr="003266F5">
        <w:t>higher FEC levels of hel</w:t>
      </w:r>
      <w:r w:rsidR="00F72092">
        <w:t>minth</w:t>
      </w:r>
      <w:r w:rsidR="00A22744">
        <w:t xml:space="preserve"> eggs</w:t>
      </w:r>
      <w:r w:rsidR="00F72092">
        <w:t xml:space="preserve">, including </w:t>
      </w:r>
      <w:proofErr w:type="spellStart"/>
      <w:r w:rsidR="00F72092">
        <w:t>Strongyle</w:t>
      </w:r>
      <w:proofErr w:type="spellEnd"/>
      <w:r w:rsidR="00C9758A" w:rsidRPr="003266F5">
        <w:t xml:space="preserve"> and </w:t>
      </w:r>
      <w:proofErr w:type="spellStart"/>
      <w:r w:rsidR="00147575">
        <w:rPr>
          <w:i/>
        </w:rPr>
        <w:t>Ascaris</w:t>
      </w:r>
      <w:proofErr w:type="spellEnd"/>
      <w:r w:rsidR="00147575">
        <w:rPr>
          <w:i/>
        </w:rPr>
        <w:t xml:space="preserve"> </w:t>
      </w:r>
      <w:proofErr w:type="spellStart"/>
      <w:r w:rsidR="00147575">
        <w:rPr>
          <w:i/>
        </w:rPr>
        <w:t>suum</w:t>
      </w:r>
      <w:proofErr w:type="spellEnd"/>
      <w:r>
        <w:t xml:space="preserve"> and </w:t>
      </w:r>
      <w:r w:rsidR="00A22744">
        <w:t xml:space="preserve">this could be </w:t>
      </w:r>
      <w:r>
        <w:t xml:space="preserve">due to the male pigs </w:t>
      </w:r>
      <w:proofErr w:type="gramStart"/>
      <w:r w:rsidR="00A22744">
        <w:t xml:space="preserve">being </w:t>
      </w:r>
      <w:r>
        <w:t>rotated</w:t>
      </w:r>
      <w:proofErr w:type="gramEnd"/>
      <w:r>
        <w:t xml:space="preserve"> less frequently.</w:t>
      </w:r>
      <w:r w:rsidR="00D0170F">
        <w:t xml:space="preserve"> BCS negatively correlated with</w:t>
      </w:r>
      <w:r>
        <w:t xml:space="preserve"> </w:t>
      </w:r>
      <w:r w:rsidR="00A22744">
        <w:t xml:space="preserve">the </w:t>
      </w:r>
      <w:proofErr w:type="spellStart"/>
      <w:r>
        <w:t>Strongyle</w:t>
      </w:r>
      <w:proofErr w:type="spellEnd"/>
      <w:r>
        <w:t xml:space="preserve"> FEC, suggesting </w:t>
      </w:r>
      <w:r w:rsidR="00D0170F">
        <w:t>th</w:t>
      </w:r>
      <w:r w:rsidR="009E3DDB">
        <w:t xml:space="preserve">at the welfare of the animal </w:t>
      </w:r>
      <w:proofErr w:type="gramStart"/>
      <w:r w:rsidR="009E3DDB">
        <w:t xml:space="preserve">is </w:t>
      </w:r>
      <w:r w:rsidR="00D0170F">
        <w:t>compromised</w:t>
      </w:r>
      <w:proofErr w:type="gramEnd"/>
      <w:r w:rsidR="00D0170F">
        <w:t xml:space="preserve"> </w:t>
      </w:r>
      <w:r w:rsidR="00A22744">
        <w:t xml:space="preserve">when there are </w:t>
      </w:r>
      <w:r w:rsidR="00D0170F">
        <w:t>high helminth counts.</w:t>
      </w:r>
      <w:r w:rsidR="00C9758A" w:rsidRPr="003266F5">
        <w:t xml:space="preserve"> Considering the potential zoono</w:t>
      </w:r>
      <w:r w:rsidR="006438CB">
        <w:t xml:space="preserve">tic threat </w:t>
      </w:r>
      <w:r w:rsidR="00C9758A" w:rsidRPr="003266F5">
        <w:t xml:space="preserve">associated with </w:t>
      </w:r>
      <w:proofErr w:type="spellStart"/>
      <w:r w:rsidR="00C9758A" w:rsidRPr="00C9758A">
        <w:rPr>
          <w:i/>
        </w:rPr>
        <w:t>Ascaris</w:t>
      </w:r>
      <w:proofErr w:type="spellEnd"/>
      <w:r w:rsidR="00C9758A" w:rsidRPr="00C9758A">
        <w:rPr>
          <w:i/>
        </w:rPr>
        <w:t xml:space="preserve"> spp.</w:t>
      </w:r>
      <w:r w:rsidR="00C9758A" w:rsidRPr="003266F5">
        <w:t xml:space="preserve"> and </w:t>
      </w:r>
      <w:proofErr w:type="spellStart"/>
      <w:r w:rsidR="00C9758A" w:rsidRPr="00C9758A">
        <w:rPr>
          <w:i/>
        </w:rPr>
        <w:t>Trichuris</w:t>
      </w:r>
      <w:proofErr w:type="spellEnd"/>
      <w:r w:rsidR="00C9758A" w:rsidRPr="00C9758A">
        <w:rPr>
          <w:i/>
        </w:rPr>
        <w:t xml:space="preserve"> spp.</w:t>
      </w:r>
      <w:r w:rsidR="00C9758A" w:rsidRPr="003266F5">
        <w:t xml:space="preserve">, further studies </w:t>
      </w:r>
      <w:proofErr w:type="gramStart"/>
      <w:r w:rsidR="00D36DA4">
        <w:t>are needed</w:t>
      </w:r>
      <w:proofErr w:type="gramEnd"/>
      <w:r w:rsidR="00D36DA4" w:rsidRPr="003266F5">
        <w:t xml:space="preserve"> </w:t>
      </w:r>
      <w:r w:rsidR="00D36DA4">
        <w:t>to</w:t>
      </w:r>
      <w:r w:rsidR="00C9758A" w:rsidRPr="003266F5">
        <w:t xml:space="preserve"> efficiently identify and treat</w:t>
      </w:r>
      <w:r w:rsidR="00C9758A">
        <w:t xml:space="preserve"> outdoor pigs.</w:t>
      </w:r>
    </w:p>
    <w:p w14:paraId="12E27733" w14:textId="7EC7AA34" w:rsidR="00CE5F15" w:rsidRDefault="00CE5F15" w:rsidP="008D4743">
      <w:pPr>
        <w:spacing w:line="276" w:lineRule="auto"/>
        <w:jc w:val="both"/>
        <w:rPr>
          <w:b/>
        </w:rPr>
      </w:pPr>
      <w:r w:rsidRPr="00CE5F15">
        <w:rPr>
          <w:b/>
        </w:rPr>
        <w:t>Acknowledgements</w:t>
      </w:r>
    </w:p>
    <w:p w14:paraId="28CDEB46" w14:textId="2476FD82" w:rsidR="00CE5F15" w:rsidRDefault="00CE5F15" w:rsidP="008D4743">
      <w:pPr>
        <w:spacing w:line="276" w:lineRule="auto"/>
        <w:jc w:val="both"/>
      </w:pPr>
      <w:r w:rsidRPr="00CE5F15">
        <w:t>The authors would like to acknowledge the Department of Agriculture, Food and the Marine of Republic of Ireland for funding this study</w:t>
      </w:r>
      <w:r w:rsidR="00BD688C">
        <w:t xml:space="preserve"> as part of </w:t>
      </w:r>
      <w:r w:rsidR="00413D7B">
        <w:t xml:space="preserve">the </w:t>
      </w:r>
      <w:proofErr w:type="spellStart"/>
      <w:r w:rsidR="00413D7B">
        <w:t>OneWelPig</w:t>
      </w:r>
      <w:proofErr w:type="spellEnd"/>
      <w:r w:rsidR="00413D7B">
        <w:t xml:space="preserve"> Project</w:t>
      </w:r>
      <w:r w:rsidR="00EA59DC">
        <w:t>.</w:t>
      </w:r>
      <w:bookmarkStart w:id="0" w:name="_GoBack"/>
      <w:bookmarkEnd w:id="0"/>
    </w:p>
    <w:p w14:paraId="18252B46" w14:textId="1B600C9F" w:rsidR="003618F9" w:rsidRDefault="00657DF4" w:rsidP="00C56E51">
      <w:pPr>
        <w:jc w:val="both"/>
      </w:pPr>
      <w:r>
        <w:t xml:space="preserve">Table </w:t>
      </w:r>
      <w:proofErr w:type="gramStart"/>
      <w:r>
        <w:t>1</w:t>
      </w:r>
      <w:proofErr w:type="gramEnd"/>
      <w:r>
        <w:t xml:space="preserve"> – </w:t>
      </w:r>
      <w:r w:rsidR="003618F9">
        <w:t>Effect of season and host gender on parasite load (median FEC eggs/g) of pigs (n=61) across 20 outdoor farms, Ireland.</w:t>
      </w:r>
    </w:p>
    <w:tbl>
      <w:tblPr>
        <w:tblStyle w:val="TableGrid"/>
        <w:tblpPr w:leftFromText="180" w:rightFromText="180" w:vertAnchor="text" w:horzAnchor="margin" w:tblpY="-5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990"/>
        <w:gridCol w:w="1132"/>
        <w:gridCol w:w="991"/>
        <w:gridCol w:w="847"/>
        <w:gridCol w:w="868"/>
        <w:gridCol w:w="846"/>
        <w:gridCol w:w="946"/>
      </w:tblGrid>
      <w:tr w:rsidR="008D1C56" w14:paraId="696DE05E" w14:textId="77777777" w:rsidTr="008D1C56">
        <w:tc>
          <w:tcPr>
            <w:tcW w:w="2406" w:type="dxa"/>
            <w:vMerge w:val="restart"/>
            <w:tcBorders>
              <w:left w:val="nil"/>
            </w:tcBorders>
            <w:vAlign w:val="center"/>
          </w:tcPr>
          <w:p w14:paraId="46D2CEA4" w14:textId="77777777" w:rsidR="008D1C56" w:rsidRDefault="008D1C56" w:rsidP="008D1C56">
            <w:pPr>
              <w:jc w:val="center"/>
            </w:pPr>
            <w:r>
              <w:t>Species</w:t>
            </w:r>
          </w:p>
        </w:tc>
        <w:tc>
          <w:tcPr>
            <w:tcW w:w="2122" w:type="dxa"/>
            <w:gridSpan w:val="2"/>
            <w:vAlign w:val="center"/>
          </w:tcPr>
          <w:p w14:paraId="204E449E" w14:textId="77777777" w:rsidR="008D1C56" w:rsidRDefault="008D1C56" w:rsidP="008D1C56">
            <w:pPr>
              <w:jc w:val="center"/>
            </w:pPr>
            <w:r>
              <w:t>Season</w:t>
            </w:r>
          </w:p>
        </w:tc>
        <w:tc>
          <w:tcPr>
            <w:tcW w:w="991" w:type="dxa"/>
            <w:vMerge w:val="restart"/>
            <w:tcBorders>
              <w:right w:val="nil"/>
            </w:tcBorders>
            <w:vAlign w:val="center"/>
          </w:tcPr>
          <w:p w14:paraId="75AB2F79" w14:textId="77777777" w:rsidR="008D1C56" w:rsidRDefault="008D1C56" w:rsidP="008D1C56">
            <w:pPr>
              <w:jc w:val="center"/>
            </w:pPr>
            <w:r>
              <w:t>P - value</w:t>
            </w:r>
          </w:p>
        </w:tc>
        <w:tc>
          <w:tcPr>
            <w:tcW w:w="847" w:type="dxa"/>
            <w:tcBorders>
              <w:right w:val="nil"/>
            </w:tcBorders>
          </w:tcPr>
          <w:p w14:paraId="43491923" w14:textId="77777777" w:rsidR="008D1C56" w:rsidRDefault="008D1C56" w:rsidP="008D1C56">
            <w:pPr>
              <w:jc w:val="center"/>
            </w:pPr>
          </w:p>
        </w:tc>
        <w:tc>
          <w:tcPr>
            <w:tcW w:w="868" w:type="dxa"/>
            <w:tcBorders>
              <w:right w:val="nil"/>
            </w:tcBorders>
          </w:tcPr>
          <w:p w14:paraId="66562802" w14:textId="77777777" w:rsidR="008D1C56" w:rsidRDefault="008D1C56" w:rsidP="008D1C56">
            <w:pPr>
              <w:jc w:val="center"/>
            </w:pPr>
            <w:r>
              <w:t>Sex</w:t>
            </w:r>
          </w:p>
        </w:tc>
        <w:tc>
          <w:tcPr>
            <w:tcW w:w="846" w:type="dxa"/>
            <w:tcBorders>
              <w:right w:val="nil"/>
            </w:tcBorders>
          </w:tcPr>
          <w:p w14:paraId="1249BBD5" w14:textId="77777777" w:rsidR="008D1C56" w:rsidRDefault="008D1C56" w:rsidP="008D1C56">
            <w:pPr>
              <w:jc w:val="center"/>
            </w:pPr>
          </w:p>
        </w:tc>
        <w:tc>
          <w:tcPr>
            <w:tcW w:w="946" w:type="dxa"/>
            <w:vMerge w:val="restart"/>
            <w:tcBorders>
              <w:right w:val="nil"/>
            </w:tcBorders>
          </w:tcPr>
          <w:p w14:paraId="31B78B75" w14:textId="77777777" w:rsidR="008D1C56" w:rsidRDefault="008D1C56" w:rsidP="008D1C56">
            <w:pPr>
              <w:jc w:val="center"/>
            </w:pPr>
            <w:r>
              <w:t>P - value</w:t>
            </w:r>
          </w:p>
        </w:tc>
      </w:tr>
      <w:tr w:rsidR="008D1C56" w14:paraId="08C42886" w14:textId="77777777" w:rsidTr="008D1C56">
        <w:tc>
          <w:tcPr>
            <w:tcW w:w="2406" w:type="dxa"/>
            <w:vMerge/>
            <w:tcBorders>
              <w:left w:val="nil"/>
              <w:bottom w:val="single" w:sz="4" w:space="0" w:color="auto"/>
            </w:tcBorders>
          </w:tcPr>
          <w:p w14:paraId="37456053" w14:textId="77777777" w:rsidR="008D1C56" w:rsidRDefault="008D1C56" w:rsidP="008D1C56">
            <w:pPr>
              <w:jc w:val="both"/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B8D1263" w14:textId="77777777" w:rsidR="008D1C56" w:rsidRDefault="008D1C56" w:rsidP="008D1C56">
            <w:r>
              <w:t>Winter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6E074FAE" w14:textId="77777777" w:rsidR="008D1C56" w:rsidRDefault="008D1C56" w:rsidP="008D1C56">
            <w:r>
              <w:t>Summer</w:t>
            </w:r>
          </w:p>
        </w:tc>
        <w:tc>
          <w:tcPr>
            <w:tcW w:w="991" w:type="dxa"/>
            <w:vMerge/>
            <w:tcBorders>
              <w:bottom w:val="single" w:sz="4" w:space="0" w:color="auto"/>
              <w:right w:val="nil"/>
            </w:tcBorders>
          </w:tcPr>
          <w:p w14:paraId="2988BFD2" w14:textId="77777777" w:rsidR="008D1C56" w:rsidRDefault="008D1C56" w:rsidP="008D1C56">
            <w:pPr>
              <w:jc w:val="both"/>
            </w:pPr>
          </w:p>
        </w:tc>
        <w:tc>
          <w:tcPr>
            <w:tcW w:w="847" w:type="dxa"/>
            <w:tcBorders>
              <w:bottom w:val="single" w:sz="4" w:space="0" w:color="auto"/>
              <w:right w:val="nil"/>
            </w:tcBorders>
          </w:tcPr>
          <w:p w14:paraId="7E33ADA2" w14:textId="77777777" w:rsidR="008D1C56" w:rsidRDefault="008D1C56" w:rsidP="008D1C56">
            <w:pPr>
              <w:jc w:val="both"/>
            </w:pPr>
            <w:r>
              <w:t>Male</w:t>
            </w:r>
          </w:p>
        </w:tc>
        <w:tc>
          <w:tcPr>
            <w:tcW w:w="868" w:type="dxa"/>
            <w:tcBorders>
              <w:bottom w:val="single" w:sz="4" w:space="0" w:color="auto"/>
              <w:right w:val="nil"/>
            </w:tcBorders>
          </w:tcPr>
          <w:p w14:paraId="1F991198" w14:textId="77777777" w:rsidR="008D1C56" w:rsidRDefault="008D1C56" w:rsidP="008D1C56">
            <w:pPr>
              <w:jc w:val="both"/>
            </w:pPr>
            <w:r>
              <w:t>Female</w:t>
            </w:r>
          </w:p>
        </w:tc>
        <w:tc>
          <w:tcPr>
            <w:tcW w:w="846" w:type="dxa"/>
            <w:tcBorders>
              <w:bottom w:val="single" w:sz="4" w:space="0" w:color="auto"/>
              <w:right w:val="nil"/>
            </w:tcBorders>
          </w:tcPr>
          <w:p w14:paraId="4E44C3DE" w14:textId="77777777" w:rsidR="008D1C56" w:rsidRDefault="008D1C56" w:rsidP="008D1C56">
            <w:pPr>
              <w:jc w:val="both"/>
            </w:pPr>
            <w:r>
              <w:t>Mix</w:t>
            </w:r>
          </w:p>
        </w:tc>
        <w:tc>
          <w:tcPr>
            <w:tcW w:w="946" w:type="dxa"/>
            <w:vMerge/>
            <w:tcBorders>
              <w:bottom w:val="single" w:sz="4" w:space="0" w:color="auto"/>
              <w:right w:val="nil"/>
            </w:tcBorders>
          </w:tcPr>
          <w:p w14:paraId="3F1AF8B6" w14:textId="77777777" w:rsidR="008D1C56" w:rsidRDefault="008D1C56" w:rsidP="008D1C56">
            <w:pPr>
              <w:jc w:val="both"/>
            </w:pPr>
          </w:p>
        </w:tc>
      </w:tr>
      <w:tr w:rsidR="008D1C56" w14:paraId="088F9573" w14:textId="77777777" w:rsidTr="008D1C56">
        <w:tc>
          <w:tcPr>
            <w:tcW w:w="2406" w:type="dxa"/>
            <w:tcBorders>
              <w:left w:val="nil"/>
              <w:bottom w:val="nil"/>
            </w:tcBorders>
          </w:tcPr>
          <w:p w14:paraId="68535E51" w14:textId="77777777" w:rsidR="008D1C56" w:rsidRPr="00CA6647" w:rsidRDefault="008D1C56" w:rsidP="008D1C56">
            <w:pPr>
              <w:jc w:val="both"/>
              <w:rPr>
                <w:i/>
              </w:rPr>
            </w:pPr>
            <w:proofErr w:type="spellStart"/>
            <w:r w:rsidRPr="00CA6647">
              <w:rPr>
                <w:i/>
              </w:rPr>
              <w:t>Eimeria</w:t>
            </w:r>
            <w:proofErr w:type="spellEnd"/>
            <w:r w:rsidRPr="00CA6647">
              <w:rPr>
                <w:i/>
              </w:rPr>
              <w:t xml:space="preserve"> spp.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615627C2" w14:textId="77777777" w:rsidR="008D1C56" w:rsidRDefault="008D1C56" w:rsidP="008D1C56">
            <w:r>
              <w:t>475</w:t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4140319E" w14:textId="77777777" w:rsidR="008D1C56" w:rsidRDefault="008D1C56" w:rsidP="008D1C56">
            <w:r>
              <w:t>3350</w:t>
            </w:r>
          </w:p>
        </w:tc>
        <w:tc>
          <w:tcPr>
            <w:tcW w:w="991" w:type="dxa"/>
            <w:tcBorders>
              <w:bottom w:val="nil"/>
              <w:right w:val="nil"/>
            </w:tcBorders>
          </w:tcPr>
          <w:p w14:paraId="56BC42B4" w14:textId="77777777" w:rsidR="008D1C56" w:rsidRDefault="008D1C56" w:rsidP="008D1C56">
            <w:pPr>
              <w:jc w:val="center"/>
            </w:pPr>
            <w:r>
              <w:t>&lt;0.001</w:t>
            </w:r>
          </w:p>
        </w:tc>
        <w:tc>
          <w:tcPr>
            <w:tcW w:w="847" w:type="dxa"/>
            <w:tcBorders>
              <w:bottom w:val="nil"/>
              <w:right w:val="nil"/>
            </w:tcBorders>
          </w:tcPr>
          <w:p w14:paraId="0F57D819" w14:textId="77777777" w:rsidR="008D1C56" w:rsidRDefault="008D1C56" w:rsidP="008D1C56">
            <w:r>
              <w:t>600</w:t>
            </w:r>
          </w:p>
        </w:tc>
        <w:tc>
          <w:tcPr>
            <w:tcW w:w="868" w:type="dxa"/>
            <w:tcBorders>
              <w:bottom w:val="nil"/>
              <w:right w:val="nil"/>
            </w:tcBorders>
          </w:tcPr>
          <w:p w14:paraId="3809EF5B" w14:textId="77777777" w:rsidR="008D1C56" w:rsidRDefault="008D1C56" w:rsidP="008D1C56">
            <w:r>
              <w:t>1150</w:t>
            </w:r>
          </w:p>
        </w:tc>
        <w:tc>
          <w:tcPr>
            <w:tcW w:w="846" w:type="dxa"/>
            <w:tcBorders>
              <w:bottom w:val="nil"/>
              <w:right w:val="nil"/>
            </w:tcBorders>
          </w:tcPr>
          <w:p w14:paraId="70303957" w14:textId="77777777" w:rsidR="008D1C56" w:rsidRDefault="008D1C56" w:rsidP="008D1C56">
            <w:r>
              <w:t>3250</w:t>
            </w:r>
          </w:p>
        </w:tc>
        <w:tc>
          <w:tcPr>
            <w:tcW w:w="946" w:type="dxa"/>
            <w:tcBorders>
              <w:bottom w:val="nil"/>
              <w:right w:val="nil"/>
            </w:tcBorders>
          </w:tcPr>
          <w:p w14:paraId="0514C328" w14:textId="77777777" w:rsidR="008D1C56" w:rsidRDefault="008D1C56" w:rsidP="008D1C56">
            <w:pPr>
              <w:jc w:val="center"/>
            </w:pPr>
            <w:r>
              <w:t>0.001</w:t>
            </w:r>
          </w:p>
        </w:tc>
      </w:tr>
      <w:tr w:rsidR="008D1C56" w14:paraId="6CAA0191" w14:textId="77777777" w:rsidTr="008D1C56">
        <w:tc>
          <w:tcPr>
            <w:tcW w:w="2406" w:type="dxa"/>
            <w:tcBorders>
              <w:top w:val="nil"/>
              <w:left w:val="nil"/>
              <w:bottom w:val="nil"/>
            </w:tcBorders>
          </w:tcPr>
          <w:p w14:paraId="07650DEF" w14:textId="77777777" w:rsidR="008D1C56" w:rsidRDefault="008D1C56" w:rsidP="008D1C56">
            <w:pPr>
              <w:jc w:val="both"/>
            </w:pPr>
            <w:proofErr w:type="spellStart"/>
            <w:r>
              <w:t>Strongyle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4AD4434B" w14:textId="77777777" w:rsidR="008D1C56" w:rsidRDefault="008D1C56" w:rsidP="008D1C56">
            <w:r>
              <w:t>475</w:t>
            </w:r>
          </w:p>
        </w:tc>
        <w:tc>
          <w:tcPr>
            <w:tcW w:w="1132" w:type="dxa"/>
            <w:tcBorders>
              <w:top w:val="nil"/>
              <w:bottom w:val="nil"/>
            </w:tcBorders>
            <w:vAlign w:val="center"/>
          </w:tcPr>
          <w:p w14:paraId="4C267A4C" w14:textId="77777777" w:rsidR="008D1C56" w:rsidRDefault="008D1C56" w:rsidP="008D1C56">
            <w:r>
              <w:t>150</w:t>
            </w:r>
          </w:p>
        </w:tc>
        <w:tc>
          <w:tcPr>
            <w:tcW w:w="991" w:type="dxa"/>
            <w:tcBorders>
              <w:top w:val="nil"/>
              <w:bottom w:val="nil"/>
              <w:right w:val="nil"/>
            </w:tcBorders>
          </w:tcPr>
          <w:p w14:paraId="7B2E9E95" w14:textId="77777777" w:rsidR="008D1C56" w:rsidRDefault="008D1C56" w:rsidP="008D1C56">
            <w:pPr>
              <w:jc w:val="center"/>
            </w:pPr>
            <w:r>
              <w:t>0.0237</w:t>
            </w:r>
          </w:p>
        </w:tc>
        <w:tc>
          <w:tcPr>
            <w:tcW w:w="847" w:type="dxa"/>
            <w:tcBorders>
              <w:top w:val="nil"/>
              <w:bottom w:val="nil"/>
              <w:right w:val="nil"/>
            </w:tcBorders>
          </w:tcPr>
          <w:p w14:paraId="4686A653" w14:textId="77777777" w:rsidR="008D1C56" w:rsidRDefault="008D1C56" w:rsidP="008D1C56">
            <w:r>
              <w:t>800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</w:tcPr>
          <w:p w14:paraId="36A7A315" w14:textId="77777777" w:rsidR="008D1C56" w:rsidRDefault="008D1C56" w:rsidP="008D1C56">
            <w:r>
              <w:t>150</w:t>
            </w:r>
          </w:p>
        </w:tc>
        <w:tc>
          <w:tcPr>
            <w:tcW w:w="846" w:type="dxa"/>
            <w:tcBorders>
              <w:top w:val="nil"/>
              <w:bottom w:val="nil"/>
              <w:right w:val="nil"/>
            </w:tcBorders>
          </w:tcPr>
          <w:p w14:paraId="582829CE" w14:textId="77777777" w:rsidR="008D1C56" w:rsidRDefault="008D1C56" w:rsidP="008D1C56">
            <w:r>
              <w:t>300</w:t>
            </w:r>
          </w:p>
        </w:tc>
        <w:tc>
          <w:tcPr>
            <w:tcW w:w="946" w:type="dxa"/>
            <w:tcBorders>
              <w:top w:val="nil"/>
              <w:bottom w:val="nil"/>
              <w:right w:val="nil"/>
            </w:tcBorders>
          </w:tcPr>
          <w:p w14:paraId="17D8A120" w14:textId="77777777" w:rsidR="008D1C56" w:rsidRDefault="008D1C56" w:rsidP="008D1C56">
            <w:pPr>
              <w:jc w:val="center"/>
            </w:pPr>
            <w:r>
              <w:t>0.02</w:t>
            </w:r>
          </w:p>
        </w:tc>
      </w:tr>
      <w:tr w:rsidR="008D1C56" w14:paraId="6228D8FF" w14:textId="77777777" w:rsidTr="00E17707">
        <w:tc>
          <w:tcPr>
            <w:tcW w:w="2406" w:type="dxa"/>
            <w:tcBorders>
              <w:top w:val="nil"/>
              <w:left w:val="nil"/>
              <w:bottom w:val="nil"/>
            </w:tcBorders>
          </w:tcPr>
          <w:p w14:paraId="510B19AD" w14:textId="77777777" w:rsidR="008D1C56" w:rsidRPr="00CA6647" w:rsidRDefault="008D1C56" w:rsidP="008D1C56">
            <w:pPr>
              <w:jc w:val="both"/>
              <w:rPr>
                <w:i/>
              </w:rPr>
            </w:pPr>
            <w:proofErr w:type="spellStart"/>
            <w:r w:rsidRPr="00CA6647">
              <w:rPr>
                <w:i/>
              </w:rPr>
              <w:t>Ascaris</w:t>
            </w:r>
            <w:proofErr w:type="spellEnd"/>
            <w:r w:rsidRPr="00CA6647">
              <w:rPr>
                <w:i/>
              </w:rPr>
              <w:t xml:space="preserve"> </w:t>
            </w:r>
            <w:proofErr w:type="spellStart"/>
            <w:r w:rsidRPr="00CA6647">
              <w:rPr>
                <w:i/>
              </w:rPr>
              <w:t>suum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31E4E162" w14:textId="77777777" w:rsidR="008D1C56" w:rsidRDefault="008D1C56" w:rsidP="008D1C56">
            <w:r>
              <w:t>0</w:t>
            </w:r>
          </w:p>
        </w:tc>
        <w:tc>
          <w:tcPr>
            <w:tcW w:w="1132" w:type="dxa"/>
            <w:tcBorders>
              <w:top w:val="nil"/>
              <w:bottom w:val="nil"/>
            </w:tcBorders>
            <w:vAlign w:val="center"/>
          </w:tcPr>
          <w:p w14:paraId="34A736C8" w14:textId="77777777" w:rsidR="008D1C56" w:rsidRDefault="008D1C56" w:rsidP="008D1C56">
            <w:r>
              <w:t>0</w:t>
            </w:r>
          </w:p>
        </w:tc>
        <w:tc>
          <w:tcPr>
            <w:tcW w:w="991" w:type="dxa"/>
            <w:tcBorders>
              <w:top w:val="nil"/>
              <w:bottom w:val="nil"/>
              <w:right w:val="nil"/>
            </w:tcBorders>
          </w:tcPr>
          <w:p w14:paraId="0DED69C1" w14:textId="77777777" w:rsidR="008D1C56" w:rsidRDefault="008D1C56" w:rsidP="008D1C56">
            <w:pPr>
              <w:jc w:val="center"/>
            </w:pPr>
            <w:r>
              <w:t>0.9321</w:t>
            </w:r>
          </w:p>
        </w:tc>
        <w:tc>
          <w:tcPr>
            <w:tcW w:w="847" w:type="dxa"/>
            <w:tcBorders>
              <w:top w:val="nil"/>
              <w:bottom w:val="nil"/>
              <w:right w:val="nil"/>
            </w:tcBorders>
          </w:tcPr>
          <w:p w14:paraId="67FED572" w14:textId="77777777" w:rsidR="008D1C56" w:rsidRDefault="008D1C56" w:rsidP="008D1C56">
            <w:r>
              <w:t>50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</w:tcPr>
          <w:p w14:paraId="364F696E" w14:textId="77777777" w:rsidR="008D1C56" w:rsidRDefault="008D1C56" w:rsidP="008D1C56">
            <w:r>
              <w:t>0</w:t>
            </w:r>
          </w:p>
        </w:tc>
        <w:tc>
          <w:tcPr>
            <w:tcW w:w="846" w:type="dxa"/>
            <w:tcBorders>
              <w:top w:val="nil"/>
              <w:bottom w:val="nil"/>
              <w:right w:val="nil"/>
            </w:tcBorders>
          </w:tcPr>
          <w:p w14:paraId="1F8C73D5" w14:textId="77777777" w:rsidR="008D1C56" w:rsidRDefault="008D1C56" w:rsidP="008D1C56">
            <w:r>
              <w:t>0</w:t>
            </w:r>
          </w:p>
        </w:tc>
        <w:tc>
          <w:tcPr>
            <w:tcW w:w="946" w:type="dxa"/>
            <w:tcBorders>
              <w:top w:val="nil"/>
              <w:bottom w:val="nil"/>
              <w:right w:val="nil"/>
            </w:tcBorders>
          </w:tcPr>
          <w:p w14:paraId="6A44882B" w14:textId="77777777" w:rsidR="008D1C56" w:rsidRDefault="008D1C56" w:rsidP="008D1C56">
            <w:pPr>
              <w:jc w:val="center"/>
            </w:pPr>
            <w:r>
              <w:t>&lt;0.001</w:t>
            </w:r>
          </w:p>
        </w:tc>
      </w:tr>
      <w:tr w:rsidR="008D1C56" w14:paraId="574C49E6" w14:textId="77777777" w:rsidTr="00E17707">
        <w:tc>
          <w:tcPr>
            <w:tcW w:w="2406" w:type="dxa"/>
            <w:tcBorders>
              <w:top w:val="nil"/>
              <w:left w:val="nil"/>
              <w:bottom w:val="single" w:sz="4" w:space="0" w:color="auto"/>
            </w:tcBorders>
          </w:tcPr>
          <w:p w14:paraId="5419A6BF" w14:textId="77777777" w:rsidR="008D1C56" w:rsidRPr="00CA6647" w:rsidRDefault="008D1C56" w:rsidP="008D1C56">
            <w:pPr>
              <w:jc w:val="both"/>
              <w:rPr>
                <w:i/>
              </w:rPr>
            </w:pPr>
            <w:proofErr w:type="spellStart"/>
            <w:r w:rsidRPr="00CA6647">
              <w:rPr>
                <w:i/>
              </w:rPr>
              <w:t>Trichuris</w:t>
            </w:r>
            <w:proofErr w:type="spellEnd"/>
            <w:r w:rsidRPr="00CA6647">
              <w:rPr>
                <w:i/>
              </w:rPr>
              <w:t xml:space="preserve"> </w:t>
            </w:r>
            <w:proofErr w:type="spellStart"/>
            <w:r w:rsidRPr="00CA6647">
              <w:rPr>
                <w:i/>
              </w:rPr>
              <w:t>suis</w:t>
            </w:r>
            <w:proofErr w:type="spellEnd"/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center"/>
          </w:tcPr>
          <w:p w14:paraId="771ECDBE" w14:textId="77777777" w:rsidR="008D1C56" w:rsidRDefault="008D1C56" w:rsidP="008D1C56">
            <w:r>
              <w:t>0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73C7E27D" w14:textId="77777777" w:rsidR="008D1C56" w:rsidRDefault="008D1C56" w:rsidP="008D1C56">
            <w:r>
              <w:t>0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  <w:right w:val="nil"/>
            </w:tcBorders>
          </w:tcPr>
          <w:p w14:paraId="5648C7F9" w14:textId="77777777" w:rsidR="008D1C56" w:rsidRDefault="008D1C56" w:rsidP="008D1C56">
            <w:pPr>
              <w:jc w:val="center"/>
            </w:pPr>
            <w:r>
              <w:t>0.1275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  <w:right w:val="nil"/>
            </w:tcBorders>
          </w:tcPr>
          <w:p w14:paraId="412C9152" w14:textId="77777777" w:rsidR="008D1C56" w:rsidRDefault="008D1C56" w:rsidP="008D1C56">
            <w:r>
              <w:t>0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  <w:right w:val="nil"/>
            </w:tcBorders>
          </w:tcPr>
          <w:p w14:paraId="65CFC5E9" w14:textId="77777777" w:rsidR="008D1C56" w:rsidRDefault="008D1C56" w:rsidP="008D1C56">
            <w:r>
              <w:t>0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  <w:right w:val="nil"/>
            </w:tcBorders>
          </w:tcPr>
          <w:p w14:paraId="6EE874A7" w14:textId="77777777" w:rsidR="008D1C56" w:rsidRDefault="008D1C56" w:rsidP="008D1C56">
            <w:r>
              <w:t>0</w:t>
            </w:r>
          </w:p>
        </w:tc>
        <w:tc>
          <w:tcPr>
            <w:tcW w:w="946" w:type="dxa"/>
            <w:tcBorders>
              <w:top w:val="nil"/>
              <w:bottom w:val="single" w:sz="4" w:space="0" w:color="auto"/>
              <w:right w:val="nil"/>
            </w:tcBorders>
          </w:tcPr>
          <w:p w14:paraId="66D011EB" w14:textId="77777777" w:rsidR="008D1C56" w:rsidRDefault="008D1C56" w:rsidP="008D1C56">
            <w:pPr>
              <w:jc w:val="center"/>
            </w:pPr>
            <w:r>
              <w:t>0.5882</w:t>
            </w:r>
          </w:p>
        </w:tc>
      </w:tr>
    </w:tbl>
    <w:p w14:paraId="39E71BAC" w14:textId="77777777" w:rsidR="00E17707" w:rsidRDefault="00E17707" w:rsidP="00C56E51">
      <w:pPr>
        <w:jc w:val="both"/>
      </w:pPr>
    </w:p>
    <w:p w14:paraId="4B727AE6" w14:textId="50CA6005" w:rsidR="003C3F9C" w:rsidRDefault="00D0170F" w:rsidP="00C56E51">
      <w:pPr>
        <w:jc w:val="both"/>
      </w:pPr>
      <w:r>
        <w:t xml:space="preserve">Table </w:t>
      </w:r>
      <w:proofErr w:type="gramStart"/>
      <w:r>
        <w:t>2</w:t>
      </w:r>
      <w:proofErr w:type="gramEnd"/>
      <w:r>
        <w:t xml:space="preserve"> </w:t>
      </w:r>
      <w:r w:rsidR="003618F9">
        <w:t xml:space="preserve">– </w:t>
      </w:r>
      <w:r w:rsidR="003618F9" w:rsidRPr="003618F9">
        <w:t>Effect</w:t>
      </w:r>
      <w:r w:rsidR="00E753A6">
        <w:t xml:space="preserve"> of </w:t>
      </w:r>
      <w:proofErr w:type="spellStart"/>
      <w:r w:rsidR="00E753A6">
        <w:t>anthelmint</w:t>
      </w:r>
      <w:r w:rsidR="003618F9">
        <w:t>ics</w:t>
      </w:r>
      <w:proofErr w:type="spellEnd"/>
      <w:r w:rsidR="003618F9">
        <w:t xml:space="preserve"> and paddock rotation on parasite load (median FEC eggs/g) of pigs (n=61) across 20 outdoor farms, Ireland.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2251"/>
        <w:gridCol w:w="1140"/>
        <w:gridCol w:w="1139"/>
        <w:gridCol w:w="1179"/>
        <w:gridCol w:w="1134"/>
        <w:gridCol w:w="1135"/>
        <w:gridCol w:w="1179"/>
      </w:tblGrid>
      <w:tr w:rsidR="00B07E84" w14:paraId="25DF0C23" w14:textId="77777777" w:rsidTr="00147575">
        <w:trPr>
          <w:trHeight w:val="281"/>
        </w:trPr>
        <w:tc>
          <w:tcPr>
            <w:tcW w:w="2251" w:type="dxa"/>
            <w:vMerge w:val="restart"/>
            <w:tcBorders>
              <w:left w:val="nil"/>
              <w:right w:val="nil"/>
            </w:tcBorders>
            <w:vAlign w:val="center"/>
          </w:tcPr>
          <w:p w14:paraId="1C93DF1D" w14:textId="4D69FE1A" w:rsidR="00B07E84" w:rsidRDefault="00B07E84" w:rsidP="00B07E84">
            <w:pPr>
              <w:jc w:val="center"/>
            </w:pPr>
            <w:r>
              <w:t>Species</w:t>
            </w:r>
          </w:p>
        </w:tc>
        <w:tc>
          <w:tcPr>
            <w:tcW w:w="2279" w:type="dxa"/>
            <w:gridSpan w:val="2"/>
            <w:tcBorders>
              <w:left w:val="nil"/>
              <w:right w:val="nil"/>
            </w:tcBorders>
          </w:tcPr>
          <w:p w14:paraId="76EB9EEE" w14:textId="388BB593" w:rsidR="00B07E84" w:rsidRDefault="00B07E84" w:rsidP="00B07E84">
            <w:pPr>
              <w:jc w:val="center"/>
            </w:pPr>
            <w:r>
              <w:t>Anthelmintic use</w:t>
            </w:r>
          </w:p>
        </w:tc>
        <w:tc>
          <w:tcPr>
            <w:tcW w:w="1179" w:type="dxa"/>
            <w:vMerge w:val="restart"/>
            <w:tcBorders>
              <w:left w:val="nil"/>
              <w:right w:val="nil"/>
            </w:tcBorders>
            <w:vAlign w:val="center"/>
          </w:tcPr>
          <w:p w14:paraId="483CF863" w14:textId="08C6031A" w:rsidR="00B07E84" w:rsidRDefault="00B07E84" w:rsidP="00B07E84">
            <w:pPr>
              <w:jc w:val="center"/>
            </w:pPr>
            <w:r>
              <w:t>P - value</w:t>
            </w:r>
          </w:p>
        </w:tc>
        <w:tc>
          <w:tcPr>
            <w:tcW w:w="2269" w:type="dxa"/>
            <w:gridSpan w:val="2"/>
            <w:tcBorders>
              <w:left w:val="nil"/>
              <w:right w:val="nil"/>
            </w:tcBorders>
            <w:vAlign w:val="center"/>
          </w:tcPr>
          <w:p w14:paraId="52CEFFA5" w14:textId="52EA9A33" w:rsidR="00B07E84" w:rsidRDefault="00B07E84" w:rsidP="00B07E84">
            <w:pPr>
              <w:jc w:val="center"/>
            </w:pPr>
            <w:r>
              <w:t>Paddock rotation</w:t>
            </w:r>
          </w:p>
        </w:tc>
        <w:tc>
          <w:tcPr>
            <w:tcW w:w="1179" w:type="dxa"/>
            <w:vMerge w:val="restart"/>
            <w:tcBorders>
              <w:left w:val="nil"/>
              <w:right w:val="nil"/>
            </w:tcBorders>
            <w:vAlign w:val="center"/>
          </w:tcPr>
          <w:p w14:paraId="6A32471D" w14:textId="785E3687" w:rsidR="00B07E84" w:rsidRDefault="00B07E84" w:rsidP="00B07E84">
            <w:pPr>
              <w:jc w:val="center"/>
            </w:pPr>
            <w:r>
              <w:t>P - value</w:t>
            </w:r>
          </w:p>
        </w:tc>
      </w:tr>
      <w:tr w:rsidR="00B07E84" w14:paraId="44D48954" w14:textId="77777777" w:rsidTr="00147575">
        <w:trPr>
          <w:trHeight w:val="294"/>
        </w:trPr>
        <w:tc>
          <w:tcPr>
            <w:tcW w:w="22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CA7F3B4" w14:textId="77777777" w:rsidR="00B07E84" w:rsidRDefault="00B07E84" w:rsidP="00C56E51">
            <w:pPr>
              <w:jc w:val="both"/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nil"/>
            </w:tcBorders>
          </w:tcPr>
          <w:p w14:paraId="323D320F" w14:textId="5196F4C5" w:rsidR="00B07E84" w:rsidRDefault="00B07E84" w:rsidP="00C56E51">
            <w:pPr>
              <w:jc w:val="both"/>
            </w:pPr>
            <w:r>
              <w:t>Yes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nil"/>
            </w:tcBorders>
          </w:tcPr>
          <w:p w14:paraId="70B631FA" w14:textId="516CBCA4" w:rsidR="00B07E84" w:rsidRDefault="00B07E84" w:rsidP="00C56E51">
            <w:pPr>
              <w:jc w:val="both"/>
            </w:pPr>
            <w:r>
              <w:t>No</w:t>
            </w:r>
          </w:p>
        </w:tc>
        <w:tc>
          <w:tcPr>
            <w:tcW w:w="117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8A83D6F" w14:textId="1D23FDA2" w:rsidR="00B07E84" w:rsidRDefault="00B07E84" w:rsidP="00C56E51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09497750" w14:textId="2186DAAD" w:rsidR="00B07E84" w:rsidRDefault="00B07E84" w:rsidP="00C56E51">
            <w:pPr>
              <w:jc w:val="both"/>
            </w:pPr>
            <w:r>
              <w:t>Yes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</w:tcPr>
          <w:p w14:paraId="6272DD13" w14:textId="3C13678F" w:rsidR="00B07E84" w:rsidRDefault="00B07E84" w:rsidP="00C56E51">
            <w:pPr>
              <w:jc w:val="both"/>
            </w:pPr>
            <w:r>
              <w:t>No</w:t>
            </w:r>
          </w:p>
        </w:tc>
        <w:tc>
          <w:tcPr>
            <w:tcW w:w="117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9817C3" w14:textId="134926B2" w:rsidR="00B07E84" w:rsidRDefault="00B07E84" w:rsidP="00C56E51">
            <w:pPr>
              <w:jc w:val="both"/>
            </w:pPr>
          </w:p>
        </w:tc>
      </w:tr>
      <w:tr w:rsidR="00B07E84" w14:paraId="077D8D1A" w14:textId="77777777" w:rsidTr="00147575">
        <w:trPr>
          <w:trHeight w:val="294"/>
        </w:trPr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14:paraId="4593CA41" w14:textId="1E24D607" w:rsidR="00B07E84" w:rsidRDefault="00B07E84" w:rsidP="00B07E84">
            <w:pPr>
              <w:jc w:val="both"/>
            </w:pPr>
            <w:proofErr w:type="spellStart"/>
            <w:r w:rsidRPr="00CA6647">
              <w:rPr>
                <w:i/>
              </w:rPr>
              <w:t>Eimeria</w:t>
            </w:r>
            <w:proofErr w:type="spellEnd"/>
            <w:r w:rsidRPr="00CA6647">
              <w:rPr>
                <w:i/>
              </w:rPr>
              <w:t xml:space="preserve"> spp.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 w14:paraId="51C2EE10" w14:textId="22CDA3D7" w:rsidR="00B07E84" w:rsidRDefault="00B07E84" w:rsidP="00B07E84">
            <w:pPr>
              <w:jc w:val="both"/>
            </w:pPr>
            <w:r>
              <w:t>2775</w:t>
            </w: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14:paraId="3E33BC78" w14:textId="4E49B9FC" w:rsidR="00B07E84" w:rsidRDefault="00B07E84" w:rsidP="00B07E84">
            <w:pPr>
              <w:jc w:val="both"/>
            </w:pPr>
            <w:r>
              <w:t>1025</w:t>
            </w:r>
          </w:p>
        </w:tc>
        <w:tc>
          <w:tcPr>
            <w:tcW w:w="1179" w:type="dxa"/>
            <w:tcBorders>
              <w:left w:val="nil"/>
              <w:bottom w:val="nil"/>
              <w:right w:val="nil"/>
            </w:tcBorders>
          </w:tcPr>
          <w:p w14:paraId="61D22D92" w14:textId="475FD766" w:rsidR="00B07E84" w:rsidRDefault="00B07E84" w:rsidP="00B07E84">
            <w:pPr>
              <w:jc w:val="both"/>
            </w:pPr>
            <w:r>
              <w:t>0.003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72B1C0B" w14:textId="6CAB6002" w:rsidR="00B07E84" w:rsidRDefault="00B07E84" w:rsidP="00B07E84">
            <w:pPr>
              <w:jc w:val="both"/>
            </w:pPr>
            <w:r>
              <w:t>1050</w:t>
            </w: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14:paraId="2BDFC251" w14:textId="00E43881" w:rsidR="00B07E84" w:rsidRDefault="00B07E84" w:rsidP="00B07E84">
            <w:pPr>
              <w:jc w:val="both"/>
            </w:pPr>
            <w:r>
              <w:t>4300</w:t>
            </w:r>
          </w:p>
        </w:tc>
        <w:tc>
          <w:tcPr>
            <w:tcW w:w="1179" w:type="dxa"/>
            <w:tcBorders>
              <w:left w:val="nil"/>
              <w:bottom w:val="nil"/>
              <w:right w:val="nil"/>
            </w:tcBorders>
          </w:tcPr>
          <w:p w14:paraId="422E5B9E" w14:textId="7429F17C" w:rsidR="00B07E84" w:rsidRDefault="00B07E84" w:rsidP="00B07E84">
            <w:pPr>
              <w:jc w:val="both"/>
            </w:pPr>
            <w:r>
              <w:t>0.0006</w:t>
            </w:r>
          </w:p>
        </w:tc>
      </w:tr>
      <w:tr w:rsidR="00B07E84" w14:paraId="29886523" w14:textId="77777777" w:rsidTr="00147575">
        <w:trPr>
          <w:trHeight w:val="281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651F786F" w14:textId="063389F0" w:rsidR="00B07E84" w:rsidRDefault="00B07E84" w:rsidP="00B07E84">
            <w:pPr>
              <w:jc w:val="both"/>
            </w:pPr>
            <w:proofErr w:type="spellStart"/>
            <w:r>
              <w:t>Strongyle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35C167D" w14:textId="7D70E8C9" w:rsidR="00B07E84" w:rsidRDefault="00B07E84" w:rsidP="00B07E84">
            <w:pPr>
              <w:jc w:val="both"/>
            </w:pPr>
            <w: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ED77CEB" w14:textId="537C3C1B" w:rsidR="00B07E84" w:rsidRDefault="00B07E84" w:rsidP="00B07E84">
            <w:pPr>
              <w:jc w:val="both"/>
            </w:pPr>
            <w:r>
              <w:t>500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2BE03676" w14:textId="61D91C3C" w:rsidR="00B07E84" w:rsidRDefault="00B07E84" w:rsidP="00B07E84">
            <w:pPr>
              <w:jc w:val="both"/>
            </w:pPr>
            <w:r>
              <w:t>&lt;0.001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9626B5" w14:textId="2AB7EAE8" w:rsidR="00B07E84" w:rsidRDefault="00B07E84" w:rsidP="00B07E84">
            <w:pPr>
              <w:jc w:val="both"/>
            </w:pPr>
            <w:r>
              <w:t>250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257BF6D" w14:textId="02649943" w:rsidR="00B07E84" w:rsidRDefault="00B07E84" w:rsidP="00B07E84">
            <w:pPr>
              <w:jc w:val="both"/>
            </w:pPr>
            <w:r>
              <w:t>350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3B5791FD" w14:textId="37966D0C" w:rsidR="00B07E84" w:rsidRDefault="00B07E84" w:rsidP="00B07E84">
            <w:pPr>
              <w:jc w:val="both"/>
            </w:pPr>
            <w:r>
              <w:t>0.5275</w:t>
            </w:r>
          </w:p>
        </w:tc>
      </w:tr>
      <w:tr w:rsidR="00B07E84" w14:paraId="5EA114A7" w14:textId="77777777" w:rsidTr="00E17707">
        <w:trPr>
          <w:trHeight w:val="294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6F491052" w14:textId="023F62EE" w:rsidR="00B07E84" w:rsidRDefault="00B07E84" w:rsidP="00B07E84">
            <w:pPr>
              <w:jc w:val="both"/>
            </w:pPr>
            <w:proofErr w:type="spellStart"/>
            <w:r w:rsidRPr="00CA6647">
              <w:rPr>
                <w:i/>
              </w:rPr>
              <w:t>Ascaris</w:t>
            </w:r>
            <w:proofErr w:type="spellEnd"/>
            <w:r w:rsidRPr="00CA6647">
              <w:rPr>
                <w:i/>
              </w:rPr>
              <w:t xml:space="preserve"> </w:t>
            </w:r>
            <w:proofErr w:type="spellStart"/>
            <w:r w:rsidRPr="00CA6647">
              <w:rPr>
                <w:i/>
              </w:rPr>
              <w:t>suum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6104150B" w14:textId="601ABB9D" w:rsidR="00B07E84" w:rsidRDefault="00B07E84" w:rsidP="00B07E84">
            <w:pPr>
              <w:jc w:val="both"/>
            </w:pPr>
            <w: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4A83F8E" w14:textId="7C9C4DC6" w:rsidR="00B07E84" w:rsidRDefault="00B07E84" w:rsidP="00B07E84">
            <w:pPr>
              <w:jc w:val="both"/>
            </w:pPr>
            <w: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759B0E63" w14:textId="7BB9C4A6" w:rsidR="00B07E84" w:rsidRDefault="00B07E84" w:rsidP="00B07E84">
            <w:pPr>
              <w:jc w:val="both"/>
            </w:pPr>
            <w:r>
              <w:t>0.365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83EA11" w14:textId="68585476" w:rsidR="00B07E84" w:rsidRDefault="00B07E84" w:rsidP="00B07E84">
            <w:pPr>
              <w:jc w:val="both"/>
            </w:pPr>
            <w: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7B782FD" w14:textId="1FAD2AC2" w:rsidR="00B07E84" w:rsidRDefault="00B07E84" w:rsidP="00B07E84">
            <w:pPr>
              <w:jc w:val="both"/>
            </w:pPr>
            <w: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36290492" w14:textId="364311E1" w:rsidR="00B07E84" w:rsidRDefault="00B07E84" w:rsidP="00B07E84">
            <w:pPr>
              <w:jc w:val="both"/>
            </w:pPr>
            <w:r>
              <w:t>0.2752</w:t>
            </w:r>
          </w:p>
        </w:tc>
      </w:tr>
      <w:tr w:rsidR="00B07E84" w14:paraId="07DA5BD0" w14:textId="77777777" w:rsidTr="00E17707">
        <w:trPr>
          <w:trHeight w:val="281"/>
        </w:trPr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DEAB1" w14:textId="54C2F46A" w:rsidR="00B07E84" w:rsidRDefault="00B07E84" w:rsidP="00B07E84">
            <w:pPr>
              <w:jc w:val="both"/>
            </w:pPr>
            <w:proofErr w:type="spellStart"/>
            <w:r w:rsidRPr="00CA6647">
              <w:rPr>
                <w:i/>
              </w:rPr>
              <w:t>Trichuris</w:t>
            </w:r>
            <w:proofErr w:type="spellEnd"/>
            <w:r w:rsidRPr="00CA6647">
              <w:rPr>
                <w:i/>
              </w:rPr>
              <w:t xml:space="preserve"> </w:t>
            </w:r>
            <w:proofErr w:type="spellStart"/>
            <w:r w:rsidRPr="00CA6647">
              <w:rPr>
                <w:i/>
              </w:rPr>
              <w:t>suis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14225" w14:textId="136099AC" w:rsidR="00B07E84" w:rsidRDefault="00B07E84" w:rsidP="00B07E84">
            <w:pPr>
              <w:jc w:val="both"/>
            </w:pPr>
            <w: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367F9" w14:textId="7BF40EF5" w:rsidR="00B07E84" w:rsidRDefault="00B07E84" w:rsidP="00B07E84">
            <w:pPr>
              <w:jc w:val="both"/>
            </w:pPr>
            <w: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88FD3" w14:textId="19AA94DB" w:rsidR="00B07E84" w:rsidRDefault="00B07E84" w:rsidP="00B07E84">
            <w:pPr>
              <w:jc w:val="both"/>
            </w:pPr>
            <w:r>
              <w:t>0.6853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27FB9" w14:textId="514E1091" w:rsidR="00B07E84" w:rsidRDefault="00B07E84" w:rsidP="00B07E84">
            <w:pPr>
              <w:jc w:val="both"/>
            </w:pPr>
            <w: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AAF88" w14:textId="3ADE7E71" w:rsidR="00B07E84" w:rsidRDefault="00B07E84" w:rsidP="00B07E84">
            <w:pPr>
              <w:jc w:val="both"/>
            </w:pPr>
            <w: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CA748" w14:textId="2C077D05" w:rsidR="00B07E84" w:rsidRDefault="00B07E84" w:rsidP="00B07E84">
            <w:pPr>
              <w:jc w:val="both"/>
            </w:pPr>
            <w:r>
              <w:t>0.0002</w:t>
            </w:r>
          </w:p>
        </w:tc>
      </w:tr>
    </w:tbl>
    <w:p w14:paraId="6AFBFBED" w14:textId="5FFC94E1" w:rsidR="00E17707" w:rsidRDefault="00E17707" w:rsidP="00C56E51">
      <w:pPr>
        <w:jc w:val="both"/>
        <w:rPr>
          <w:b/>
        </w:rPr>
      </w:pPr>
    </w:p>
    <w:p w14:paraId="39E80012" w14:textId="0FD7F5C3" w:rsidR="006E2582" w:rsidRDefault="00C9758A" w:rsidP="00C56E51">
      <w:pPr>
        <w:jc w:val="both"/>
        <w:rPr>
          <w:rFonts w:ascii="GulliverRM" w:eastAsia="GulliverRM" w:cs="GulliverRM"/>
          <w:color w:val="000000"/>
          <w:sz w:val="21"/>
          <w:szCs w:val="21"/>
        </w:rPr>
      </w:pPr>
      <w:r w:rsidRPr="00C9758A">
        <w:rPr>
          <w:b/>
        </w:rPr>
        <w:t>References</w:t>
      </w:r>
      <w:r w:rsidR="006E2582" w:rsidRPr="006E2582">
        <w:rPr>
          <w:rFonts w:ascii="GulliverRM" w:eastAsia="GulliverRM" w:cs="GulliverRM"/>
          <w:color w:val="000000"/>
          <w:sz w:val="21"/>
          <w:szCs w:val="21"/>
        </w:rPr>
        <w:t xml:space="preserve"> </w:t>
      </w:r>
    </w:p>
    <w:p w14:paraId="145781D1" w14:textId="77777777" w:rsidR="00C9758A" w:rsidRDefault="006E2582" w:rsidP="00C56E51">
      <w:pPr>
        <w:jc w:val="both"/>
        <w:rPr>
          <w:rFonts w:eastAsia="GulliverRM" w:cstheme="minorHAnsi"/>
        </w:rPr>
      </w:pPr>
      <w:proofErr w:type="spellStart"/>
      <w:r w:rsidRPr="00F44E4B">
        <w:rPr>
          <w:rFonts w:eastAsia="GulliverRM" w:cstheme="minorHAnsi"/>
        </w:rPr>
        <w:t>Roepstorff</w:t>
      </w:r>
      <w:proofErr w:type="spellEnd"/>
      <w:r w:rsidR="003624EF" w:rsidRPr="00F44E4B">
        <w:rPr>
          <w:rFonts w:eastAsia="MTSY" w:cstheme="minorHAnsi"/>
        </w:rPr>
        <w:t>, A.</w:t>
      </w:r>
      <w:r w:rsidR="003624EF" w:rsidRPr="00F44E4B">
        <w:rPr>
          <w:rFonts w:eastAsia="GulliverRM" w:cstheme="minorHAnsi"/>
        </w:rPr>
        <w:t xml:space="preserve">, </w:t>
      </w:r>
      <w:proofErr w:type="spellStart"/>
      <w:r w:rsidRPr="00F44E4B">
        <w:rPr>
          <w:rFonts w:eastAsia="GulliverRM" w:cstheme="minorHAnsi"/>
        </w:rPr>
        <w:t>Mejer</w:t>
      </w:r>
      <w:proofErr w:type="spellEnd"/>
      <w:r w:rsidRPr="00F44E4B">
        <w:rPr>
          <w:rFonts w:eastAsia="GulliverRM" w:cstheme="minorHAnsi"/>
        </w:rPr>
        <w:t>,</w:t>
      </w:r>
      <w:r w:rsidR="003624EF" w:rsidRPr="00F44E4B">
        <w:rPr>
          <w:rFonts w:eastAsia="GulliverRM" w:cstheme="minorHAnsi"/>
        </w:rPr>
        <w:t xml:space="preserve"> H., </w:t>
      </w:r>
      <w:proofErr w:type="spellStart"/>
      <w:r w:rsidRPr="00F44E4B">
        <w:rPr>
          <w:rFonts w:eastAsia="GulliverRM" w:cstheme="minorHAnsi"/>
        </w:rPr>
        <w:t>Nejsum</w:t>
      </w:r>
      <w:proofErr w:type="spellEnd"/>
      <w:r w:rsidRPr="00F44E4B">
        <w:rPr>
          <w:rFonts w:eastAsia="GulliverRM" w:cstheme="minorHAnsi"/>
        </w:rPr>
        <w:t>,</w:t>
      </w:r>
      <w:r w:rsidR="003624EF" w:rsidRPr="00F44E4B">
        <w:rPr>
          <w:rFonts w:eastAsia="GulliverRM" w:cstheme="minorHAnsi"/>
        </w:rPr>
        <w:t xml:space="preserve"> P. &amp; </w:t>
      </w:r>
      <w:proofErr w:type="spellStart"/>
      <w:r w:rsidRPr="00F44E4B">
        <w:rPr>
          <w:rFonts w:eastAsia="GulliverRM" w:cstheme="minorHAnsi"/>
        </w:rPr>
        <w:t>Thamsborg</w:t>
      </w:r>
      <w:proofErr w:type="spellEnd"/>
      <w:r w:rsidR="003624EF" w:rsidRPr="00F44E4B">
        <w:rPr>
          <w:rFonts w:eastAsia="GulliverRM" w:cstheme="minorHAnsi"/>
        </w:rPr>
        <w:t>, S.M., (2011). Veterinary Parasitology</w:t>
      </w:r>
      <w:r w:rsidR="00F44E4B" w:rsidRPr="00F44E4B">
        <w:rPr>
          <w:rFonts w:eastAsia="GulliverRM" w:cstheme="minorHAnsi"/>
        </w:rPr>
        <w:t>,</w:t>
      </w:r>
      <w:r w:rsidR="003624EF" w:rsidRPr="00F44E4B">
        <w:rPr>
          <w:rFonts w:eastAsia="GulliverRM" w:cstheme="minorHAnsi"/>
        </w:rPr>
        <w:t xml:space="preserve"> </w:t>
      </w:r>
      <w:r w:rsidR="003624EF" w:rsidRPr="003618F9">
        <w:rPr>
          <w:rFonts w:eastAsia="GulliverRM" w:cstheme="minorHAnsi"/>
          <w:i/>
          <w:iCs/>
        </w:rPr>
        <w:t>180</w:t>
      </w:r>
      <w:r w:rsidR="00F44E4B" w:rsidRPr="00F44E4B">
        <w:rPr>
          <w:rFonts w:eastAsia="GulliverRM" w:cstheme="minorHAnsi"/>
        </w:rPr>
        <w:t>,</w:t>
      </w:r>
      <w:r w:rsidR="003624EF" w:rsidRPr="00F44E4B">
        <w:rPr>
          <w:rFonts w:eastAsia="GulliverRM" w:cstheme="minorHAnsi"/>
        </w:rPr>
        <w:t xml:space="preserve"> 72</w:t>
      </w:r>
      <w:r w:rsidR="00F44E4B" w:rsidRPr="00F44E4B">
        <w:rPr>
          <w:rFonts w:eastAsia="GulliverRM" w:cstheme="minorHAnsi"/>
        </w:rPr>
        <w:t>.</w:t>
      </w:r>
    </w:p>
    <w:p w14:paraId="7C1BE924" w14:textId="1938C02C" w:rsidR="00F44E4B" w:rsidRPr="00F44E4B" w:rsidRDefault="00B612F4" w:rsidP="00C56E51">
      <w:pPr>
        <w:jc w:val="both"/>
        <w:rPr>
          <w:rFonts w:cstheme="minorHAnsi"/>
        </w:rPr>
      </w:pPr>
      <w:r>
        <w:rPr>
          <w:rFonts w:cstheme="minorHAnsi"/>
        </w:rPr>
        <w:t>Taylor, M.A., Coop, R.L. &amp;</w:t>
      </w:r>
      <w:r w:rsidR="00F44E4B" w:rsidRPr="00F44E4B">
        <w:rPr>
          <w:rFonts w:cstheme="minorHAnsi"/>
        </w:rPr>
        <w:t xml:space="preserve"> Wall, R.L., (2016). Veterinary Parasitology, Wiley</w:t>
      </w:r>
      <w:r w:rsidR="007A6FF8">
        <w:rPr>
          <w:rFonts w:cstheme="minorHAnsi"/>
        </w:rPr>
        <w:t xml:space="preserve"> Blackwell</w:t>
      </w:r>
      <w:r w:rsidR="00F44E4B" w:rsidRPr="00F44E4B">
        <w:rPr>
          <w:rFonts w:cstheme="minorHAnsi"/>
        </w:rPr>
        <w:t>.</w:t>
      </w:r>
    </w:p>
    <w:sectPr w:rsidR="00F44E4B" w:rsidRPr="00F44E4B" w:rsidSect="007E246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7776A75" w16cex:dateUtc="2024-01-05T10:05:00Z"/>
  <w16cex:commentExtensible w16cex:durableId="5838B5D2" w16cex:dateUtc="2024-01-05T11:06:00Z"/>
  <w16cex:commentExtensible w16cex:durableId="1E19C2C0" w16cex:dateUtc="2024-01-05T13:46:00Z"/>
  <w16cex:commentExtensible w16cex:durableId="22FB6D01" w16cex:dateUtc="2024-01-05T13:47:00Z"/>
  <w16cex:commentExtensible w16cex:durableId="5AC49C62" w16cex:dateUtc="2024-01-05T13:42:00Z"/>
  <w16cex:commentExtensible w16cex:durableId="4B1E8A0A" w16cex:dateUtc="2024-01-05T10:23:00Z"/>
  <w16cex:commentExtensible w16cex:durableId="7FDB33A9" w16cex:dateUtc="2024-01-05T10:24:00Z"/>
  <w16cex:commentExtensible w16cex:durableId="0F09C5BB" w16cex:dateUtc="2024-01-05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3E0653" w16cid:durableId="57776A75"/>
  <w16cid:commentId w16cid:paraId="647BFC40" w16cid:durableId="5838B5D2"/>
  <w16cid:commentId w16cid:paraId="54A46669" w16cid:durableId="1E19C2C0"/>
  <w16cid:commentId w16cid:paraId="1AAD8D43" w16cid:durableId="22FB6D01"/>
  <w16cid:commentId w16cid:paraId="075F4F5A" w16cid:durableId="5AC49C62"/>
  <w16cid:commentId w16cid:paraId="5C307C92" w16cid:durableId="4B1E8A0A"/>
  <w16cid:commentId w16cid:paraId="7A9FE3E9" w16cid:durableId="7FDB33A9"/>
  <w16cid:commentId w16cid:paraId="31B373DB" w16cid:durableId="0F09C5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liverRM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TSY">
    <w:altName w:val="Times New Roman Uni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64"/>
    <w:rsid w:val="00011DCB"/>
    <w:rsid w:val="00072B3B"/>
    <w:rsid w:val="00073C9B"/>
    <w:rsid w:val="0007765E"/>
    <w:rsid w:val="00083A2C"/>
    <w:rsid w:val="00091B21"/>
    <w:rsid w:val="000D0B82"/>
    <w:rsid w:val="000D52CB"/>
    <w:rsid w:val="000E214E"/>
    <w:rsid w:val="000F1E54"/>
    <w:rsid w:val="0011479C"/>
    <w:rsid w:val="001358B7"/>
    <w:rsid w:val="00147575"/>
    <w:rsid w:val="00171687"/>
    <w:rsid w:val="001C473D"/>
    <w:rsid w:val="001D0E2A"/>
    <w:rsid w:val="001D54C1"/>
    <w:rsid w:val="00235C96"/>
    <w:rsid w:val="00243140"/>
    <w:rsid w:val="00246992"/>
    <w:rsid w:val="00250B05"/>
    <w:rsid w:val="002530CD"/>
    <w:rsid w:val="00283CCB"/>
    <w:rsid w:val="0029661B"/>
    <w:rsid w:val="002C5B4C"/>
    <w:rsid w:val="002C7895"/>
    <w:rsid w:val="002D1835"/>
    <w:rsid w:val="002D1ADE"/>
    <w:rsid w:val="00313F18"/>
    <w:rsid w:val="003618F9"/>
    <w:rsid w:val="003624EF"/>
    <w:rsid w:val="003C3F9C"/>
    <w:rsid w:val="003D43CE"/>
    <w:rsid w:val="00413D7B"/>
    <w:rsid w:val="00466453"/>
    <w:rsid w:val="0048135B"/>
    <w:rsid w:val="00481EAA"/>
    <w:rsid w:val="00483C64"/>
    <w:rsid w:val="004C653C"/>
    <w:rsid w:val="004F1826"/>
    <w:rsid w:val="00501267"/>
    <w:rsid w:val="0050717C"/>
    <w:rsid w:val="00534722"/>
    <w:rsid w:val="005377BA"/>
    <w:rsid w:val="00542FDF"/>
    <w:rsid w:val="00544FEB"/>
    <w:rsid w:val="005744D6"/>
    <w:rsid w:val="005B1E1E"/>
    <w:rsid w:val="005B72F6"/>
    <w:rsid w:val="005C31BB"/>
    <w:rsid w:val="005C31CB"/>
    <w:rsid w:val="005F4430"/>
    <w:rsid w:val="00605A25"/>
    <w:rsid w:val="00626AF8"/>
    <w:rsid w:val="00627209"/>
    <w:rsid w:val="00631F50"/>
    <w:rsid w:val="006438CB"/>
    <w:rsid w:val="00645BA5"/>
    <w:rsid w:val="00657DF4"/>
    <w:rsid w:val="00680690"/>
    <w:rsid w:val="006D43C2"/>
    <w:rsid w:val="006E2582"/>
    <w:rsid w:val="006E6D27"/>
    <w:rsid w:val="006F5D8B"/>
    <w:rsid w:val="00714277"/>
    <w:rsid w:val="00762BAC"/>
    <w:rsid w:val="007A6FF8"/>
    <w:rsid w:val="007E2464"/>
    <w:rsid w:val="007F0A6B"/>
    <w:rsid w:val="00814153"/>
    <w:rsid w:val="008879F7"/>
    <w:rsid w:val="00894AC7"/>
    <w:rsid w:val="008D1C56"/>
    <w:rsid w:val="008D4743"/>
    <w:rsid w:val="00923F84"/>
    <w:rsid w:val="00942186"/>
    <w:rsid w:val="009E3DDB"/>
    <w:rsid w:val="00A05F09"/>
    <w:rsid w:val="00A22744"/>
    <w:rsid w:val="00A371AF"/>
    <w:rsid w:val="00A43B4F"/>
    <w:rsid w:val="00A64243"/>
    <w:rsid w:val="00A97BA8"/>
    <w:rsid w:val="00AA1F33"/>
    <w:rsid w:val="00AB3A06"/>
    <w:rsid w:val="00AC13AE"/>
    <w:rsid w:val="00AE2336"/>
    <w:rsid w:val="00AF143E"/>
    <w:rsid w:val="00B07E84"/>
    <w:rsid w:val="00B5380F"/>
    <w:rsid w:val="00B612F4"/>
    <w:rsid w:val="00B61472"/>
    <w:rsid w:val="00B93C30"/>
    <w:rsid w:val="00BD688C"/>
    <w:rsid w:val="00BE4A66"/>
    <w:rsid w:val="00C147DE"/>
    <w:rsid w:val="00C15601"/>
    <w:rsid w:val="00C56E51"/>
    <w:rsid w:val="00C707E0"/>
    <w:rsid w:val="00C9758A"/>
    <w:rsid w:val="00CA6647"/>
    <w:rsid w:val="00CC48F0"/>
    <w:rsid w:val="00CC6E11"/>
    <w:rsid w:val="00CD4613"/>
    <w:rsid w:val="00CE5F15"/>
    <w:rsid w:val="00D0170F"/>
    <w:rsid w:val="00D07CE5"/>
    <w:rsid w:val="00D21EAE"/>
    <w:rsid w:val="00D36DA4"/>
    <w:rsid w:val="00D529F3"/>
    <w:rsid w:val="00D54686"/>
    <w:rsid w:val="00DA4BEB"/>
    <w:rsid w:val="00DD773F"/>
    <w:rsid w:val="00DF27E8"/>
    <w:rsid w:val="00DF7F66"/>
    <w:rsid w:val="00E16879"/>
    <w:rsid w:val="00E17707"/>
    <w:rsid w:val="00E560BC"/>
    <w:rsid w:val="00E753A6"/>
    <w:rsid w:val="00EA59DC"/>
    <w:rsid w:val="00F0097A"/>
    <w:rsid w:val="00F31085"/>
    <w:rsid w:val="00F44E4B"/>
    <w:rsid w:val="00F72092"/>
    <w:rsid w:val="00FA0505"/>
    <w:rsid w:val="00FA7454"/>
    <w:rsid w:val="00FE4659"/>
    <w:rsid w:val="00FF099F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53EF"/>
  <w15:chartTrackingRefBased/>
  <w15:docId w15:val="{6F9CA3D0-4FEC-4A82-8B5E-CA57C0AD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B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2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B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833AD-FBB1-430C-8BE7-8E3117AB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Nipuna Senanayake (Walsh Scholar)</dc:creator>
  <cp:keywords/>
  <dc:description/>
  <cp:lastModifiedBy>Nipuna Senanayake (Walsh Scholar)</cp:lastModifiedBy>
  <cp:revision>7</cp:revision>
  <dcterms:created xsi:type="dcterms:W3CDTF">2024-01-12T14:46:00Z</dcterms:created>
  <dcterms:modified xsi:type="dcterms:W3CDTF">2024-01-12T17:06:00Z</dcterms:modified>
</cp:coreProperties>
</file>