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7C79B" w14:textId="7A389A48" w:rsidR="007B30E3" w:rsidRPr="009A7A7D" w:rsidRDefault="007B30E3">
      <w:pPr>
        <w:rPr>
          <w:rFonts w:cs="Times New Roman"/>
          <w:b/>
          <w:bCs/>
          <w:lang w:val="en-US"/>
        </w:rPr>
      </w:pPr>
      <w:r w:rsidRPr="009A7A7D">
        <w:rPr>
          <w:rFonts w:cs="Times New Roman"/>
          <w:b/>
          <w:bCs/>
          <w:lang w:val="en-US"/>
        </w:rPr>
        <w:t>Application</w:t>
      </w:r>
    </w:p>
    <w:p w14:paraId="07C9ECB3" w14:textId="493B091A" w:rsidR="007B30E3" w:rsidRPr="009A7A7D" w:rsidRDefault="00A56A26">
      <w:pPr>
        <w:rPr>
          <w:rFonts w:cs="Times New Roman"/>
          <w:lang w:val="en-US"/>
        </w:rPr>
      </w:pPr>
      <w:r w:rsidRPr="009A7A7D">
        <w:rPr>
          <w:rFonts w:cs="Times New Roman"/>
          <w:lang w:val="en-US"/>
        </w:rPr>
        <w:t xml:space="preserve">This work is expected to improve understanding of exercise-induced inflammation </w:t>
      </w:r>
      <w:r w:rsidR="004D4A84" w:rsidRPr="009A7A7D">
        <w:rPr>
          <w:rFonts w:cs="Times New Roman"/>
          <w:lang w:val="en-US"/>
        </w:rPr>
        <w:t xml:space="preserve">and environmental conditions </w:t>
      </w:r>
      <w:r w:rsidRPr="009A7A7D">
        <w:rPr>
          <w:rFonts w:cs="Times New Roman"/>
          <w:lang w:val="en-US"/>
        </w:rPr>
        <w:t xml:space="preserve">to </w:t>
      </w:r>
      <w:r w:rsidR="004D4A84" w:rsidRPr="009A7A7D">
        <w:rPr>
          <w:rFonts w:cs="Times New Roman"/>
          <w:lang w:val="en-US"/>
        </w:rPr>
        <w:t xml:space="preserve">optimize exercise </w:t>
      </w:r>
      <w:r w:rsidR="00EF63BD" w:rsidRPr="009A7A7D">
        <w:rPr>
          <w:rFonts w:cs="Times New Roman"/>
          <w:lang w:val="en-US"/>
        </w:rPr>
        <w:t>adaptation</w:t>
      </w:r>
      <w:r w:rsidR="004D4A84" w:rsidRPr="009A7A7D">
        <w:rPr>
          <w:rFonts w:cs="Times New Roman"/>
          <w:lang w:val="en-US"/>
        </w:rPr>
        <w:t xml:space="preserve"> and welfare in performance horses</w:t>
      </w:r>
      <w:r w:rsidRPr="009A7A7D">
        <w:rPr>
          <w:rFonts w:cs="Times New Roman"/>
          <w:lang w:val="en-US"/>
        </w:rPr>
        <w:t xml:space="preserve">. </w:t>
      </w:r>
    </w:p>
    <w:p w14:paraId="5E9F33D1" w14:textId="5CDACFAB" w:rsidR="007B30E3" w:rsidRPr="009A7A7D" w:rsidRDefault="007B30E3">
      <w:pPr>
        <w:rPr>
          <w:rFonts w:cs="Times New Roman"/>
          <w:b/>
          <w:bCs/>
          <w:lang w:val="en-US"/>
        </w:rPr>
      </w:pPr>
      <w:r w:rsidRPr="009A7A7D">
        <w:rPr>
          <w:rFonts w:cs="Times New Roman"/>
          <w:b/>
          <w:bCs/>
          <w:lang w:val="en-US"/>
        </w:rPr>
        <w:t>Introduction</w:t>
      </w:r>
    </w:p>
    <w:p w14:paraId="167B5498" w14:textId="5D280E99" w:rsidR="007B30E3" w:rsidRPr="009A7A7D" w:rsidRDefault="00331646">
      <w:pPr>
        <w:rPr>
          <w:rFonts w:cs="Times New Roman"/>
          <w:lang w:val="en-US"/>
        </w:rPr>
      </w:pPr>
      <w:r w:rsidRPr="009A7A7D">
        <w:rPr>
          <w:rFonts w:cs="Times New Roman"/>
        </w:rPr>
        <w:t>Understanding daily fluctuations in physiological parameters can optimize livestock management by aligning practices with animals' circadian rhythms.</w:t>
      </w:r>
      <w:r w:rsidRPr="009A7A7D">
        <w:rPr>
          <w:rFonts w:cs="Times New Roman"/>
          <w:lang w:val="en-US"/>
        </w:rPr>
        <w:t xml:space="preserve"> </w:t>
      </w:r>
      <w:r w:rsidR="00C158A3">
        <w:rPr>
          <w:rFonts w:cs="Times New Roman"/>
          <w:lang w:val="en-US"/>
        </w:rPr>
        <w:t>Performance and c</w:t>
      </w:r>
      <w:r w:rsidR="00C879F4" w:rsidRPr="009A7A7D">
        <w:rPr>
          <w:rFonts w:cs="Times New Roman"/>
          <w:lang w:val="en-US"/>
        </w:rPr>
        <w:t>ardiorespiratory responses (</w:t>
      </w:r>
      <w:r w:rsidR="00830BC1" w:rsidRPr="009A7A7D">
        <w:rPr>
          <w:rFonts w:cs="Times New Roman"/>
          <w:lang w:val="en-US"/>
        </w:rPr>
        <w:t>Kang et al., 2023</w:t>
      </w:r>
      <w:r w:rsidR="00C879F4" w:rsidRPr="009A7A7D">
        <w:rPr>
          <w:rFonts w:cs="Times New Roman"/>
          <w:lang w:val="en-US"/>
        </w:rPr>
        <w:t>)</w:t>
      </w:r>
      <w:r w:rsidR="00F52DAB" w:rsidRPr="009A7A7D">
        <w:rPr>
          <w:rFonts w:cs="Times New Roman"/>
          <w:lang w:val="en-US"/>
        </w:rPr>
        <w:t xml:space="preserve"> </w:t>
      </w:r>
      <w:r w:rsidR="009228EE" w:rsidRPr="009A7A7D">
        <w:rPr>
          <w:rFonts w:cs="Times New Roman"/>
          <w:lang w:val="en-US"/>
        </w:rPr>
        <w:t>are known to vary based on the time</w:t>
      </w:r>
      <w:r w:rsidR="001974C2">
        <w:rPr>
          <w:rFonts w:cs="Times New Roman"/>
          <w:lang w:val="en-US"/>
        </w:rPr>
        <w:t xml:space="preserve"> </w:t>
      </w:r>
      <w:r w:rsidR="009228EE" w:rsidRPr="009A7A7D">
        <w:rPr>
          <w:rFonts w:cs="Times New Roman"/>
          <w:lang w:val="en-US"/>
        </w:rPr>
        <w:t>of</w:t>
      </w:r>
      <w:r w:rsidR="001974C2">
        <w:rPr>
          <w:rFonts w:cs="Times New Roman"/>
          <w:lang w:val="en-US"/>
        </w:rPr>
        <w:t xml:space="preserve"> </w:t>
      </w:r>
      <w:r w:rsidR="009228EE" w:rsidRPr="009A7A7D">
        <w:rPr>
          <w:rFonts w:cs="Times New Roman"/>
          <w:lang w:val="en-US"/>
        </w:rPr>
        <w:t>day</w:t>
      </w:r>
      <w:r w:rsidR="0076797D" w:rsidRPr="009A7A7D">
        <w:rPr>
          <w:rFonts w:cs="Times New Roman"/>
          <w:lang w:val="en-US"/>
        </w:rPr>
        <w:t xml:space="preserve"> of exercise</w:t>
      </w:r>
      <w:r w:rsidR="009860E6" w:rsidRPr="009A7A7D">
        <w:rPr>
          <w:rFonts w:cs="Times New Roman"/>
          <w:lang w:val="en-US"/>
        </w:rPr>
        <w:t>,</w:t>
      </w:r>
      <w:r w:rsidR="00046461" w:rsidRPr="009A7A7D">
        <w:rPr>
          <w:rFonts w:cs="Times New Roman"/>
          <w:lang w:val="en-US"/>
        </w:rPr>
        <w:t xml:space="preserve"> </w:t>
      </w:r>
      <w:r w:rsidR="004721D2" w:rsidRPr="009A7A7D">
        <w:rPr>
          <w:rFonts w:cs="Times New Roman"/>
          <w:lang w:val="en-US"/>
        </w:rPr>
        <w:t>but the equine inflammatory response to exercise at different times of day is unknown.</w:t>
      </w:r>
      <w:r w:rsidR="007634B4" w:rsidRPr="009A7A7D">
        <w:rPr>
          <w:rFonts w:cs="Times New Roman"/>
          <w:lang w:val="en-US"/>
        </w:rPr>
        <w:t xml:space="preserve"> </w:t>
      </w:r>
      <w:r w:rsidR="00EE22FB" w:rsidRPr="009A7A7D">
        <w:rPr>
          <w:rFonts w:cs="Times New Roman"/>
          <w:lang w:val="en-US"/>
        </w:rPr>
        <w:t xml:space="preserve">Additionally, the impacts </w:t>
      </w:r>
      <w:r w:rsidR="00F52DAB" w:rsidRPr="009A7A7D">
        <w:rPr>
          <w:rFonts w:cs="Times New Roman"/>
          <w:lang w:val="en-US"/>
        </w:rPr>
        <w:t xml:space="preserve">of </w:t>
      </w:r>
      <w:r w:rsidR="00EE22FB" w:rsidRPr="009A7A7D">
        <w:rPr>
          <w:rFonts w:cs="Times New Roman"/>
          <w:lang w:val="en-US"/>
        </w:rPr>
        <w:t>disrup</w:t>
      </w:r>
      <w:r w:rsidR="00F52DAB" w:rsidRPr="009A7A7D">
        <w:rPr>
          <w:rFonts w:cs="Times New Roman"/>
          <w:lang w:val="en-US"/>
        </w:rPr>
        <w:t>ted</w:t>
      </w:r>
      <w:r w:rsidR="00EE22FB" w:rsidRPr="009A7A7D">
        <w:rPr>
          <w:rFonts w:cs="Times New Roman"/>
          <w:lang w:val="en-US"/>
        </w:rPr>
        <w:t xml:space="preserve"> circadian rhythms due to unnatural barn lighting on inflammation is unexplored in horses. </w:t>
      </w:r>
      <w:r w:rsidR="00F52DAB" w:rsidRPr="009A7A7D">
        <w:rPr>
          <w:rFonts w:cs="Times New Roman"/>
          <w:lang w:val="en-US"/>
        </w:rPr>
        <w:t>W</w:t>
      </w:r>
      <w:r w:rsidR="00046461" w:rsidRPr="009A7A7D">
        <w:rPr>
          <w:rFonts w:cs="Times New Roman"/>
          <w:lang w:val="en-US"/>
        </w:rPr>
        <w:t xml:space="preserve">e hypothesized that exercise-induced inflammation would be </w:t>
      </w:r>
      <w:r w:rsidR="009860E6" w:rsidRPr="009A7A7D">
        <w:rPr>
          <w:rFonts w:cs="Times New Roman"/>
          <w:lang w:val="en-US"/>
        </w:rPr>
        <w:t xml:space="preserve">greater following </w:t>
      </w:r>
      <w:r w:rsidR="00046461" w:rsidRPr="009A7A7D">
        <w:rPr>
          <w:rFonts w:cs="Times New Roman"/>
          <w:lang w:val="en-US"/>
        </w:rPr>
        <w:t>exercise</w:t>
      </w:r>
      <w:r w:rsidR="009860E6" w:rsidRPr="009A7A7D">
        <w:rPr>
          <w:rFonts w:cs="Times New Roman"/>
          <w:lang w:val="en-US"/>
        </w:rPr>
        <w:t xml:space="preserve"> </w:t>
      </w:r>
      <w:r w:rsidR="00EE22FB" w:rsidRPr="009A7A7D">
        <w:rPr>
          <w:rFonts w:cs="Times New Roman"/>
          <w:lang w:val="en-US"/>
        </w:rPr>
        <w:t xml:space="preserve">in the morning compared to the evening </w:t>
      </w:r>
      <w:r w:rsidR="007634B4" w:rsidRPr="009A7A7D">
        <w:rPr>
          <w:rFonts w:cs="Times New Roman"/>
          <w:lang w:val="en-US"/>
        </w:rPr>
        <w:t xml:space="preserve">regardless of </w:t>
      </w:r>
      <w:r w:rsidR="00573BC7" w:rsidRPr="009A7A7D">
        <w:rPr>
          <w:rFonts w:cs="Times New Roman"/>
          <w:lang w:val="en-US"/>
        </w:rPr>
        <w:t xml:space="preserve">barn </w:t>
      </w:r>
      <w:r w:rsidR="007634B4" w:rsidRPr="009A7A7D">
        <w:rPr>
          <w:rFonts w:cs="Times New Roman"/>
          <w:lang w:val="en-US"/>
        </w:rPr>
        <w:t>light conditions.</w:t>
      </w:r>
    </w:p>
    <w:p w14:paraId="1F63B1C6" w14:textId="244C0F79" w:rsidR="007B30E3" w:rsidRPr="009A7A7D" w:rsidRDefault="007B30E3">
      <w:pPr>
        <w:rPr>
          <w:rFonts w:cs="Times New Roman"/>
          <w:b/>
          <w:bCs/>
          <w:lang w:val="en-US"/>
        </w:rPr>
      </w:pPr>
      <w:r w:rsidRPr="009A7A7D">
        <w:rPr>
          <w:rFonts w:cs="Times New Roman"/>
          <w:b/>
          <w:bCs/>
          <w:lang w:val="en-US"/>
        </w:rPr>
        <w:t>Materials and Methods</w:t>
      </w:r>
    </w:p>
    <w:p w14:paraId="31DE43A2" w14:textId="18813281" w:rsidR="007B30E3" w:rsidRPr="009A7A7D" w:rsidRDefault="00D7265D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>E</w:t>
      </w:r>
      <w:r w:rsidR="001D64D6" w:rsidRPr="001D64D6">
        <w:rPr>
          <w:rFonts w:cs="Times New Roman"/>
          <w:lang w:val="en-US"/>
        </w:rPr>
        <w:t xml:space="preserve">xperimental protocols were reviewed and approved by the Texas A&amp;M University Institutional Animal Care and Use Committee (2022-0268). </w:t>
      </w:r>
      <w:r w:rsidR="004721D2" w:rsidRPr="009A7A7D">
        <w:rPr>
          <w:rFonts w:cs="Times New Roman"/>
          <w:lang w:val="en-US"/>
        </w:rPr>
        <w:t xml:space="preserve">Quarter Horses (14 fillies, 14 geldings; </w:t>
      </w:r>
      <w:proofErr w:type="spellStart"/>
      <w:r w:rsidR="004721D2" w:rsidRPr="009A7A7D">
        <w:rPr>
          <w:rFonts w:cs="Times New Roman"/>
          <w:lang w:val="en-US"/>
        </w:rPr>
        <w:t>mean±SD</w:t>
      </w:r>
      <w:proofErr w:type="spellEnd"/>
      <w:r w:rsidR="004721D2" w:rsidRPr="009A7A7D">
        <w:rPr>
          <w:rFonts w:cs="Times New Roman"/>
          <w:lang w:val="en-US"/>
        </w:rPr>
        <w:t xml:space="preserve"> 18±1mo; 360±31kg) were blocked by sex, age, and bodyweight and assigned to one of three treatments for 45 days: 1) Control (CON) – 166 lux sunlight by day, no artificial light at night; 2) Competition (COMP) – 25 lux soft white, fluorescent barn lights </w:t>
      </w:r>
      <w:r w:rsidR="00FE19D6">
        <w:rPr>
          <w:rFonts w:cs="Times New Roman"/>
          <w:lang w:val="en-US"/>
        </w:rPr>
        <w:t>24 h/d</w:t>
      </w:r>
      <w:r w:rsidR="004721D2" w:rsidRPr="009A7A7D">
        <w:rPr>
          <w:rFonts w:cs="Times New Roman"/>
          <w:lang w:val="en-US"/>
        </w:rPr>
        <w:t xml:space="preserve">; or 3) Circadian (CIRC) – COMP lighting but fitted with a 50-lux </w:t>
      </w:r>
      <w:proofErr w:type="spellStart"/>
      <w:r w:rsidR="004721D2" w:rsidRPr="009A7A7D">
        <w:rPr>
          <w:rFonts w:cs="Times New Roman"/>
          <w:lang w:val="en-US"/>
        </w:rPr>
        <w:t>Equilume</w:t>
      </w:r>
      <w:proofErr w:type="spellEnd"/>
      <w:r w:rsidR="004721D2" w:rsidRPr="009A7A7D">
        <w:rPr>
          <w:rFonts w:cs="Times New Roman"/>
          <w:lang w:val="en-US"/>
        </w:rPr>
        <w:t xml:space="preserve"> blue light mask by day and </w:t>
      </w:r>
      <w:r w:rsidR="00A42F07" w:rsidRPr="009A7A7D">
        <w:rPr>
          <w:rFonts w:cs="Times New Roman"/>
          <w:lang w:val="en-US"/>
        </w:rPr>
        <w:t>red-tinted visor by night to filter blue light.</w:t>
      </w:r>
      <w:r w:rsidR="004721D2" w:rsidRPr="009A7A7D">
        <w:rPr>
          <w:rFonts w:cs="Times New Roman"/>
          <w:lang w:val="en-US"/>
        </w:rPr>
        <w:t xml:space="preserve"> On d36, half </w:t>
      </w:r>
      <w:r w:rsidR="00EE22FB" w:rsidRPr="009A7A7D">
        <w:rPr>
          <w:rFonts w:cs="Times New Roman"/>
          <w:lang w:val="en-US"/>
        </w:rPr>
        <w:t xml:space="preserve">of </w:t>
      </w:r>
      <w:r w:rsidR="004721D2" w:rsidRPr="009A7A7D">
        <w:rPr>
          <w:rFonts w:cs="Times New Roman"/>
          <w:lang w:val="en-US"/>
        </w:rPr>
        <w:t xml:space="preserve">the horses </w:t>
      </w:r>
      <w:r w:rsidR="00EE22FB" w:rsidRPr="009A7A7D">
        <w:rPr>
          <w:rFonts w:cs="Times New Roman"/>
          <w:lang w:val="en-US"/>
        </w:rPr>
        <w:t xml:space="preserve">performed </w:t>
      </w:r>
      <w:r w:rsidR="004721D2" w:rsidRPr="009A7A7D">
        <w:rPr>
          <w:rFonts w:cs="Times New Roman"/>
          <w:lang w:val="en-US"/>
        </w:rPr>
        <w:t>a 2</w:t>
      </w:r>
      <w:r w:rsidR="0074483E" w:rsidRPr="009A7A7D">
        <w:rPr>
          <w:rFonts w:cs="Times New Roman"/>
          <w:lang w:val="en-US"/>
        </w:rPr>
        <w:t>-</w:t>
      </w:r>
      <w:r w:rsidR="004721D2" w:rsidRPr="009A7A7D">
        <w:rPr>
          <w:rFonts w:cs="Times New Roman"/>
          <w:lang w:val="en-US"/>
        </w:rPr>
        <w:t>h submaximal exercise test (SET) at 0600</w:t>
      </w:r>
      <w:r w:rsidR="00403502" w:rsidRPr="009A7A7D">
        <w:rPr>
          <w:rFonts w:cs="Times New Roman"/>
          <w:lang w:val="en-US"/>
        </w:rPr>
        <w:t xml:space="preserve"> h</w:t>
      </w:r>
      <w:r w:rsidR="004721D2" w:rsidRPr="009A7A7D">
        <w:rPr>
          <w:rFonts w:cs="Times New Roman"/>
          <w:lang w:val="en-US"/>
        </w:rPr>
        <w:t xml:space="preserve"> (AM) while the other half performed the same SET at 1800</w:t>
      </w:r>
      <w:r w:rsidR="00403502" w:rsidRPr="009A7A7D">
        <w:rPr>
          <w:rFonts w:cs="Times New Roman"/>
          <w:lang w:val="en-US"/>
        </w:rPr>
        <w:t xml:space="preserve"> h</w:t>
      </w:r>
      <w:r w:rsidR="004721D2" w:rsidRPr="009A7A7D">
        <w:rPr>
          <w:rFonts w:cs="Times New Roman"/>
          <w:lang w:val="en-US"/>
        </w:rPr>
        <w:t xml:space="preserve"> (PM). On d43, horses repeated the SET but at the opposite time of their d36 SET. Blood was collected pre-, 0, 4, 10, 22, 28, and 46h post-SET (T-2, T0, T4, T10, T22, T28, and T46, respectively) and analyzed for </w:t>
      </w:r>
      <w:r w:rsidR="00FB4E59" w:rsidRPr="009A7A7D">
        <w:rPr>
          <w:rFonts w:cs="Times New Roman"/>
          <w:lang w:val="en-US"/>
        </w:rPr>
        <w:t xml:space="preserve">concentrations of anti-inflammatory cytokines, </w:t>
      </w:r>
      <w:r w:rsidR="004721D2" w:rsidRPr="009A7A7D">
        <w:rPr>
          <w:rFonts w:cs="Times New Roman"/>
          <w:lang w:val="en-US"/>
        </w:rPr>
        <w:t>interleukin (IL)</w:t>
      </w:r>
      <w:r w:rsidR="00AB6A0A" w:rsidRPr="009A7A7D">
        <w:rPr>
          <w:rFonts w:cs="Times New Roman"/>
          <w:lang w:val="en-US"/>
        </w:rPr>
        <w:t>-</w:t>
      </w:r>
      <w:r w:rsidR="00FB4E59" w:rsidRPr="009A7A7D">
        <w:rPr>
          <w:rFonts w:cs="Times New Roman"/>
          <w:lang w:val="en-US"/>
        </w:rPr>
        <w:t>4 and IL-10, and pro-inflammatory</w:t>
      </w:r>
      <w:r w:rsidR="005B1BB3" w:rsidRPr="009A7A7D">
        <w:rPr>
          <w:rFonts w:cs="Times New Roman"/>
          <w:lang w:val="en-US"/>
        </w:rPr>
        <w:t>,</w:t>
      </w:r>
      <w:r w:rsidR="004721D2" w:rsidRPr="009A7A7D">
        <w:rPr>
          <w:rFonts w:cs="Times New Roman"/>
          <w:lang w:val="en-US"/>
        </w:rPr>
        <w:t xml:space="preserve"> IL</w:t>
      </w:r>
      <w:r w:rsidR="00AB6A0A" w:rsidRPr="009A7A7D">
        <w:rPr>
          <w:rFonts w:cs="Times New Roman"/>
          <w:lang w:val="en-US"/>
        </w:rPr>
        <w:t>-</w:t>
      </w:r>
      <w:r w:rsidR="004721D2" w:rsidRPr="009A7A7D">
        <w:rPr>
          <w:rFonts w:cs="Times New Roman"/>
          <w:lang w:val="en-US"/>
        </w:rPr>
        <w:t>8 and tumor necrosis factor (TNF)</w:t>
      </w:r>
      <w:r w:rsidR="00377233">
        <w:rPr>
          <w:rFonts w:ascii="Calibri" w:hAnsi="Calibri" w:cs="Calibri"/>
          <w:lang w:val="en-US"/>
        </w:rPr>
        <w:t>α</w:t>
      </w:r>
      <w:r w:rsidR="008A7DB5" w:rsidRPr="009A7A7D">
        <w:rPr>
          <w:rFonts w:cs="Times New Roman"/>
          <w:lang w:val="en-US"/>
        </w:rPr>
        <w:t>,</w:t>
      </w:r>
      <w:r w:rsidR="004721D2" w:rsidRPr="009A7A7D">
        <w:rPr>
          <w:rFonts w:cs="Times New Roman"/>
          <w:lang w:val="en-US"/>
        </w:rPr>
        <w:t xml:space="preserve"> </w:t>
      </w:r>
      <w:r w:rsidR="00FB4E59" w:rsidRPr="009A7A7D">
        <w:rPr>
          <w:rFonts w:cs="Times New Roman"/>
          <w:lang w:val="en-US"/>
        </w:rPr>
        <w:t xml:space="preserve">in plasma </w:t>
      </w:r>
      <w:r w:rsidR="004721D2" w:rsidRPr="009A7A7D">
        <w:rPr>
          <w:rFonts w:cs="Times New Roman"/>
          <w:lang w:val="en-US"/>
        </w:rPr>
        <w:t>and serum amyloid A (SAA). Data were analyzed using PROC MIXED in SASv9.4 with repeated measures (time); horse</w:t>
      </w:r>
      <w:r w:rsidR="00192F89" w:rsidRPr="009A7A7D">
        <w:rPr>
          <w:rFonts w:cs="Times New Roman"/>
          <w:lang w:val="en-US"/>
        </w:rPr>
        <w:t xml:space="preserve"> within </w:t>
      </w:r>
      <w:r w:rsidR="004721D2" w:rsidRPr="009A7A7D">
        <w:rPr>
          <w:rFonts w:cs="Times New Roman"/>
          <w:lang w:val="en-US"/>
        </w:rPr>
        <w:t xml:space="preserve">treatment </w:t>
      </w:r>
      <w:r w:rsidR="00192F89" w:rsidRPr="009A7A7D">
        <w:rPr>
          <w:rFonts w:cs="Times New Roman"/>
          <w:lang w:val="en-US"/>
        </w:rPr>
        <w:t>(</w:t>
      </w:r>
      <w:proofErr w:type="spellStart"/>
      <w:r w:rsidR="004721D2" w:rsidRPr="009A7A7D">
        <w:rPr>
          <w:rFonts w:cs="Times New Roman"/>
          <w:lang w:val="en-US"/>
        </w:rPr>
        <w:t>trt</w:t>
      </w:r>
      <w:proofErr w:type="spellEnd"/>
      <w:r w:rsidR="004721D2" w:rsidRPr="009A7A7D">
        <w:rPr>
          <w:rFonts w:cs="Times New Roman"/>
          <w:lang w:val="en-US"/>
        </w:rPr>
        <w:t xml:space="preserve">) was a random effect and sex, </w:t>
      </w:r>
      <w:proofErr w:type="spellStart"/>
      <w:r w:rsidR="004721D2" w:rsidRPr="009A7A7D">
        <w:rPr>
          <w:rFonts w:cs="Times New Roman"/>
          <w:lang w:val="en-US"/>
        </w:rPr>
        <w:t>trt</w:t>
      </w:r>
      <w:proofErr w:type="spellEnd"/>
      <w:r w:rsidR="004721D2" w:rsidRPr="009A7A7D">
        <w:rPr>
          <w:rFonts w:cs="Times New Roman"/>
          <w:lang w:val="en-US"/>
        </w:rPr>
        <w:t>, time</w:t>
      </w:r>
      <w:r w:rsidR="00192F89" w:rsidRPr="009A7A7D">
        <w:rPr>
          <w:rFonts w:cs="Times New Roman"/>
          <w:lang w:val="en-US"/>
        </w:rPr>
        <w:t xml:space="preserve"> pre/post-SET</w:t>
      </w:r>
      <w:r w:rsidR="004721D2" w:rsidRPr="009A7A7D">
        <w:rPr>
          <w:rFonts w:cs="Times New Roman"/>
          <w:lang w:val="en-US"/>
        </w:rPr>
        <w:t xml:space="preserve">, </w:t>
      </w:r>
      <w:r w:rsidR="00192F89" w:rsidRPr="009A7A7D">
        <w:rPr>
          <w:rFonts w:cs="Times New Roman"/>
          <w:lang w:val="en-US"/>
        </w:rPr>
        <w:t xml:space="preserve">time of exercise (AM v PM), </w:t>
      </w:r>
      <w:r w:rsidR="004721D2" w:rsidRPr="009A7A7D">
        <w:rPr>
          <w:rFonts w:cs="Times New Roman"/>
          <w:lang w:val="en-US"/>
        </w:rPr>
        <w:t xml:space="preserve">and </w:t>
      </w:r>
      <w:r w:rsidR="00192F89" w:rsidRPr="009A7A7D">
        <w:rPr>
          <w:rFonts w:cs="Times New Roman"/>
          <w:lang w:val="en-US"/>
        </w:rPr>
        <w:t xml:space="preserve">all </w:t>
      </w:r>
      <w:r w:rsidR="004721D2" w:rsidRPr="009A7A7D">
        <w:rPr>
          <w:rFonts w:cs="Times New Roman"/>
        </w:rPr>
        <w:t>interactions were fixed effects</w:t>
      </w:r>
      <w:r w:rsidR="00FB4E59" w:rsidRPr="009A7A7D">
        <w:rPr>
          <w:rFonts w:eastAsiaTheme="minorEastAsia" w:cs="Times New Roman"/>
        </w:rPr>
        <w:t xml:space="preserve">. </w:t>
      </w:r>
      <w:r>
        <w:rPr>
          <w:rFonts w:eastAsiaTheme="minorEastAsia" w:cs="Times New Roman"/>
        </w:rPr>
        <w:t>D</w:t>
      </w:r>
      <w:r w:rsidR="00FB4E59" w:rsidRPr="009A7A7D">
        <w:rPr>
          <w:rFonts w:eastAsiaTheme="minorEastAsia" w:cs="Times New Roman"/>
        </w:rPr>
        <w:t xml:space="preserve">ata presented as least squared means </w:t>
      </w:r>
      <w:r w:rsidR="00FB4E59" w:rsidRPr="009A7A7D">
        <w:rPr>
          <w:rFonts w:cs="Times New Roman"/>
        </w:rPr>
        <w:t>± SEM.</w:t>
      </w:r>
    </w:p>
    <w:p w14:paraId="35CAF992" w14:textId="43ABAA1F" w:rsidR="007B30E3" w:rsidRPr="009A7A7D" w:rsidRDefault="007B30E3">
      <w:pPr>
        <w:rPr>
          <w:rFonts w:cs="Times New Roman"/>
          <w:b/>
          <w:bCs/>
          <w:lang w:val="en-US"/>
        </w:rPr>
      </w:pPr>
      <w:r w:rsidRPr="009A7A7D">
        <w:rPr>
          <w:rFonts w:cs="Times New Roman"/>
          <w:b/>
          <w:bCs/>
          <w:lang w:val="en-US"/>
        </w:rPr>
        <w:t>Results</w:t>
      </w:r>
    </w:p>
    <w:p w14:paraId="3D5C9672" w14:textId="1F0928E7" w:rsidR="007B30E3" w:rsidRPr="009A7A7D" w:rsidRDefault="004721D2">
      <w:pPr>
        <w:rPr>
          <w:rFonts w:cs="Times New Roman"/>
        </w:rPr>
      </w:pPr>
      <w:r w:rsidRPr="009A7A7D">
        <w:rPr>
          <w:rFonts w:cs="Times New Roman"/>
        </w:rPr>
        <w:t xml:space="preserve">Regardless of </w:t>
      </w:r>
      <w:proofErr w:type="spellStart"/>
      <w:r w:rsidRPr="009A7A7D">
        <w:rPr>
          <w:rFonts w:cs="Times New Roman"/>
        </w:rPr>
        <w:t>trt</w:t>
      </w:r>
      <w:proofErr w:type="spellEnd"/>
      <w:r w:rsidRPr="009A7A7D">
        <w:rPr>
          <w:rFonts w:cs="Times New Roman"/>
        </w:rPr>
        <w:t xml:space="preserve"> or AM/PM, IL</w:t>
      </w:r>
      <w:r w:rsidR="00AB6A0A" w:rsidRPr="009A7A7D">
        <w:rPr>
          <w:rFonts w:cs="Times New Roman"/>
        </w:rPr>
        <w:t>-</w:t>
      </w:r>
      <w:r w:rsidRPr="009A7A7D">
        <w:rPr>
          <w:rFonts w:cs="Times New Roman"/>
        </w:rPr>
        <w:t>10 increased from T-2</w:t>
      </w:r>
      <w:r w:rsidR="003D367F" w:rsidRPr="009A7A7D">
        <w:rPr>
          <w:rFonts w:cs="Times New Roman"/>
        </w:rPr>
        <w:t xml:space="preserve"> </w:t>
      </w:r>
      <w:r w:rsidRPr="009A7A7D">
        <w:rPr>
          <w:rFonts w:cs="Times New Roman"/>
        </w:rPr>
        <w:t>to T</w:t>
      </w:r>
      <w:r w:rsidR="007B7D30" w:rsidRPr="009A7A7D">
        <w:rPr>
          <w:rFonts w:cs="Times New Roman"/>
        </w:rPr>
        <w:t>0</w:t>
      </w:r>
      <w:r w:rsidRPr="009A7A7D">
        <w:rPr>
          <w:rFonts w:cs="Times New Roman"/>
        </w:rPr>
        <w:t xml:space="preserve"> (</w:t>
      </w:r>
      <w:r w:rsidR="00FB4E59" w:rsidRPr="009A7A7D">
        <w:rPr>
          <w:rFonts w:cs="Times New Roman"/>
        </w:rPr>
        <w:t xml:space="preserve">92±8 </w:t>
      </w:r>
      <w:proofErr w:type="spellStart"/>
      <w:r w:rsidR="00FB4E59" w:rsidRPr="009A7A7D">
        <w:rPr>
          <w:rFonts w:cs="Times New Roman"/>
        </w:rPr>
        <w:t>pg</w:t>
      </w:r>
      <w:proofErr w:type="spellEnd"/>
      <w:r w:rsidR="00FB4E59" w:rsidRPr="009A7A7D">
        <w:rPr>
          <w:rFonts w:cs="Times New Roman"/>
        </w:rPr>
        <w:t xml:space="preserve">/mL to </w:t>
      </w:r>
      <w:r w:rsidR="007B7D30" w:rsidRPr="009A7A7D">
        <w:rPr>
          <w:rFonts w:cs="Times New Roman"/>
        </w:rPr>
        <w:t xml:space="preserve">99±8 </w:t>
      </w:r>
      <w:proofErr w:type="spellStart"/>
      <w:r w:rsidR="007B7D30" w:rsidRPr="009A7A7D">
        <w:rPr>
          <w:rFonts w:cs="Times New Roman"/>
        </w:rPr>
        <w:t>pg</w:t>
      </w:r>
      <w:proofErr w:type="spellEnd"/>
      <w:r w:rsidR="007B7D30" w:rsidRPr="009A7A7D">
        <w:rPr>
          <w:rFonts w:cs="Times New Roman"/>
        </w:rPr>
        <w:t>/mL</w:t>
      </w:r>
      <w:r w:rsidR="007D0382" w:rsidRPr="009A7A7D">
        <w:rPr>
          <w:rFonts w:cs="Times New Roman"/>
        </w:rPr>
        <w:t>,</w:t>
      </w:r>
      <w:r w:rsidR="007B7D30" w:rsidRPr="009A7A7D">
        <w:rPr>
          <w:rFonts w:cs="Times New Roman"/>
        </w:rPr>
        <w:t xml:space="preserve"> </w:t>
      </w:r>
      <w:r w:rsidRPr="009A7A7D">
        <w:rPr>
          <w:rFonts w:cs="Times New Roman"/>
          <w:i/>
          <w:iCs/>
        </w:rPr>
        <w:t>P</w:t>
      </w:r>
      <w:r w:rsidR="00FB4E59" w:rsidRPr="009A7A7D">
        <w:rPr>
          <w:rFonts w:cs="Times New Roman"/>
        </w:rPr>
        <w:t>=</w:t>
      </w:r>
      <w:r w:rsidRPr="009A7A7D">
        <w:rPr>
          <w:rFonts w:cs="Times New Roman"/>
        </w:rPr>
        <w:t>0.02) but returned to T-2 levels by T4</w:t>
      </w:r>
      <w:r w:rsidR="007521F3" w:rsidRPr="009A7A7D">
        <w:rPr>
          <w:rFonts w:cs="Times New Roman"/>
        </w:rPr>
        <w:t xml:space="preserve"> (91±8</w:t>
      </w:r>
      <w:r w:rsidR="00377233">
        <w:rPr>
          <w:rFonts w:cs="Times New Roman"/>
        </w:rPr>
        <w:t xml:space="preserve"> </w:t>
      </w:r>
      <w:proofErr w:type="spellStart"/>
      <w:r w:rsidR="007521F3" w:rsidRPr="009A7A7D">
        <w:rPr>
          <w:rFonts w:cs="Times New Roman"/>
        </w:rPr>
        <w:t>pg</w:t>
      </w:r>
      <w:proofErr w:type="spellEnd"/>
      <w:r w:rsidR="007521F3" w:rsidRPr="009A7A7D">
        <w:rPr>
          <w:rFonts w:cs="Times New Roman"/>
        </w:rPr>
        <w:t>/mL)</w:t>
      </w:r>
      <w:r w:rsidRPr="009A7A7D">
        <w:rPr>
          <w:rFonts w:cs="Times New Roman"/>
        </w:rPr>
        <w:t>.</w:t>
      </w:r>
      <w:r w:rsidR="003678F1" w:rsidRPr="009A7A7D">
        <w:rPr>
          <w:rFonts w:cs="Times New Roman"/>
        </w:rPr>
        <w:t xml:space="preserve"> </w:t>
      </w:r>
      <w:r w:rsidRPr="009A7A7D">
        <w:rPr>
          <w:rFonts w:cs="Times New Roman"/>
        </w:rPr>
        <w:t xml:space="preserve">Regardless of </w:t>
      </w:r>
      <w:proofErr w:type="spellStart"/>
      <w:r w:rsidRPr="009A7A7D">
        <w:rPr>
          <w:rFonts w:cs="Times New Roman"/>
        </w:rPr>
        <w:t>trt</w:t>
      </w:r>
      <w:proofErr w:type="spellEnd"/>
      <w:r w:rsidRPr="009A7A7D">
        <w:rPr>
          <w:rFonts w:cs="Times New Roman"/>
        </w:rPr>
        <w:t>, IL</w:t>
      </w:r>
      <w:r w:rsidR="00AB6A0A" w:rsidRPr="009A7A7D">
        <w:rPr>
          <w:rFonts w:cs="Times New Roman"/>
        </w:rPr>
        <w:t>-</w:t>
      </w:r>
      <w:r w:rsidRPr="009A7A7D">
        <w:rPr>
          <w:rFonts w:cs="Times New Roman"/>
        </w:rPr>
        <w:t>8 tended to increase from T-2</w:t>
      </w:r>
      <w:r w:rsidR="007D4749" w:rsidRPr="009A7A7D">
        <w:rPr>
          <w:rFonts w:cs="Times New Roman"/>
        </w:rPr>
        <w:t xml:space="preserve"> </w:t>
      </w:r>
      <w:r w:rsidRPr="009A7A7D">
        <w:rPr>
          <w:rFonts w:cs="Times New Roman"/>
        </w:rPr>
        <w:t>to T0</w:t>
      </w:r>
      <w:r w:rsidR="007D4749" w:rsidRPr="009A7A7D">
        <w:rPr>
          <w:rFonts w:cs="Times New Roman"/>
        </w:rPr>
        <w:t xml:space="preserve"> (</w:t>
      </w:r>
      <w:r w:rsidR="00FB4E59" w:rsidRPr="009A7A7D">
        <w:rPr>
          <w:rFonts w:cs="Times New Roman"/>
        </w:rPr>
        <w:t>982±109</w:t>
      </w:r>
      <w:r w:rsidR="00377233">
        <w:rPr>
          <w:rFonts w:cs="Times New Roman"/>
        </w:rPr>
        <w:t xml:space="preserve"> </w:t>
      </w:r>
      <w:proofErr w:type="spellStart"/>
      <w:r w:rsidR="00FB4E59" w:rsidRPr="009A7A7D">
        <w:rPr>
          <w:rFonts w:cs="Times New Roman"/>
        </w:rPr>
        <w:t>pg</w:t>
      </w:r>
      <w:proofErr w:type="spellEnd"/>
      <w:r w:rsidR="00FB4E59" w:rsidRPr="009A7A7D">
        <w:rPr>
          <w:rFonts w:cs="Times New Roman"/>
        </w:rPr>
        <w:t xml:space="preserve">/mL to </w:t>
      </w:r>
      <w:r w:rsidR="007D4749" w:rsidRPr="009A7A7D">
        <w:rPr>
          <w:rFonts w:cs="Times New Roman"/>
        </w:rPr>
        <w:t>1,150±108</w:t>
      </w:r>
      <w:r w:rsidR="00377233">
        <w:rPr>
          <w:rFonts w:cs="Times New Roman"/>
        </w:rPr>
        <w:t xml:space="preserve"> </w:t>
      </w:r>
      <w:proofErr w:type="spellStart"/>
      <w:r w:rsidR="007D4749" w:rsidRPr="009A7A7D">
        <w:rPr>
          <w:rFonts w:cs="Times New Roman"/>
        </w:rPr>
        <w:t>pg</w:t>
      </w:r>
      <w:proofErr w:type="spellEnd"/>
      <w:r w:rsidR="007D4749" w:rsidRPr="009A7A7D">
        <w:rPr>
          <w:rFonts w:cs="Times New Roman"/>
        </w:rPr>
        <w:t>/mL)</w:t>
      </w:r>
      <w:r w:rsidRPr="009A7A7D">
        <w:rPr>
          <w:rFonts w:cs="Times New Roman"/>
        </w:rPr>
        <w:t xml:space="preserve"> in PM SET</w:t>
      </w:r>
      <w:r w:rsidR="00AB6A0A" w:rsidRPr="009A7A7D">
        <w:rPr>
          <w:rFonts w:cs="Times New Roman"/>
        </w:rPr>
        <w:t xml:space="preserve"> </w:t>
      </w:r>
      <w:r w:rsidRPr="009A7A7D">
        <w:rPr>
          <w:rFonts w:cs="Times New Roman"/>
        </w:rPr>
        <w:t>(</w:t>
      </w:r>
      <w:r w:rsidRPr="009A7A7D">
        <w:rPr>
          <w:rFonts w:cs="Times New Roman"/>
          <w:i/>
          <w:iCs/>
        </w:rPr>
        <w:t>P=</w:t>
      </w:r>
      <w:r w:rsidRPr="009A7A7D">
        <w:rPr>
          <w:rFonts w:cs="Times New Roman"/>
        </w:rPr>
        <w:t xml:space="preserve">0.06) but decreased during that time in the AM </w:t>
      </w:r>
      <w:r w:rsidR="00192F89" w:rsidRPr="009A7A7D">
        <w:rPr>
          <w:rFonts w:cs="Times New Roman"/>
        </w:rPr>
        <w:t xml:space="preserve">SET </w:t>
      </w:r>
      <w:r w:rsidRPr="009A7A7D">
        <w:rPr>
          <w:rFonts w:cs="Times New Roman"/>
        </w:rPr>
        <w:t>(</w:t>
      </w:r>
      <w:r w:rsidR="007D4749" w:rsidRPr="009A7A7D">
        <w:rPr>
          <w:rFonts w:cs="Times New Roman"/>
        </w:rPr>
        <w:t>1</w:t>
      </w:r>
      <w:r w:rsidR="003678F1" w:rsidRPr="009A7A7D">
        <w:rPr>
          <w:rFonts w:cs="Times New Roman"/>
        </w:rPr>
        <w:t>,</w:t>
      </w:r>
      <w:r w:rsidR="007D4749" w:rsidRPr="009A7A7D">
        <w:rPr>
          <w:rFonts w:cs="Times New Roman"/>
        </w:rPr>
        <w:t>140±108</w:t>
      </w:r>
      <w:r w:rsidR="00B66F10" w:rsidRPr="009A7A7D">
        <w:rPr>
          <w:rFonts w:cs="Times New Roman"/>
        </w:rPr>
        <w:t xml:space="preserve"> </w:t>
      </w:r>
      <w:proofErr w:type="spellStart"/>
      <w:r w:rsidR="007D0382" w:rsidRPr="009A7A7D">
        <w:rPr>
          <w:rFonts w:cs="Times New Roman"/>
        </w:rPr>
        <w:t>pg</w:t>
      </w:r>
      <w:proofErr w:type="spellEnd"/>
      <w:r w:rsidR="007D0382" w:rsidRPr="009A7A7D">
        <w:rPr>
          <w:rFonts w:cs="Times New Roman"/>
        </w:rPr>
        <w:t>/mL</w:t>
      </w:r>
      <w:r w:rsidR="0028473B" w:rsidRPr="009A7A7D">
        <w:rPr>
          <w:rFonts w:cs="Times New Roman"/>
        </w:rPr>
        <w:t xml:space="preserve"> to </w:t>
      </w:r>
      <w:r w:rsidR="007D0382" w:rsidRPr="009A7A7D">
        <w:rPr>
          <w:rFonts w:cs="Times New Roman"/>
        </w:rPr>
        <w:t>965±110</w:t>
      </w:r>
      <w:r w:rsidR="00377233">
        <w:rPr>
          <w:rFonts w:cs="Times New Roman"/>
        </w:rPr>
        <w:t xml:space="preserve"> </w:t>
      </w:r>
      <w:proofErr w:type="spellStart"/>
      <w:r w:rsidR="007D0382" w:rsidRPr="009A7A7D">
        <w:rPr>
          <w:rFonts w:cs="Times New Roman"/>
        </w:rPr>
        <w:t>pg</w:t>
      </w:r>
      <w:proofErr w:type="spellEnd"/>
      <w:r w:rsidR="007D0382" w:rsidRPr="009A7A7D">
        <w:rPr>
          <w:rFonts w:cs="Times New Roman"/>
        </w:rPr>
        <w:t xml:space="preserve">/mL, </w:t>
      </w:r>
      <w:r w:rsidRPr="009A7A7D">
        <w:rPr>
          <w:rFonts w:cs="Times New Roman"/>
          <w:i/>
          <w:iCs/>
        </w:rPr>
        <w:t>P</w:t>
      </w:r>
      <w:r w:rsidRPr="009A7A7D">
        <w:rPr>
          <w:rFonts w:cs="Times New Roman"/>
        </w:rPr>
        <w:t>=0.05)</w:t>
      </w:r>
      <w:r w:rsidRPr="009A7A7D">
        <w:rPr>
          <w:rFonts w:cs="Times New Roman"/>
          <w:i/>
          <w:iCs/>
        </w:rPr>
        <w:t xml:space="preserve"> </w:t>
      </w:r>
      <w:r w:rsidRPr="009A7A7D">
        <w:rPr>
          <w:rFonts w:cs="Times New Roman"/>
        </w:rPr>
        <w:t>resulting in IL</w:t>
      </w:r>
      <w:r w:rsidR="00AB6A0A" w:rsidRPr="009A7A7D">
        <w:rPr>
          <w:rFonts w:cs="Times New Roman"/>
        </w:rPr>
        <w:t>-</w:t>
      </w:r>
      <w:r w:rsidRPr="009A7A7D">
        <w:rPr>
          <w:rFonts w:cs="Times New Roman"/>
        </w:rPr>
        <w:t xml:space="preserve">8 being greater at T0 </w:t>
      </w:r>
      <w:r w:rsidR="00192F89" w:rsidRPr="009A7A7D">
        <w:rPr>
          <w:rFonts w:cs="Times New Roman"/>
        </w:rPr>
        <w:t xml:space="preserve">in the </w:t>
      </w:r>
      <w:r w:rsidRPr="009A7A7D">
        <w:rPr>
          <w:rFonts w:cs="Times New Roman"/>
        </w:rPr>
        <w:t xml:space="preserve">PM </w:t>
      </w:r>
      <w:r w:rsidR="00192F89" w:rsidRPr="009A7A7D">
        <w:rPr>
          <w:rFonts w:cs="Times New Roman"/>
        </w:rPr>
        <w:t xml:space="preserve">compared to the </w:t>
      </w:r>
      <w:r w:rsidRPr="009A7A7D">
        <w:rPr>
          <w:rFonts w:cs="Times New Roman"/>
        </w:rPr>
        <w:t>AM SET (</w:t>
      </w:r>
      <w:r w:rsidRPr="009A7A7D">
        <w:rPr>
          <w:rFonts w:cs="Times New Roman"/>
          <w:i/>
          <w:iCs/>
        </w:rPr>
        <w:t>P=</w:t>
      </w:r>
      <w:r w:rsidRPr="009A7A7D">
        <w:rPr>
          <w:rFonts w:cs="Times New Roman"/>
        </w:rPr>
        <w:t>0.04).</w:t>
      </w:r>
      <w:r w:rsidR="00B66F10" w:rsidRPr="009A7A7D">
        <w:rPr>
          <w:rFonts w:cs="Times New Roman"/>
        </w:rPr>
        <w:t xml:space="preserve"> </w:t>
      </w:r>
      <w:r w:rsidR="003678F1" w:rsidRPr="009A7A7D">
        <w:rPr>
          <w:rFonts w:cs="Times New Roman"/>
        </w:rPr>
        <w:t>In the AM,</w:t>
      </w:r>
      <w:r w:rsidRPr="009A7A7D">
        <w:rPr>
          <w:rFonts w:cs="Times New Roman"/>
        </w:rPr>
        <w:t xml:space="preserve"> IL</w:t>
      </w:r>
      <w:r w:rsidR="00AB6A0A" w:rsidRPr="009A7A7D">
        <w:rPr>
          <w:rFonts w:cs="Times New Roman"/>
        </w:rPr>
        <w:t>-</w:t>
      </w:r>
      <w:r w:rsidRPr="009A7A7D">
        <w:rPr>
          <w:rFonts w:cs="Times New Roman"/>
        </w:rPr>
        <w:t>8 continued to decrease to T4 (</w:t>
      </w:r>
      <w:r w:rsidR="003678F1" w:rsidRPr="009A7A7D">
        <w:rPr>
          <w:rFonts w:cs="Times New Roman"/>
        </w:rPr>
        <w:t xml:space="preserve">857±109 </w:t>
      </w:r>
      <w:proofErr w:type="spellStart"/>
      <w:r w:rsidR="003678F1" w:rsidRPr="009A7A7D">
        <w:rPr>
          <w:rFonts w:cs="Times New Roman"/>
        </w:rPr>
        <w:t>pg</w:t>
      </w:r>
      <w:proofErr w:type="spellEnd"/>
      <w:r w:rsidR="003678F1" w:rsidRPr="009A7A7D">
        <w:rPr>
          <w:rFonts w:cs="Times New Roman"/>
        </w:rPr>
        <w:t xml:space="preserve">/mL, </w:t>
      </w:r>
      <w:r w:rsidRPr="009A7A7D">
        <w:rPr>
          <w:rFonts w:cs="Times New Roman"/>
          <w:i/>
          <w:iCs/>
        </w:rPr>
        <w:t>P</w:t>
      </w:r>
      <w:r w:rsidRPr="009A7A7D">
        <w:rPr>
          <w:rFonts w:cs="Times New Roman"/>
        </w:rPr>
        <w:t>=0.002) but returned to T-2 levels by T10</w:t>
      </w:r>
      <w:r w:rsidR="00B66F10" w:rsidRPr="009A7A7D">
        <w:rPr>
          <w:rFonts w:cs="Times New Roman"/>
        </w:rPr>
        <w:t xml:space="preserve"> (1,070±109 </w:t>
      </w:r>
      <w:proofErr w:type="spellStart"/>
      <w:r w:rsidR="00B66F10" w:rsidRPr="009A7A7D">
        <w:rPr>
          <w:rFonts w:cs="Times New Roman"/>
        </w:rPr>
        <w:t>pg</w:t>
      </w:r>
      <w:proofErr w:type="spellEnd"/>
      <w:r w:rsidR="00B66F10" w:rsidRPr="009A7A7D">
        <w:rPr>
          <w:rFonts w:cs="Times New Roman"/>
        </w:rPr>
        <w:t xml:space="preserve">/mL). </w:t>
      </w:r>
      <w:r w:rsidRPr="009A7A7D">
        <w:rPr>
          <w:rFonts w:cs="Times New Roman"/>
        </w:rPr>
        <w:t>In the PM, IL</w:t>
      </w:r>
      <w:r w:rsidR="00AB6A0A" w:rsidRPr="009A7A7D">
        <w:rPr>
          <w:rFonts w:cs="Times New Roman"/>
        </w:rPr>
        <w:t>-</w:t>
      </w:r>
      <w:r w:rsidRPr="009A7A7D">
        <w:rPr>
          <w:rFonts w:cs="Times New Roman"/>
        </w:rPr>
        <w:t>8 returned to T-2 levels</w:t>
      </w:r>
      <w:r w:rsidR="00B66F10" w:rsidRPr="009A7A7D">
        <w:rPr>
          <w:rFonts w:cs="Times New Roman"/>
        </w:rPr>
        <w:t xml:space="preserve"> (982±109 </w:t>
      </w:r>
      <w:proofErr w:type="spellStart"/>
      <w:r w:rsidR="00B66F10" w:rsidRPr="009A7A7D">
        <w:rPr>
          <w:rFonts w:cs="Times New Roman"/>
        </w:rPr>
        <w:t>pg</w:t>
      </w:r>
      <w:proofErr w:type="spellEnd"/>
      <w:r w:rsidR="00B66F10" w:rsidRPr="009A7A7D">
        <w:rPr>
          <w:rFonts w:cs="Times New Roman"/>
        </w:rPr>
        <w:t>/mL)</w:t>
      </w:r>
      <w:r w:rsidRPr="009A7A7D">
        <w:rPr>
          <w:rFonts w:cs="Times New Roman"/>
        </w:rPr>
        <w:t xml:space="preserve"> by T4</w:t>
      </w:r>
      <w:r w:rsidR="003678F1" w:rsidRPr="009A7A7D">
        <w:rPr>
          <w:rFonts w:cs="Times New Roman"/>
        </w:rPr>
        <w:t xml:space="preserve"> (1,025±109 </w:t>
      </w:r>
      <w:proofErr w:type="spellStart"/>
      <w:r w:rsidR="003678F1" w:rsidRPr="009A7A7D">
        <w:rPr>
          <w:rFonts w:cs="Times New Roman"/>
        </w:rPr>
        <w:t>pg</w:t>
      </w:r>
      <w:proofErr w:type="spellEnd"/>
      <w:r w:rsidR="003678F1" w:rsidRPr="009A7A7D">
        <w:rPr>
          <w:rFonts w:cs="Times New Roman"/>
        </w:rPr>
        <w:t>/mL)</w:t>
      </w:r>
      <w:r w:rsidRPr="009A7A7D">
        <w:rPr>
          <w:rFonts w:cs="Times New Roman"/>
        </w:rPr>
        <w:t>, tended to increase to T10 (</w:t>
      </w:r>
      <w:r w:rsidR="003678F1" w:rsidRPr="009A7A7D">
        <w:rPr>
          <w:rFonts w:cs="Times New Roman"/>
        </w:rPr>
        <w:t xml:space="preserve">1,191±109 </w:t>
      </w:r>
      <w:proofErr w:type="spellStart"/>
      <w:r w:rsidR="003678F1" w:rsidRPr="009A7A7D">
        <w:rPr>
          <w:rFonts w:cs="Times New Roman"/>
        </w:rPr>
        <w:t>pg</w:t>
      </w:r>
      <w:proofErr w:type="spellEnd"/>
      <w:r w:rsidR="003678F1" w:rsidRPr="009A7A7D">
        <w:rPr>
          <w:rFonts w:cs="Times New Roman"/>
        </w:rPr>
        <w:t xml:space="preserve">/mL, </w:t>
      </w:r>
      <w:r w:rsidRPr="009A7A7D">
        <w:rPr>
          <w:rFonts w:cs="Times New Roman"/>
          <w:i/>
          <w:iCs/>
        </w:rPr>
        <w:t>P=</w:t>
      </w:r>
      <w:r w:rsidRPr="009A7A7D">
        <w:rPr>
          <w:rFonts w:cs="Times New Roman"/>
        </w:rPr>
        <w:t>0.06) to be above T-2 (</w:t>
      </w:r>
      <w:r w:rsidRPr="009A7A7D">
        <w:rPr>
          <w:rFonts w:cs="Times New Roman"/>
          <w:i/>
          <w:iCs/>
        </w:rPr>
        <w:t>P=</w:t>
      </w:r>
      <w:r w:rsidRPr="009A7A7D">
        <w:rPr>
          <w:rFonts w:cs="Times New Roman"/>
        </w:rPr>
        <w:t>0.02), then returned to T-2 levels by T22</w:t>
      </w:r>
      <w:r w:rsidR="00B66F10" w:rsidRPr="009A7A7D">
        <w:rPr>
          <w:rFonts w:cs="Times New Roman"/>
        </w:rPr>
        <w:t xml:space="preserve"> (1,068±108 </w:t>
      </w:r>
      <w:proofErr w:type="spellStart"/>
      <w:r w:rsidR="00B66F10" w:rsidRPr="009A7A7D">
        <w:rPr>
          <w:rFonts w:cs="Times New Roman"/>
        </w:rPr>
        <w:t>pg</w:t>
      </w:r>
      <w:proofErr w:type="spellEnd"/>
      <w:r w:rsidR="00B66F10" w:rsidRPr="009A7A7D">
        <w:rPr>
          <w:rFonts w:cs="Times New Roman"/>
        </w:rPr>
        <w:t xml:space="preserve">/mL). </w:t>
      </w:r>
      <w:r w:rsidR="00046461" w:rsidRPr="009A7A7D">
        <w:rPr>
          <w:rFonts w:cs="Times New Roman"/>
        </w:rPr>
        <w:t>IL</w:t>
      </w:r>
      <w:r w:rsidR="00AB6A0A" w:rsidRPr="009A7A7D">
        <w:rPr>
          <w:rFonts w:cs="Times New Roman"/>
        </w:rPr>
        <w:t>-</w:t>
      </w:r>
      <w:r w:rsidR="00046461" w:rsidRPr="009A7A7D">
        <w:rPr>
          <w:rFonts w:cs="Times New Roman"/>
        </w:rPr>
        <w:t>10 and TNF</w:t>
      </w:r>
      <w:r w:rsidR="00BA757A">
        <w:rPr>
          <w:rFonts w:ascii="Calibri" w:hAnsi="Calibri" w:cs="Calibri"/>
        </w:rPr>
        <w:t>α</w:t>
      </w:r>
      <w:r w:rsidR="00046461" w:rsidRPr="009A7A7D">
        <w:rPr>
          <w:rFonts w:cs="Times New Roman"/>
        </w:rPr>
        <w:t xml:space="preserve"> were greater in COMP during PM SET</w:t>
      </w:r>
      <w:r w:rsidR="002819F5">
        <w:rPr>
          <w:rFonts w:cs="Times New Roman"/>
        </w:rPr>
        <w:t xml:space="preserve"> than</w:t>
      </w:r>
      <w:r w:rsidR="00573BC7" w:rsidRPr="009A7A7D">
        <w:rPr>
          <w:rFonts w:cs="Times New Roman"/>
        </w:rPr>
        <w:t xml:space="preserve"> AM SET</w:t>
      </w:r>
      <w:r w:rsidR="00046461" w:rsidRPr="009A7A7D">
        <w:rPr>
          <w:rFonts w:cs="Times New Roman"/>
        </w:rPr>
        <w:t xml:space="preserve"> (</w:t>
      </w:r>
      <w:r w:rsidR="00046461" w:rsidRPr="009A7A7D">
        <w:rPr>
          <w:rFonts w:cs="Times New Roman"/>
          <w:i/>
          <w:iCs/>
        </w:rPr>
        <w:t>P</w:t>
      </w:r>
      <w:r w:rsidR="00FB4E59" w:rsidRPr="009A7A7D">
        <w:rPr>
          <w:rFonts w:cs="Times New Roman"/>
        </w:rPr>
        <w:t>&lt;</w:t>
      </w:r>
      <w:r w:rsidR="00046461" w:rsidRPr="009A7A7D">
        <w:rPr>
          <w:rFonts w:cs="Times New Roman"/>
        </w:rPr>
        <w:t>0.0</w:t>
      </w:r>
      <w:r w:rsidR="00FB4E59" w:rsidRPr="009A7A7D">
        <w:rPr>
          <w:rFonts w:cs="Times New Roman"/>
        </w:rPr>
        <w:t>5</w:t>
      </w:r>
      <w:r w:rsidR="001410BD" w:rsidRPr="009A7A7D">
        <w:rPr>
          <w:rFonts w:cs="Times New Roman"/>
        </w:rPr>
        <w:t>; Table 1</w:t>
      </w:r>
      <w:r w:rsidR="00046461" w:rsidRPr="009A7A7D">
        <w:rPr>
          <w:rFonts w:cs="Times New Roman"/>
        </w:rPr>
        <w:t>). For CON, IL</w:t>
      </w:r>
      <w:r w:rsidR="00AB6A0A" w:rsidRPr="009A7A7D">
        <w:rPr>
          <w:rFonts w:cs="Times New Roman"/>
        </w:rPr>
        <w:t>-</w:t>
      </w:r>
      <w:r w:rsidR="00046461" w:rsidRPr="009A7A7D">
        <w:rPr>
          <w:rFonts w:cs="Times New Roman"/>
        </w:rPr>
        <w:t>4 was greater (</w:t>
      </w:r>
      <w:r w:rsidR="00046461" w:rsidRPr="009A7A7D">
        <w:rPr>
          <w:rFonts w:cs="Times New Roman"/>
          <w:i/>
          <w:iCs/>
        </w:rPr>
        <w:t>P</w:t>
      </w:r>
      <w:r w:rsidR="00046461" w:rsidRPr="009A7A7D">
        <w:rPr>
          <w:rFonts w:cs="Times New Roman"/>
        </w:rPr>
        <w:t>&lt;0.0001) and TNF</w:t>
      </w:r>
      <w:r w:rsidR="00377233">
        <w:rPr>
          <w:rFonts w:ascii="Calibri" w:hAnsi="Calibri" w:cs="Calibri"/>
        </w:rPr>
        <w:t>α</w:t>
      </w:r>
      <w:r w:rsidR="00377233">
        <w:rPr>
          <w:rFonts w:cs="Times New Roman"/>
        </w:rPr>
        <w:t xml:space="preserve"> </w:t>
      </w:r>
      <w:r w:rsidR="00046461" w:rsidRPr="009A7A7D">
        <w:rPr>
          <w:rFonts w:cs="Times New Roman"/>
        </w:rPr>
        <w:t>tended to be lesser (</w:t>
      </w:r>
      <w:r w:rsidR="00046461" w:rsidRPr="009A7A7D">
        <w:rPr>
          <w:rFonts w:cs="Times New Roman"/>
          <w:i/>
          <w:iCs/>
        </w:rPr>
        <w:t>P</w:t>
      </w:r>
      <w:r w:rsidR="00046461" w:rsidRPr="009A7A7D">
        <w:rPr>
          <w:rFonts w:cs="Times New Roman"/>
        </w:rPr>
        <w:t>=0.07) in the</w:t>
      </w:r>
      <w:r w:rsidR="00046461" w:rsidRPr="009A7A7D">
        <w:rPr>
          <w:rFonts w:cs="Times New Roman"/>
          <w:i/>
          <w:iCs/>
        </w:rPr>
        <w:t xml:space="preserve"> </w:t>
      </w:r>
      <w:r w:rsidR="00046461" w:rsidRPr="009A7A7D">
        <w:rPr>
          <w:rFonts w:cs="Times New Roman"/>
        </w:rPr>
        <w:t xml:space="preserve">PM SET than AM SET. </w:t>
      </w:r>
      <w:r w:rsidR="00192F89" w:rsidRPr="009A7A7D">
        <w:rPr>
          <w:rFonts w:cs="Times New Roman"/>
        </w:rPr>
        <w:t>Conversely</w:t>
      </w:r>
      <w:r w:rsidR="00046461" w:rsidRPr="009A7A7D">
        <w:rPr>
          <w:rFonts w:cs="Times New Roman"/>
        </w:rPr>
        <w:t>, TNF</w:t>
      </w:r>
      <w:r w:rsidR="00BA757A">
        <w:rPr>
          <w:rFonts w:ascii="Calibri" w:hAnsi="Calibri" w:cs="Calibri"/>
        </w:rPr>
        <w:t>α</w:t>
      </w:r>
      <w:r w:rsidR="00046461" w:rsidRPr="009A7A7D">
        <w:rPr>
          <w:rFonts w:cs="Times New Roman"/>
        </w:rPr>
        <w:t xml:space="preserve"> tended to be greater in CIRC horses during the PM SET</w:t>
      </w:r>
      <w:r w:rsidR="00455FE2" w:rsidRPr="009A7A7D">
        <w:rPr>
          <w:rFonts w:cs="Times New Roman"/>
        </w:rPr>
        <w:t xml:space="preserve"> than AM SET (</w:t>
      </w:r>
      <w:r w:rsidR="00455FE2" w:rsidRPr="009A7A7D">
        <w:rPr>
          <w:rFonts w:cs="Times New Roman"/>
          <w:i/>
          <w:iCs/>
        </w:rPr>
        <w:t>P</w:t>
      </w:r>
      <w:r w:rsidR="00455FE2" w:rsidRPr="009A7A7D">
        <w:rPr>
          <w:rFonts w:cs="Times New Roman"/>
        </w:rPr>
        <w:t>=0.09)</w:t>
      </w:r>
      <w:r w:rsidR="00046461" w:rsidRPr="009A7A7D">
        <w:rPr>
          <w:rFonts w:cs="Times New Roman"/>
        </w:rPr>
        <w:t>.</w:t>
      </w:r>
      <w:r w:rsidR="00455FE2" w:rsidRPr="009A7A7D">
        <w:rPr>
          <w:rFonts w:cs="Times New Roman"/>
        </w:rPr>
        <w:t xml:space="preserve"> </w:t>
      </w:r>
      <w:r w:rsidR="00046461" w:rsidRPr="009A7A7D">
        <w:rPr>
          <w:rFonts w:cs="Times New Roman"/>
        </w:rPr>
        <w:t>During the PM SET, CON IL</w:t>
      </w:r>
      <w:r w:rsidR="00AB6A0A" w:rsidRPr="009A7A7D">
        <w:rPr>
          <w:rFonts w:cs="Times New Roman"/>
        </w:rPr>
        <w:t>-</w:t>
      </w:r>
      <w:r w:rsidR="00046461" w:rsidRPr="009A7A7D">
        <w:rPr>
          <w:rFonts w:cs="Times New Roman"/>
        </w:rPr>
        <w:t>4 was greater than CIRC (</w:t>
      </w:r>
      <w:r w:rsidR="00046461" w:rsidRPr="009A7A7D">
        <w:rPr>
          <w:rFonts w:cs="Times New Roman"/>
          <w:i/>
          <w:iCs/>
        </w:rPr>
        <w:t>P</w:t>
      </w:r>
      <w:r w:rsidR="00046461" w:rsidRPr="009A7A7D">
        <w:rPr>
          <w:rFonts w:cs="Times New Roman"/>
        </w:rPr>
        <w:t>=0.05)</w:t>
      </w:r>
      <w:r w:rsidR="00046461" w:rsidRPr="009A7A7D">
        <w:rPr>
          <w:rFonts w:cs="Times New Roman"/>
          <w:i/>
          <w:iCs/>
        </w:rPr>
        <w:t xml:space="preserve"> </w:t>
      </w:r>
      <w:r w:rsidR="00046461" w:rsidRPr="009A7A7D">
        <w:rPr>
          <w:rFonts w:cs="Times New Roman"/>
        </w:rPr>
        <w:t>and tended to be greater than COMP (</w:t>
      </w:r>
      <w:r w:rsidR="00046461" w:rsidRPr="009A7A7D">
        <w:rPr>
          <w:rFonts w:cs="Times New Roman"/>
          <w:i/>
          <w:iCs/>
        </w:rPr>
        <w:t>P</w:t>
      </w:r>
      <w:r w:rsidR="00046461" w:rsidRPr="009A7A7D">
        <w:rPr>
          <w:rFonts w:cs="Times New Roman"/>
        </w:rPr>
        <w:t>=0.08) while IL</w:t>
      </w:r>
      <w:r w:rsidR="00AB6A0A" w:rsidRPr="009A7A7D">
        <w:rPr>
          <w:rFonts w:cs="Times New Roman"/>
        </w:rPr>
        <w:t>-</w:t>
      </w:r>
      <w:r w:rsidR="00046461" w:rsidRPr="009A7A7D">
        <w:rPr>
          <w:rFonts w:cs="Times New Roman"/>
        </w:rPr>
        <w:t>10 and TNF</w:t>
      </w:r>
      <w:r w:rsidR="00BA757A">
        <w:rPr>
          <w:rFonts w:ascii="Calibri" w:hAnsi="Calibri" w:cs="Calibri"/>
        </w:rPr>
        <w:t>α</w:t>
      </w:r>
      <w:r w:rsidR="00046461" w:rsidRPr="009A7A7D">
        <w:rPr>
          <w:rFonts w:cs="Times New Roman"/>
        </w:rPr>
        <w:t xml:space="preserve"> tended to be greater in COMP than CON (</w:t>
      </w:r>
      <w:r w:rsidR="00046461" w:rsidRPr="009A7A7D">
        <w:rPr>
          <w:rFonts w:cs="Times New Roman"/>
          <w:i/>
          <w:iCs/>
        </w:rPr>
        <w:t>P</w:t>
      </w:r>
      <w:r w:rsidR="00046461" w:rsidRPr="009A7A7D">
        <w:rPr>
          <w:rFonts w:cs="Times New Roman"/>
        </w:rPr>
        <w:t>=0.09).</w:t>
      </w:r>
      <w:r w:rsidR="00455FE2" w:rsidRPr="009A7A7D">
        <w:rPr>
          <w:rFonts w:cs="Times New Roman"/>
        </w:rPr>
        <w:t xml:space="preserve"> </w:t>
      </w:r>
      <w:r w:rsidRPr="009A7A7D">
        <w:rPr>
          <w:rFonts w:cs="Times New Roman"/>
        </w:rPr>
        <w:t>In all horses at AM and PM, SAA increased from T-2 to T22 (</w:t>
      </w:r>
      <w:r w:rsidRPr="009A7A7D">
        <w:rPr>
          <w:rFonts w:cs="Times New Roman"/>
          <w:i/>
          <w:iCs/>
        </w:rPr>
        <w:t>P</w:t>
      </w:r>
      <w:r w:rsidR="00192F89" w:rsidRPr="009A7A7D">
        <w:rPr>
          <w:rFonts w:cs="Times New Roman"/>
        </w:rPr>
        <w:t>&lt;</w:t>
      </w:r>
      <w:r w:rsidRPr="009A7A7D">
        <w:rPr>
          <w:rFonts w:cs="Times New Roman"/>
        </w:rPr>
        <w:t>0.00</w:t>
      </w:r>
      <w:r w:rsidR="00192F89" w:rsidRPr="009A7A7D">
        <w:rPr>
          <w:rFonts w:cs="Times New Roman"/>
        </w:rPr>
        <w:t>1</w:t>
      </w:r>
      <w:r w:rsidRPr="009A7A7D">
        <w:rPr>
          <w:rFonts w:cs="Times New Roman"/>
        </w:rPr>
        <w:t>) and remained elevated at T28 (</w:t>
      </w:r>
      <w:r w:rsidRPr="009A7A7D">
        <w:rPr>
          <w:rFonts w:cs="Times New Roman"/>
          <w:i/>
          <w:iCs/>
        </w:rPr>
        <w:t>P</w:t>
      </w:r>
      <w:r w:rsidRPr="009A7A7D">
        <w:rPr>
          <w:rFonts w:cs="Times New Roman"/>
        </w:rPr>
        <w:t>&lt;0.0001</w:t>
      </w:r>
      <w:r w:rsidR="001410BD" w:rsidRPr="009A7A7D">
        <w:rPr>
          <w:rFonts w:cs="Times New Roman"/>
        </w:rPr>
        <w:t>; Figure 1</w:t>
      </w:r>
      <w:r w:rsidRPr="009A7A7D">
        <w:rPr>
          <w:rFonts w:cs="Times New Roman"/>
        </w:rPr>
        <w:t>). In CON and COMP, SAA then decreased at T46 (</w:t>
      </w:r>
      <w:r w:rsidRPr="009A7A7D">
        <w:rPr>
          <w:rFonts w:cs="Times New Roman"/>
          <w:i/>
          <w:iCs/>
        </w:rPr>
        <w:t>P</w:t>
      </w:r>
      <w:r w:rsidR="00FB4E59" w:rsidRPr="009A7A7D">
        <w:rPr>
          <w:rFonts w:cs="Times New Roman"/>
        </w:rPr>
        <w:t>&lt;</w:t>
      </w:r>
      <w:r w:rsidRPr="009A7A7D">
        <w:rPr>
          <w:rFonts w:cs="Times New Roman"/>
        </w:rPr>
        <w:t>0.0</w:t>
      </w:r>
      <w:r w:rsidR="00FB4E59" w:rsidRPr="009A7A7D">
        <w:rPr>
          <w:rFonts w:cs="Times New Roman"/>
        </w:rPr>
        <w:t>5</w:t>
      </w:r>
      <w:r w:rsidRPr="009A7A7D">
        <w:rPr>
          <w:rFonts w:cs="Times New Roman"/>
        </w:rPr>
        <w:t xml:space="preserve">) to be </w:t>
      </w:r>
      <w:proofErr w:type="gramStart"/>
      <w:r w:rsidRPr="009A7A7D">
        <w:rPr>
          <w:rFonts w:cs="Times New Roman"/>
        </w:rPr>
        <w:t>similar to</w:t>
      </w:r>
      <w:proofErr w:type="gramEnd"/>
      <w:r w:rsidRPr="009A7A7D">
        <w:rPr>
          <w:rFonts w:cs="Times New Roman"/>
        </w:rPr>
        <w:t xml:space="preserve"> T4 </w:t>
      </w:r>
      <w:r w:rsidRPr="009A7A7D">
        <w:rPr>
          <w:rFonts w:cs="Times New Roman"/>
        </w:rPr>
        <w:lastRenderedPageBreak/>
        <w:t>but above T-2 (</w:t>
      </w:r>
      <w:r w:rsidRPr="009A7A7D">
        <w:rPr>
          <w:rFonts w:cs="Times New Roman"/>
          <w:i/>
          <w:iCs/>
        </w:rPr>
        <w:t>P</w:t>
      </w:r>
      <w:r w:rsidR="00192F89" w:rsidRPr="009A7A7D">
        <w:rPr>
          <w:rFonts w:cs="Times New Roman"/>
        </w:rPr>
        <w:t>&lt;</w:t>
      </w:r>
      <w:r w:rsidRPr="009A7A7D">
        <w:rPr>
          <w:rFonts w:cs="Times New Roman"/>
        </w:rPr>
        <w:t>0.0</w:t>
      </w:r>
      <w:r w:rsidR="00192F89" w:rsidRPr="009A7A7D">
        <w:rPr>
          <w:rFonts w:cs="Times New Roman"/>
        </w:rPr>
        <w:t>5</w:t>
      </w:r>
      <w:r w:rsidRPr="009A7A7D">
        <w:rPr>
          <w:rFonts w:cs="Times New Roman"/>
        </w:rPr>
        <w:t>); in CIRC, SAA remained elevated at T46 in AM SET (</w:t>
      </w:r>
      <w:r w:rsidRPr="009A7A7D">
        <w:rPr>
          <w:rFonts w:cs="Times New Roman"/>
          <w:i/>
          <w:iCs/>
        </w:rPr>
        <w:t>P</w:t>
      </w:r>
      <w:r w:rsidR="00192F89" w:rsidRPr="009A7A7D">
        <w:rPr>
          <w:rFonts w:cs="Times New Roman"/>
        </w:rPr>
        <w:t>&lt;</w:t>
      </w:r>
      <w:r w:rsidRPr="009A7A7D">
        <w:rPr>
          <w:rFonts w:cs="Times New Roman"/>
        </w:rPr>
        <w:t>0.0</w:t>
      </w:r>
      <w:r w:rsidR="00192F89" w:rsidRPr="009A7A7D">
        <w:rPr>
          <w:rFonts w:cs="Times New Roman"/>
        </w:rPr>
        <w:t>5</w:t>
      </w:r>
      <w:r w:rsidRPr="009A7A7D">
        <w:rPr>
          <w:rFonts w:cs="Times New Roman"/>
        </w:rPr>
        <w:t>) but</w:t>
      </w:r>
      <w:r w:rsidRPr="009A7A7D">
        <w:rPr>
          <w:rFonts w:cs="Times New Roman"/>
          <w:i/>
          <w:iCs/>
        </w:rPr>
        <w:t xml:space="preserve"> </w:t>
      </w:r>
      <w:r w:rsidRPr="009A7A7D">
        <w:rPr>
          <w:rFonts w:cs="Times New Roman"/>
        </w:rPr>
        <w:t>decreased at T46 in PM SET (</w:t>
      </w:r>
      <w:r w:rsidRPr="009A7A7D">
        <w:rPr>
          <w:rFonts w:cs="Times New Roman"/>
          <w:i/>
          <w:iCs/>
        </w:rPr>
        <w:t>P</w:t>
      </w:r>
      <w:r w:rsidRPr="009A7A7D">
        <w:rPr>
          <w:rFonts w:cs="Times New Roman"/>
        </w:rPr>
        <w:t>=0.04)</w:t>
      </w:r>
      <w:r w:rsidRPr="009A7A7D">
        <w:rPr>
          <w:rFonts w:cs="Times New Roman"/>
          <w:i/>
          <w:iCs/>
        </w:rPr>
        <w:t xml:space="preserve"> </w:t>
      </w:r>
      <w:r w:rsidRPr="009A7A7D">
        <w:rPr>
          <w:rFonts w:cs="Times New Roman"/>
        </w:rPr>
        <w:t>to levels above T-2 (</w:t>
      </w:r>
      <w:r w:rsidRPr="009A7A7D">
        <w:rPr>
          <w:rFonts w:cs="Times New Roman"/>
          <w:i/>
          <w:iCs/>
        </w:rPr>
        <w:t>P</w:t>
      </w:r>
      <w:r w:rsidRPr="009A7A7D">
        <w:rPr>
          <w:rFonts w:cs="Times New Roman"/>
        </w:rPr>
        <w:t>&lt;0.0001).</w:t>
      </w:r>
    </w:p>
    <w:p w14:paraId="200EF1F4" w14:textId="1E76F55E" w:rsidR="0074483E" w:rsidRPr="009A7A7D" w:rsidRDefault="0074483E" w:rsidP="0074483E">
      <w:pPr>
        <w:rPr>
          <w:rFonts w:cs="Times New Roman"/>
        </w:rPr>
      </w:pPr>
      <w:r w:rsidRPr="009A7A7D">
        <w:rPr>
          <w:rFonts w:cs="Times New Roman"/>
          <w:b/>
          <w:bCs/>
        </w:rPr>
        <w:t>Table 1.</w:t>
      </w:r>
      <w:r w:rsidRPr="009A7A7D">
        <w:rPr>
          <w:rFonts w:cs="Times New Roman"/>
        </w:rPr>
        <w:t xml:space="preserve"> Mean cytokine concentrations surrounding a 2-h standardized exercise test (SET) performed at 0600 h (AM) or 1800 h (PM) in horses under three different light treatments </w:t>
      </w:r>
      <w:r w:rsidRPr="009A7A7D">
        <w:rPr>
          <w:rFonts w:cs="Times New Roman"/>
          <w:lang w:val="en-US"/>
        </w:rPr>
        <w:t xml:space="preserve">for 45 days: 1) Control (CON) – sunlight by day, no artificial light at night; 2) Competition (COMP) – soft white, fluorescent barn lights 24 h/d; or 3) Circadian (CIRC) – COMP lighting but fitted with </w:t>
      </w:r>
      <w:r w:rsidR="00F52DAB" w:rsidRPr="009A7A7D">
        <w:rPr>
          <w:rFonts w:cs="Times New Roman"/>
          <w:lang w:val="en-US"/>
        </w:rPr>
        <w:t xml:space="preserve">an </w:t>
      </w:r>
      <w:proofErr w:type="spellStart"/>
      <w:r w:rsidRPr="009A7A7D">
        <w:rPr>
          <w:rFonts w:cs="Times New Roman"/>
          <w:lang w:val="en-US"/>
        </w:rPr>
        <w:t>Equilume</w:t>
      </w:r>
      <w:proofErr w:type="spellEnd"/>
      <w:r w:rsidRPr="009A7A7D">
        <w:rPr>
          <w:rFonts w:cs="Times New Roman"/>
          <w:lang w:val="en-US"/>
        </w:rPr>
        <w:t xml:space="preserve"> blue light mask by day and red-tinted visor by night. </w:t>
      </w:r>
    </w:p>
    <w:tbl>
      <w:tblPr>
        <w:tblStyle w:val="ListTable6Colorful"/>
        <w:tblpPr w:leftFromText="187" w:rightFromText="187" w:vertAnchor="text" w:horzAnchor="margin" w:tblpY="-2"/>
        <w:tblOverlap w:val="never"/>
        <w:tblW w:w="8910" w:type="dxa"/>
        <w:tblLayout w:type="fixed"/>
        <w:tblLook w:val="04A0" w:firstRow="1" w:lastRow="0" w:firstColumn="1" w:lastColumn="0" w:noHBand="0" w:noVBand="1"/>
      </w:tblPr>
      <w:tblGrid>
        <w:gridCol w:w="1885"/>
        <w:gridCol w:w="995"/>
        <w:gridCol w:w="1125"/>
        <w:gridCol w:w="1125"/>
        <w:gridCol w:w="990"/>
        <w:gridCol w:w="686"/>
        <w:gridCol w:w="844"/>
        <w:gridCol w:w="1260"/>
      </w:tblGrid>
      <w:tr w:rsidR="0074483E" w:rsidRPr="009A7A7D" w14:paraId="3633CA17" w14:textId="77777777" w:rsidTr="003A01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 w:val="restart"/>
            <w:tcBorders>
              <w:top w:val="single" w:sz="4" w:space="0" w:color="000000" w:themeColor="text1"/>
            </w:tcBorders>
            <w:vAlign w:val="bottom"/>
          </w:tcPr>
          <w:p w14:paraId="7864ED23" w14:textId="77777777" w:rsidR="0074483E" w:rsidRPr="009A7A7D" w:rsidRDefault="0074483E" w:rsidP="001273E5">
            <w:pPr>
              <w:rPr>
                <w:rFonts w:cs="Times New Roman"/>
              </w:rPr>
            </w:pPr>
            <w:r w:rsidRPr="009A7A7D">
              <w:rPr>
                <w:rFonts w:cs="Times New Roman"/>
              </w:rPr>
              <w:t xml:space="preserve">Cytokine, </w:t>
            </w:r>
            <w:proofErr w:type="spellStart"/>
            <w:r w:rsidRPr="009A7A7D">
              <w:rPr>
                <w:rFonts w:cs="Times New Roman"/>
              </w:rPr>
              <w:t>pg</w:t>
            </w:r>
            <w:proofErr w:type="spellEnd"/>
            <w:r w:rsidRPr="009A7A7D">
              <w:rPr>
                <w:rFonts w:cs="Times New Roman"/>
              </w:rPr>
              <w:t>/mL</w:t>
            </w:r>
          </w:p>
        </w:tc>
        <w:tc>
          <w:tcPr>
            <w:tcW w:w="995" w:type="dxa"/>
            <w:vMerge w:val="restart"/>
            <w:tcBorders>
              <w:top w:val="single" w:sz="4" w:space="0" w:color="000000" w:themeColor="text1"/>
            </w:tcBorders>
            <w:vAlign w:val="bottom"/>
          </w:tcPr>
          <w:p w14:paraId="52EA4D34" w14:textId="77777777" w:rsidR="0074483E" w:rsidRPr="009A7A7D" w:rsidRDefault="0074483E" w:rsidP="001273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 w:rsidRPr="009A7A7D">
              <w:rPr>
                <w:rFonts w:cs="Times New Roman"/>
              </w:rPr>
              <w:t>Trt</w:t>
            </w:r>
            <w:proofErr w:type="spellEnd"/>
          </w:p>
        </w:tc>
        <w:tc>
          <w:tcPr>
            <w:tcW w:w="1125" w:type="dxa"/>
            <w:vMerge w:val="restart"/>
            <w:tcBorders>
              <w:top w:val="single" w:sz="4" w:space="0" w:color="000000" w:themeColor="text1"/>
            </w:tcBorders>
            <w:vAlign w:val="bottom"/>
          </w:tcPr>
          <w:p w14:paraId="01A0968A" w14:textId="77777777" w:rsidR="0074483E" w:rsidRPr="009A7A7D" w:rsidRDefault="0074483E" w:rsidP="001273E5">
            <w:pPr>
              <w:tabs>
                <w:tab w:val="center" w:pos="156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AM SET</w:t>
            </w:r>
          </w:p>
        </w:tc>
        <w:tc>
          <w:tcPr>
            <w:tcW w:w="1125" w:type="dxa"/>
            <w:vMerge w:val="restart"/>
            <w:tcBorders>
              <w:top w:val="single" w:sz="4" w:space="0" w:color="000000" w:themeColor="text1"/>
            </w:tcBorders>
            <w:vAlign w:val="bottom"/>
          </w:tcPr>
          <w:p w14:paraId="08BBED06" w14:textId="77777777" w:rsidR="0074483E" w:rsidRPr="009A7A7D" w:rsidRDefault="0074483E" w:rsidP="001273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PM SET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</w:tcBorders>
            <w:vAlign w:val="bottom"/>
          </w:tcPr>
          <w:p w14:paraId="2C80BE32" w14:textId="5869B451" w:rsidR="0074483E" w:rsidRPr="009A7A7D" w:rsidRDefault="008C0953" w:rsidP="001273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Pooled SE</w:t>
            </w:r>
          </w:p>
        </w:tc>
        <w:tc>
          <w:tcPr>
            <w:tcW w:w="2790" w:type="dxa"/>
            <w:gridSpan w:val="3"/>
            <w:tcBorders>
              <w:top w:val="single" w:sz="4" w:space="0" w:color="000000" w:themeColor="text1"/>
              <w:bottom w:val="nil"/>
            </w:tcBorders>
          </w:tcPr>
          <w:p w14:paraId="620D6049" w14:textId="77777777" w:rsidR="0074483E" w:rsidRPr="009A7A7D" w:rsidRDefault="0074483E" w:rsidP="001273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</w:rPr>
            </w:pPr>
            <w:r w:rsidRPr="009A7A7D">
              <w:rPr>
                <w:rFonts w:cs="Times New Roman"/>
                <w:i/>
                <w:iCs/>
              </w:rPr>
              <w:t>P</w:t>
            </w:r>
            <w:r w:rsidRPr="009A7A7D">
              <w:rPr>
                <w:rFonts w:cs="Times New Roman"/>
              </w:rPr>
              <w:t>-Value</w:t>
            </w:r>
          </w:p>
        </w:tc>
      </w:tr>
      <w:tr w:rsidR="00EA21BD" w:rsidRPr="009A7A7D" w14:paraId="021F6A32" w14:textId="77777777" w:rsidTr="003A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tcBorders>
              <w:bottom w:val="single" w:sz="4" w:space="0" w:color="000000" w:themeColor="text1"/>
            </w:tcBorders>
          </w:tcPr>
          <w:p w14:paraId="7BDCB65C" w14:textId="77777777" w:rsidR="0074483E" w:rsidRPr="009A7A7D" w:rsidRDefault="0074483E" w:rsidP="001273E5">
            <w:pPr>
              <w:rPr>
                <w:rFonts w:cs="Times New Roman"/>
              </w:rPr>
            </w:pPr>
          </w:p>
        </w:tc>
        <w:tc>
          <w:tcPr>
            <w:tcW w:w="995" w:type="dxa"/>
            <w:vMerge/>
            <w:tcBorders>
              <w:bottom w:val="single" w:sz="4" w:space="0" w:color="000000" w:themeColor="text1"/>
            </w:tcBorders>
          </w:tcPr>
          <w:p w14:paraId="5D4CD7BD" w14:textId="77777777" w:rsidR="0074483E" w:rsidRPr="009A7A7D" w:rsidRDefault="0074483E" w:rsidP="00127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25" w:type="dxa"/>
            <w:vMerge/>
            <w:tcBorders>
              <w:bottom w:val="single" w:sz="4" w:space="0" w:color="000000" w:themeColor="text1"/>
            </w:tcBorders>
          </w:tcPr>
          <w:p w14:paraId="67FD5249" w14:textId="77777777" w:rsidR="0074483E" w:rsidRPr="009A7A7D" w:rsidRDefault="0074483E" w:rsidP="001273E5">
            <w:pPr>
              <w:tabs>
                <w:tab w:val="center" w:pos="156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</w:p>
        </w:tc>
        <w:tc>
          <w:tcPr>
            <w:tcW w:w="1125" w:type="dxa"/>
            <w:vMerge/>
            <w:tcBorders>
              <w:bottom w:val="single" w:sz="4" w:space="0" w:color="000000" w:themeColor="text1"/>
            </w:tcBorders>
          </w:tcPr>
          <w:p w14:paraId="7C4AB88C" w14:textId="77777777" w:rsidR="0074483E" w:rsidRPr="009A7A7D" w:rsidRDefault="0074483E" w:rsidP="00127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</w:p>
        </w:tc>
        <w:tc>
          <w:tcPr>
            <w:tcW w:w="990" w:type="dxa"/>
            <w:vMerge/>
            <w:tcBorders>
              <w:bottom w:val="single" w:sz="4" w:space="0" w:color="000000" w:themeColor="text1"/>
            </w:tcBorders>
          </w:tcPr>
          <w:p w14:paraId="5996C0A1" w14:textId="77777777" w:rsidR="0074483E" w:rsidRPr="009A7A7D" w:rsidRDefault="0074483E" w:rsidP="00127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0768BE61" w14:textId="77777777" w:rsidR="0074483E" w:rsidRPr="009A7A7D" w:rsidRDefault="0074483E" w:rsidP="00127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proofErr w:type="spellStart"/>
            <w:r w:rsidRPr="009A7A7D">
              <w:rPr>
                <w:rFonts w:cs="Times New Roman"/>
                <w:b/>
                <w:bCs/>
              </w:rPr>
              <w:t>Trt</w:t>
            </w:r>
            <w:proofErr w:type="spellEnd"/>
          </w:p>
        </w:tc>
        <w:tc>
          <w:tcPr>
            <w:tcW w:w="844" w:type="dxa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585C3334" w14:textId="77777777" w:rsidR="0074483E" w:rsidRPr="009A7A7D" w:rsidRDefault="0074483E" w:rsidP="00127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9A7A7D">
              <w:rPr>
                <w:rFonts w:cs="Times New Roman"/>
                <w:b/>
                <w:bCs/>
              </w:rPr>
              <w:t>Time</w:t>
            </w:r>
          </w:p>
        </w:tc>
        <w:tc>
          <w:tcPr>
            <w:tcW w:w="1260" w:type="dxa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642532EC" w14:textId="77777777" w:rsidR="0074483E" w:rsidRPr="009A7A7D" w:rsidRDefault="0074483E" w:rsidP="00127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proofErr w:type="spellStart"/>
            <w:r w:rsidRPr="009A7A7D">
              <w:rPr>
                <w:rFonts w:cs="Times New Roman"/>
                <w:b/>
                <w:bCs/>
              </w:rPr>
              <w:t>Trt</w:t>
            </w:r>
            <w:proofErr w:type="spellEnd"/>
            <w:r w:rsidRPr="009A7A7D">
              <w:rPr>
                <w:rFonts w:cs="Times New Roman"/>
                <w:b/>
                <w:bCs/>
              </w:rPr>
              <w:t xml:space="preserve"> × Time</w:t>
            </w:r>
          </w:p>
        </w:tc>
      </w:tr>
      <w:tr w:rsidR="0074483E" w:rsidRPr="009A7A7D" w14:paraId="6EB79E67" w14:textId="77777777" w:rsidTr="003A01D2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top w:val="single" w:sz="4" w:space="0" w:color="000000" w:themeColor="text1"/>
            </w:tcBorders>
          </w:tcPr>
          <w:p w14:paraId="0A39A735" w14:textId="77777777" w:rsidR="0074483E" w:rsidRPr="009A7A7D" w:rsidRDefault="0074483E" w:rsidP="001273E5">
            <w:pPr>
              <w:rPr>
                <w:rFonts w:cs="Times New Roman"/>
              </w:rPr>
            </w:pPr>
            <w:r w:rsidRPr="009A7A7D">
              <w:rPr>
                <w:rFonts w:cs="Times New Roman"/>
              </w:rPr>
              <w:t>IL-10</w:t>
            </w:r>
          </w:p>
        </w:tc>
        <w:tc>
          <w:tcPr>
            <w:tcW w:w="995" w:type="dxa"/>
            <w:tcBorders>
              <w:top w:val="single" w:sz="4" w:space="0" w:color="000000" w:themeColor="text1"/>
            </w:tcBorders>
            <w:vAlign w:val="center"/>
          </w:tcPr>
          <w:p w14:paraId="60D041B8" w14:textId="77777777" w:rsidR="0074483E" w:rsidRPr="009A7A7D" w:rsidRDefault="0074483E" w:rsidP="00127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CON</w:t>
            </w:r>
          </w:p>
          <w:p w14:paraId="307619C9" w14:textId="77777777" w:rsidR="0074483E" w:rsidRPr="009A7A7D" w:rsidRDefault="0074483E" w:rsidP="00127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COMP</w:t>
            </w:r>
          </w:p>
          <w:p w14:paraId="3DC7F86E" w14:textId="77777777" w:rsidR="0074483E" w:rsidRPr="009A7A7D" w:rsidRDefault="0074483E" w:rsidP="00127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CIRC</w:t>
            </w:r>
          </w:p>
        </w:tc>
        <w:tc>
          <w:tcPr>
            <w:tcW w:w="1125" w:type="dxa"/>
            <w:tcBorders>
              <w:top w:val="single" w:sz="4" w:space="0" w:color="000000" w:themeColor="text1"/>
            </w:tcBorders>
          </w:tcPr>
          <w:p w14:paraId="3B926795" w14:textId="77777777" w:rsidR="0074483E" w:rsidRPr="009A7A7D" w:rsidRDefault="0074483E" w:rsidP="001273E5">
            <w:pPr>
              <w:tabs>
                <w:tab w:val="decimal" w:pos="5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84.9</w:t>
            </w:r>
            <w:r w:rsidRPr="009A7A7D">
              <w:rPr>
                <w:rFonts w:cs="Times New Roman"/>
                <w:vertAlign w:val="superscript"/>
              </w:rPr>
              <w:t>a</w:t>
            </w:r>
          </w:p>
          <w:p w14:paraId="7A9C8DE0" w14:textId="77777777" w:rsidR="0074483E" w:rsidRPr="009A7A7D" w:rsidRDefault="0074483E" w:rsidP="001273E5">
            <w:pPr>
              <w:tabs>
                <w:tab w:val="decimal" w:pos="5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107.7</w:t>
            </w:r>
            <w:r w:rsidRPr="009A7A7D">
              <w:rPr>
                <w:rFonts w:cs="Times New Roman"/>
                <w:vertAlign w:val="superscript"/>
              </w:rPr>
              <w:t>a</w:t>
            </w:r>
          </w:p>
          <w:p w14:paraId="62FBC6E7" w14:textId="77777777" w:rsidR="0074483E" w:rsidRPr="009A7A7D" w:rsidRDefault="0074483E" w:rsidP="001273E5">
            <w:pPr>
              <w:tabs>
                <w:tab w:val="decimal" w:pos="5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85.5</w:t>
            </w:r>
            <w:r w:rsidRPr="009A7A7D">
              <w:rPr>
                <w:rFonts w:cs="Times New Roman"/>
                <w:vertAlign w:val="superscript"/>
              </w:rPr>
              <w:t>a</w:t>
            </w:r>
          </w:p>
        </w:tc>
        <w:tc>
          <w:tcPr>
            <w:tcW w:w="1125" w:type="dxa"/>
            <w:tcBorders>
              <w:top w:val="single" w:sz="4" w:space="0" w:color="000000" w:themeColor="text1"/>
            </w:tcBorders>
          </w:tcPr>
          <w:p w14:paraId="700A87EC" w14:textId="77777777" w:rsidR="0074483E" w:rsidRPr="009A7A7D" w:rsidRDefault="0074483E" w:rsidP="001273E5">
            <w:pPr>
              <w:tabs>
                <w:tab w:val="decimal" w:pos="48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vertAlign w:val="superscript"/>
              </w:rPr>
            </w:pPr>
            <w:r w:rsidRPr="009A7A7D">
              <w:rPr>
                <w:rFonts w:cs="Times New Roman"/>
              </w:rPr>
              <w:t>81.1</w:t>
            </w:r>
            <w:r w:rsidRPr="009A7A7D">
              <w:rPr>
                <w:rFonts w:cs="Times New Roman"/>
                <w:vertAlign w:val="superscript"/>
              </w:rPr>
              <w:t>a</w:t>
            </w:r>
          </w:p>
          <w:p w14:paraId="5F0D5A2D" w14:textId="77777777" w:rsidR="0074483E" w:rsidRPr="009A7A7D" w:rsidRDefault="0074483E" w:rsidP="001273E5">
            <w:pPr>
              <w:tabs>
                <w:tab w:val="decimal" w:pos="48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vertAlign w:val="superscript"/>
              </w:rPr>
            </w:pPr>
            <w:r w:rsidRPr="009A7A7D">
              <w:rPr>
                <w:rFonts w:cs="Times New Roman"/>
              </w:rPr>
              <w:t>112.0</w:t>
            </w:r>
            <w:r w:rsidRPr="009A7A7D">
              <w:rPr>
                <w:rFonts w:cs="Times New Roman"/>
                <w:vertAlign w:val="superscript"/>
              </w:rPr>
              <w:t>a</w:t>
            </w:r>
            <w:r w:rsidRPr="009A7A7D">
              <w:rPr>
                <w:rFonts w:cs="Times New Roman"/>
              </w:rPr>
              <w:t>*</w:t>
            </w:r>
          </w:p>
          <w:p w14:paraId="1E494A7D" w14:textId="77777777" w:rsidR="0074483E" w:rsidRPr="009A7A7D" w:rsidRDefault="0074483E" w:rsidP="001273E5">
            <w:pPr>
              <w:tabs>
                <w:tab w:val="decimal" w:pos="48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83.3</w:t>
            </w:r>
            <w:r w:rsidRPr="009A7A7D">
              <w:rPr>
                <w:rFonts w:cs="Times New Roman"/>
                <w:vertAlign w:val="superscript"/>
              </w:rPr>
              <w:t>a</w:t>
            </w:r>
          </w:p>
        </w:tc>
        <w:tc>
          <w:tcPr>
            <w:tcW w:w="990" w:type="dxa"/>
            <w:tcBorders>
              <w:top w:val="single" w:sz="4" w:space="0" w:color="000000" w:themeColor="text1"/>
            </w:tcBorders>
          </w:tcPr>
          <w:p w14:paraId="7CBB6497" w14:textId="6BCA928B" w:rsidR="0074483E" w:rsidRPr="009A7A7D" w:rsidRDefault="008C0953" w:rsidP="008C0953">
            <w:pPr>
              <w:tabs>
                <w:tab w:val="decimal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0.23</w:t>
            </w:r>
          </w:p>
          <w:p w14:paraId="3C0EE420" w14:textId="707DC97D" w:rsidR="0074483E" w:rsidRPr="009A7A7D" w:rsidRDefault="0074483E" w:rsidP="008C0953">
            <w:pPr>
              <w:tabs>
                <w:tab w:val="decimal" w:pos="43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22526F6D" w14:textId="65D52DAE" w:rsidR="0074483E" w:rsidRPr="009A7A7D" w:rsidRDefault="0074483E" w:rsidP="008C0953">
            <w:pPr>
              <w:tabs>
                <w:tab w:val="decimal" w:pos="43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 w:themeColor="text1"/>
            </w:tcBorders>
          </w:tcPr>
          <w:p w14:paraId="4F896D3B" w14:textId="77777777" w:rsidR="0074483E" w:rsidRPr="009A7A7D" w:rsidRDefault="0074483E" w:rsidP="00127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0.3</w:t>
            </w:r>
          </w:p>
        </w:tc>
        <w:tc>
          <w:tcPr>
            <w:tcW w:w="844" w:type="dxa"/>
            <w:tcBorders>
              <w:top w:val="single" w:sz="4" w:space="0" w:color="000000" w:themeColor="text1"/>
            </w:tcBorders>
          </w:tcPr>
          <w:p w14:paraId="663058F5" w14:textId="77777777" w:rsidR="0074483E" w:rsidRPr="009A7A7D" w:rsidRDefault="0074483E" w:rsidP="00127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0.001</w:t>
            </w:r>
          </w:p>
        </w:tc>
        <w:tc>
          <w:tcPr>
            <w:tcW w:w="1260" w:type="dxa"/>
            <w:tcBorders>
              <w:top w:val="single" w:sz="4" w:space="0" w:color="000000" w:themeColor="text1"/>
            </w:tcBorders>
          </w:tcPr>
          <w:p w14:paraId="67D197C0" w14:textId="77777777" w:rsidR="0074483E" w:rsidRPr="009A7A7D" w:rsidRDefault="0074483E" w:rsidP="001273E5">
            <w:pPr>
              <w:tabs>
                <w:tab w:val="decimal" w:pos="3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0.02</w:t>
            </w:r>
          </w:p>
        </w:tc>
      </w:tr>
      <w:tr w:rsidR="003A01D2" w:rsidRPr="009A7A7D" w14:paraId="3737EF75" w14:textId="77777777" w:rsidTr="003A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1544C6B6" w14:textId="77777777" w:rsidR="0074483E" w:rsidRPr="009A7A7D" w:rsidRDefault="0074483E" w:rsidP="001273E5">
            <w:pPr>
              <w:rPr>
                <w:rFonts w:cs="Times New Roman"/>
              </w:rPr>
            </w:pPr>
            <w:r w:rsidRPr="009A7A7D">
              <w:rPr>
                <w:rFonts w:cs="Times New Roman"/>
              </w:rPr>
              <w:t>IL-4</w:t>
            </w:r>
          </w:p>
        </w:tc>
        <w:tc>
          <w:tcPr>
            <w:tcW w:w="995" w:type="dxa"/>
            <w:vAlign w:val="center"/>
          </w:tcPr>
          <w:p w14:paraId="0A88002C" w14:textId="77777777" w:rsidR="0074483E" w:rsidRPr="009A7A7D" w:rsidRDefault="0074483E" w:rsidP="00127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CON</w:t>
            </w:r>
          </w:p>
          <w:p w14:paraId="1E7B5979" w14:textId="77777777" w:rsidR="0074483E" w:rsidRPr="009A7A7D" w:rsidRDefault="0074483E" w:rsidP="00127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COMP</w:t>
            </w:r>
          </w:p>
          <w:p w14:paraId="7D24475A" w14:textId="77777777" w:rsidR="0074483E" w:rsidRPr="009A7A7D" w:rsidRDefault="0074483E" w:rsidP="00127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CIRC</w:t>
            </w:r>
          </w:p>
        </w:tc>
        <w:tc>
          <w:tcPr>
            <w:tcW w:w="1125" w:type="dxa"/>
          </w:tcPr>
          <w:p w14:paraId="73D24413" w14:textId="77777777" w:rsidR="0074483E" w:rsidRPr="009A7A7D" w:rsidRDefault="0074483E" w:rsidP="001273E5">
            <w:pPr>
              <w:tabs>
                <w:tab w:val="decimal" w:pos="5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508.2</w:t>
            </w:r>
            <w:r w:rsidRPr="009A7A7D">
              <w:rPr>
                <w:rFonts w:cs="Times New Roman"/>
                <w:vertAlign w:val="superscript"/>
              </w:rPr>
              <w:t>a</w:t>
            </w:r>
          </w:p>
          <w:p w14:paraId="648A7AD2" w14:textId="77777777" w:rsidR="0074483E" w:rsidRPr="009A7A7D" w:rsidRDefault="0074483E" w:rsidP="001273E5">
            <w:pPr>
              <w:tabs>
                <w:tab w:val="decimal" w:pos="5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vertAlign w:val="superscript"/>
              </w:rPr>
            </w:pPr>
            <w:r w:rsidRPr="009A7A7D">
              <w:rPr>
                <w:rFonts w:cs="Times New Roman"/>
              </w:rPr>
              <w:t>354.2</w:t>
            </w:r>
            <w:r w:rsidRPr="009A7A7D">
              <w:rPr>
                <w:rFonts w:cs="Times New Roman"/>
                <w:vertAlign w:val="superscript"/>
              </w:rPr>
              <w:t>a</w:t>
            </w:r>
          </w:p>
          <w:p w14:paraId="2F96B61D" w14:textId="77777777" w:rsidR="0074483E" w:rsidRPr="009A7A7D" w:rsidRDefault="0074483E" w:rsidP="001273E5">
            <w:pPr>
              <w:tabs>
                <w:tab w:val="decimal" w:pos="5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vertAlign w:val="superscript"/>
              </w:rPr>
            </w:pPr>
            <w:r w:rsidRPr="009A7A7D">
              <w:rPr>
                <w:rFonts w:cs="Times New Roman"/>
              </w:rPr>
              <w:t>350.1</w:t>
            </w:r>
            <w:r w:rsidRPr="009A7A7D">
              <w:rPr>
                <w:rFonts w:cs="Times New Roman"/>
                <w:vertAlign w:val="superscript"/>
              </w:rPr>
              <w:t>a</w:t>
            </w:r>
          </w:p>
        </w:tc>
        <w:tc>
          <w:tcPr>
            <w:tcW w:w="1125" w:type="dxa"/>
          </w:tcPr>
          <w:p w14:paraId="43D5389F" w14:textId="77777777" w:rsidR="0074483E" w:rsidRPr="009A7A7D" w:rsidRDefault="0074483E" w:rsidP="001273E5">
            <w:pPr>
              <w:tabs>
                <w:tab w:val="decimal" w:pos="48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vertAlign w:val="superscript"/>
              </w:rPr>
            </w:pPr>
            <w:r w:rsidRPr="009A7A7D">
              <w:rPr>
                <w:rFonts w:cs="Times New Roman"/>
              </w:rPr>
              <w:t>605.2</w:t>
            </w:r>
            <w:r w:rsidRPr="009A7A7D">
              <w:rPr>
                <w:rFonts w:cs="Times New Roman"/>
                <w:vertAlign w:val="superscript"/>
              </w:rPr>
              <w:t>a</w:t>
            </w:r>
            <w:r w:rsidRPr="009A7A7D">
              <w:rPr>
                <w:rFonts w:cs="Times New Roman"/>
              </w:rPr>
              <w:t>*</w:t>
            </w:r>
          </w:p>
          <w:p w14:paraId="65EA0D8B" w14:textId="77777777" w:rsidR="0074483E" w:rsidRPr="009A7A7D" w:rsidRDefault="0074483E" w:rsidP="001273E5">
            <w:pPr>
              <w:tabs>
                <w:tab w:val="decimal" w:pos="48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vertAlign w:val="superscript"/>
              </w:rPr>
            </w:pPr>
            <w:r w:rsidRPr="009A7A7D">
              <w:rPr>
                <w:rFonts w:cs="Times New Roman"/>
              </w:rPr>
              <w:t>386.3</w:t>
            </w:r>
            <w:r w:rsidRPr="009A7A7D">
              <w:rPr>
                <w:rFonts w:cs="Times New Roman"/>
                <w:vertAlign w:val="superscript"/>
              </w:rPr>
              <w:t>ab</w:t>
            </w:r>
          </w:p>
          <w:p w14:paraId="5F1668E8" w14:textId="77777777" w:rsidR="0074483E" w:rsidRPr="009A7A7D" w:rsidRDefault="0074483E" w:rsidP="001273E5">
            <w:pPr>
              <w:tabs>
                <w:tab w:val="decimal" w:pos="48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345.3</w:t>
            </w:r>
            <w:r w:rsidRPr="009A7A7D">
              <w:rPr>
                <w:rFonts w:cs="Times New Roman"/>
                <w:vertAlign w:val="superscript"/>
              </w:rPr>
              <w:t>b</w:t>
            </w:r>
          </w:p>
        </w:tc>
        <w:tc>
          <w:tcPr>
            <w:tcW w:w="990" w:type="dxa"/>
          </w:tcPr>
          <w:p w14:paraId="2B7D04B0" w14:textId="5EF3411F" w:rsidR="0074483E" w:rsidRPr="009A7A7D" w:rsidRDefault="008C0953" w:rsidP="008C0953">
            <w:pPr>
              <w:tabs>
                <w:tab w:val="decimal" w:pos="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1.61</w:t>
            </w:r>
          </w:p>
        </w:tc>
        <w:tc>
          <w:tcPr>
            <w:tcW w:w="686" w:type="dxa"/>
          </w:tcPr>
          <w:p w14:paraId="7629B065" w14:textId="77777777" w:rsidR="0074483E" w:rsidRPr="009A7A7D" w:rsidRDefault="0074483E" w:rsidP="00127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0.2</w:t>
            </w:r>
          </w:p>
        </w:tc>
        <w:tc>
          <w:tcPr>
            <w:tcW w:w="844" w:type="dxa"/>
          </w:tcPr>
          <w:p w14:paraId="38611870" w14:textId="77777777" w:rsidR="0074483E" w:rsidRPr="009A7A7D" w:rsidRDefault="0074483E" w:rsidP="00127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0.9</w:t>
            </w:r>
          </w:p>
        </w:tc>
        <w:tc>
          <w:tcPr>
            <w:tcW w:w="1260" w:type="dxa"/>
          </w:tcPr>
          <w:p w14:paraId="7FF3635D" w14:textId="77777777" w:rsidR="0074483E" w:rsidRPr="009A7A7D" w:rsidRDefault="0074483E" w:rsidP="001273E5">
            <w:pPr>
              <w:tabs>
                <w:tab w:val="decimal" w:pos="3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0.004</w:t>
            </w:r>
          </w:p>
        </w:tc>
      </w:tr>
      <w:tr w:rsidR="0074483E" w:rsidRPr="009A7A7D" w14:paraId="6152957A" w14:textId="77777777" w:rsidTr="003A01D2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77EA1AF7" w14:textId="77777777" w:rsidR="0074483E" w:rsidRPr="009A7A7D" w:rsidRDefault="0074483E" w:rsidP="001273E5">
            <w:pPr>
              <w:rPr>
                <w:rFonts w:cs="Times New Roman"/>
              </w:rPr>
            </w:pPr>
            <w:r w:rsidRPr="009A7A7D">
              <w:rPr>
                <w:rFonts w:cs="Times New Roman"/>
              </w:rPr>
              <w:t>IL-8</w:t>
            </w:r>
          </w:p>
        </w:tc>
        <w:tc>
          <w:tcPr>
            <w:tcW w:w="995" w:type="dxa"/>
            <w:vAlign w:val="center"/>
          </w:tcPr>
          <w:p w14:paraId="6B197029" w14:textId="77777777" w:rsidR="0074483E" w:rsidRPr="009A7A7D" w:rsidRDefault="0074483E" w:rsidP="00127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CON</w:t>
            </w:r>
          </w:p>
          <w:p w14:paraId="49F0CD9B" w14:textId="77777777" w:rsidR="0074483E" w:rsidRPr="009A7A7D" w:rsidRDefault="0074483E" w:rsidP="00127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COMP</w:t>
            </w:r>
          </w:p>
          <w:p w14:paraId="360C7EC3" w14:textId="77777777" w:rsidR="0074483E" w:rsidRPr="009A7A7D" w:rsidRDefault="0074483E" w:rsidP="00127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CIRC</w:t>
            </w:r>
          </w:p>
        </w:tc>
        <w:tc>
          <w:tcPr>
            <w:tcW w:w="1125" w:type="dxa"/>
          </w:tcPr>
          <w:p w14:paraId="1867D54F" w14:textId="77777777" w:rsidR="0074483E" w:rsidRPr="009A7A7D" w:rsidRDefault="0074483E" w:rsidP="001273E5">
            <w:pPr>
              <w:tabs>
                <w:tab w:val="decimal" w:pos="5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1155.5</w:t>
            </w:r>
            <w:r w:rsidRPr="009A7A7D">
              <w:rPr>
                <w:rFonts w:cs="Times New Roman"/>
                <w:vertAlign w:val="superscript"/>
              </w:rPr>
              <w:t>a</w:t>
            </w:r>
          </w:p>
          <w:p w14:paraId="626F02B3" w14:textId="77777777" w:rsidR="0074483E" w:rsidRPr="009A7A7D" w:rsidRDefault="0074483E" w:rsidP="001273E5">
            <w:pPr>
              <w:tabs>
                <w:tab w:val="decimal" w:pos="5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962.1</w:t>
            </w:r>
            <w:r w:rsidRPr="009A7A7D">
              <w:rPr>
                <w:rFonts w:cs="Times New Roman"/>
                <w:vertAlign w:val="superscript"/>
              </w:rPr>
              <w:t>a</w:t>
            </w:r>
          </w:p>
          <w:p w14:paraId="57C78669" w14:textId="77777777" w:rsidR="0074483E" w:rsidRPr="009A7A7D" w:rsidRDefault="0074483E" w:rsidP="001273E5">
            <w:pPr>
              <w:tabs>
                <w:tab w:val="decimal" w:pos="5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924.9</w:t>
            </w:r>
            <w:r w:rsidRPr="009A7A7D">
              <w:rPr>
                <w:rFonts w:cs="Times New Roman"/>
                <w:vertAlign w:val="superscript"/>
              </w:rPr>
              <w:t>a</w:t>
            </w:r>
          </w:p>
        </w:tc>
        <w:tc>
          <w:tcPr>
            <w:tcW w:w="1125" w:type="dxa"/>
          </w:tcPr>
          <w:p w14:paraId="1C7C4DE0" w14:textId="77777777" w:rsidR="0074483E" w:rsidRPr="009A7A7D" w:rsidRDefault="0074483E" w:rsidP="001273E5">
            <w:pPr>
              <w:tabs>
                <w:tab w:val="decimal" w:pos="48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1233.9</w:t>
            </w:r>
            <w:r w:rsidRPr="009A7A7D">
              <w:rPr>
                <w:rFonts w:cs="Times New Roman"/>
                <w:vertAlign w:val="superscript"/>
              </w:rPr>
              <w:t>a</w:t>
            </w:r>
          </w:p>
          <w:p w14:paraId="67C45B25" w14:textId="77777777" w:rsidR="0074483E" w:rsidRPr="009A7A7D" w:rsidRDefault="0074483E" w:rsidP="001273E5">
            <w:pPr>
              <w:tabs>
                <w:tab w:val="decimal" w:pos="48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924.0</w:t>
            </w:r>
            <w:r w:rsidRPr="009A7A7D">
              <w:rPr>
                <w:rFonts w:cs="Times New Roman"/>
                <w:vertAlign w:val="superscript"/>
              </w:rPr>
              <w:t>a</w:t>
            </w:r>
          </w:p>
          <w:p w14:paraId="72E9934C" w14:textId="77777777" w:rsidR="0074483E" w:rsidRPr="009A7A7D" w:rsidRDefault="0074483E" w:rsidP="001273E5">
            <w:pPr>
              <w:tabs>
                <w:tab w:val="decimal" w:pos="48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1023.9</w:t>
            </w:r>
            <w:r w:rsidRPr="009A7A7D">
              <w:rPr>
                <w:rFonts w:cs="Times New Roman"/>
                <w:vertAlign w:val="superscript"/>
              </w:rPr>
              <w:t>a</w:t>
            </w:r>
          </w:p>
        </w:tc>
        <w:tc>
          <w:tcPr>
            <w:tcW w:w="990" w:type="dxa"/>
          </w:tcPr>
          <w:p w14:paraId="05C4CA4B" w14:textId="4F747B8D" w:rsidR="008C0953" w:rsidRPr="009A7A7D" w:rsidRDefault="008C0953" w:rsidP="008C0953">
            <w:pPr>
              <w:tabs>
                <w:tab w:val="decimal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3.22</w:t>
            </w:r>
          </w:p>
          <w:p w14:paraId="045674F5" w14:textId="08F3026D" w:rsidR="0074483E" w:rsidRPr="009A7A7D" w:rsidRDefault="0074483E" w:rsidP="008C0953">
            <w:pPr>
              <w:tabs>
                <w:tab w:val="decimal" w:pos="43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686" w:type="dxa"/>
          </w:tcPr>
          <w:p w14:paraId="03D1803F" w14:textId="77777777" w:rsidR="0074483E" w:rsidRPr="009A7A7D" w:rsidRDefault="0074483E" w:rsidP="00127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0.5</w:t>
            </w:r>
          </w:p>
        </w:tc>
        <w:tc>
          <w:tcPr>
            <w:tcW w:w="844" w:type="dxa"/>
          </w:tcPr>
          <w:p w14:paraId="1731AEEE" w14:textId="77777777" w:rsidR="0074483E" w:rsidRPr="009A7A7D" w:rsidRDefault="0074483E" w:rsidP="00127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0.06</w:t>
            </w:r>
          </w:p>
        </w:tc>
        <w:tc>
          <w:tcPr>
            <w:tcW w:w="1260" w:type="dxa"/>
          </w:tcPr>
          <w:p w14:paraId="6810A338" w14:textId="77777777" w:rsidR="0074483E" w:rsidRPr="009A7A7D" w:rsidRDefault="0074483E" w:rsidP="001273E5">
            <w:pPr>
              <w:tabs>
                <w:tab w:val="decimal" w:pos="3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0.2</w:t>
            </w:r>
          </w:p>
        </w:tc>
      </w:tr>
      <w:tr w:rsidR="003A01D2" w:rsidRPr="009A7A7D" w14:paraId="4011B3F9" w14:textId="77777777" w:rsidTr="003A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383D4602" w14:textId="77777777" w:rsidR="0074483E" w:rsidRPr="009A7A7D" w:rsidRDefault="0074483E" w:rsidP="001273E5">
            <w:pPr>
              <w:rPr>
                <w:rFonts w:cs="Times New Roman"/>
              </w:rPr>
            </w:pPr>
            <w:r w:rsidRPr="009A7A7D">
              <w:rPr>
                <w:rFonts w:cs="Times New Roman"/>
              </w:rPr>
              <w:t>TNFα</w:t>
            </w:r>
          </w:p>
        </w:tc>
        <w:tc>
          <w:tcPr>
            <w:tcW w:w="995" w:type="dxa"/>
            <w:vAlign w:val="center"/>
          </w:tcPr>
          <w:p w14:paraId="21B388A7" w14:textId="77777777" w:rsidR="0074483E" w:rsidRPr="009A7A7D" w:rsidRDefault="0074483E" w:rsidP="00127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CON</w:t>
            </w:r>
          </w:p>
          <w:p w14:paraId="7F8E44E8" w14:textId="77777777" w:rsidR="0074483E" w:rsidRPr="009A7A7D" w:rsidRDefault="0074483E" w:rsidP="00127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COMP</w:t>
            </w:r>
          </w:p>
          <w:p w14:paraId="0FF67B1C" w14:textId="77777777" w:rsidR="0074483E" w:rsidRPr="009A7A7D" w:rsidRDefault="0074483E" w:rsidP="00127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CIRC</w:t>
            </w:r>
          </w:p>
        </w:tc>
        <w:tc>
          <w:tcPr>
            <w:tcW w:w="1125" w:type="dxa"/>
          </w:tcPr>
          <w:p w14:paraId="7DDD9A57" w14:textId="77777777" w:rsidR="0074483E" w:rsidRPr="009A7A7D" w:rsidRDefault="0074483E" w:rsidP="001273E5">
            <w:pPr>
              <w:tabs>
                <w:tab w:val="decimal" w:pos="5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vertAlign w:val="superscript"/>
              </w:rPr>
            </w:pPr>
            <w:r w:rsidRPr="009A7A7D">
              <w:rPr>
                <w:rFonts w:cs="Times New Roman"/>
              </w:rPr>
              <w:t>32.9</w:t>
            </w:r>
            <w:r w:rsidRPr="009A7A7D">
              <w:rPr>
                <w:rFonts w:cs="Times New Roman"/>
                <w:vertAlign w:val="superscript"/>
              </w:rPr>
              <w:t>a</w:t>
            </w:r>
          </w:p>
          <w:p w14:paraId="3976EC26" w14:textId="77777777" w:rsidR="0074483E" w:rsidRPr="009A7A7D" w:rsidRDefault="0074483E" w:rsidP="001273E5">
            <w:pPr>
              <w:tabs>
                <w:tab w:val="decimal" w:pos="5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47.0</w:t>
            </w:r>
            <w:r w:rsidRPr="009A7A7D">
              <w:rPr>
                <w:rFonts w:cs="Times New Roman"/>
                <w:vertAlign w:val="superscript"/>
              </w:rPr>
              <w:t>a</w:t>
            </w:r>
          </w:p>
          <w:p w14:paraId="224E410D" w14:textId="77777777" w:rsidR="0074483E" w:rsidRPr="009A7A7D" w:rsidRDefault="0074483E" w:rsidP="001273E5">
            <w:pPr>
              <w:tabs>
                <w:tab w:val="decimal" w:pos="5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vertAlign w:val="superscript"/>
              </w:rPr>
            </w:pPr>
            <w:r w:rsidRPr="009A7A7D">
              <w:rPr>
                <w:rFonts w:cs="Times New Roman"/>
              </w:rPr>
              <w:t>45.7</w:t>
            </w:r>
            <w:r w:rsidRPr="009A7A7D">
              <w:rPr>
                <w:rFonts w:cs="Times New Roman"/>
                <w:vertAlign w:val="superscript"/>
              </w:rPr>
              <w:t>a</w:t>
            </w:r>
          </w:p>
        </w:tc>
        <w:tc>
          <w:tcPr>
            <w:tcW w:w="1125" w:type="dxa"/>
          </w:tcPr>
          <w:p w14:paraId="2F2261FF" w14:textId="77777777" w:rsidR="0074483E" w:rsidRPr="009A7A7D" w:rsidRDefault="0074483E" w:rsidP="001273E5">
            <w:pPr>
              <w:tabs>
                <w:tab w:val="decimal" w:pos="48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vertAlign w:val="superscript"/>
              </w:rPr>
            </w:pPr>
            <w:r w:rsidRPr="009A7A7D">
              <w:rPr>
                <w:rFonts w:cs="Times New Roman"/>
              </w:rPr>
              <w:t>30.1</w:t>
            </w:r>
            <w:r w:rsidRPr="009A7A7D">
              <w:rPr>
                <w:rFonts w:cs="Times New Roman"/>
                <w:vertAlign w:val="superscript"/>
              </w:rPr>
              <w:t>a</w:t>
            </w:r>
          </w:p>
          <w:p w14:paraId="5516380C" w14:textId="77777777" w:rsidR="0074483E" w:rsidRPr="009A7A7D" w:rsidRDefault="0074483E" w:rsidP="001273E5">
            <w:pPr>
              <w:tabs>
                <w:tab w:val="decimal" w:pos="48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vertAlign w:val="superscript"/>
              </w:rPr>
            </w:pPr>
            <w:r w:rsidRPr="009A7A7D">
              <w:rPr>
                <w:rFonts w:cs="Times New Roman"/>
              </w:rPr>
              <w:t>51.5</w:t>
            </w:r>
            <w:r w:rsidRPr="009A7A7D">
              <w:rPr>
                <w:rFonts w:cs="Times New Roman"/>
                <w:vertAlign w:val="superscript"/>
              </w:rPr>
              <w:t>a</w:t>
            </w:r>
            <w:r w:rsidRPr="009A7A7D">
              <w:rPr>
                <w:rFonts w:cs="Times New Roman"/>
              </w:rPr>
              <w:t>*</w:t>
            </w:r>
          </w:p>
          <w:p w14:paraId="5070F7FB" w14:textId="77777777" w:rsidR="0074483E" w:rsidRPr="009A7A7D" w:rsidRDefault="0074483E" w:rsidP="001273E5">
            <w:pPr>
              <w:tabs>
                <w:tab w:val="decimal" w:pos="48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vertAlign w:val="superscript"/>
              </w:rPr>
            </w:pPr>
            <w:r w:rsidRPr="009A7A7D">
              <w:rPr>
                <w:rFonts w:cs="Times New Roman"/>
              </w:rPr>
              <w:t>48.4</w:t>
            </w:r>
            <w:r w:rsidRPr="009A7A7D">
              <w:rPr>
                <w:rFonts w:cs="Times New Roman"/>
                <w:vertAlign w:val="superscript"/>
              </w:rPr>
              <w:t>a</w:t>
            </w:r>
          </w:p>
        </w:tc>
        <w:tc>
          <w:tcPr>
            <w:tcW w:w="990" w:type="dxa"/>
          </w:tcPr>
          <w:p w14:paraId="18E626F0" w14:textId="1F921323" w:rsidR="0074483E" w:rsidRPr="009A7A7D" w:rsidRDefault="008C0953" w:rsidP="008C0953">
            <w:pPr>
              <w:tabs>
                <w:tab w:val="decimal" w:pos="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0.16</w:t>
            </w:r>
          </w:p>
          <w:p w14:paraId="507074FE" w14:textId="4BA152C5" w:rsidR="0074483E" w:rsidRPr="009A7A7D" w:rsidRDefault="0074483E" w:rsidP="008C0953">
            <w:pPr>
              <w:tabs>
                <w:tab w:val="decimal" w:pos="43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054509C5" w14:textId="30CFA7CF" w:rsidR="0074483E" w:rsidRPr="009A7A7D" w:rsidRDefault="0074483E" w:rsidP="008C0953">
            <w:pPr>
              <w:tabs>
                <w:tab w:val="decimal" w:pos="43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686" w:type="dxa"/>
          </w:tcPr>
          <w:p w14:paraId="449487B5" w14:textId="77777777" w:rsidR="0074483E" w:rsidRPr="009A7A7D" w:rsidRDefault="0074483E" w:rsidP="00127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0.3</w:t>
            </w:r>
          </w:p>
        </w:tc>
        <w:tc>
          <w:tcPr>
            <w:tcW w:w="844" w:type="dxa"/>
          </w:tcPr>
          <w:p w14:paraId="11270CFD" w14:textId="77777777" w:rsidR="0074483E" w:rsidRPr="009A7A7D" w:rsidRDefault="0074483E" w:rsidP="00127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0.7</w:t>
            </w:r>
          </w:p>
        </w:tc>
        <w:tc>
          <w:tcPr>
            <w:tcW w:w="1260" w:type="dxa"/>
          </w:tcPr>
          <w:p w14:paraId="2229FE69" w14:textId="77777777" w:rsidR="0074483E" w:rsidRPr="009A7A7D" w:rsidRDefault="0074483E" w:rsidP="001273E5">
            <w:pPr>
              <w:tabs>
                <w:tab w:val="decimal" w:pos="3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9A7A7D">
              <w:rPr>
                <w:rFonts w:cs="Times New Roman"/>
              </w:rPr>
              <w:t>0.002</w:t>
            </w:r>
          </w:p>
        </w:tc>
      </w:tr>
    </w:tbl>
    <w:p w14:paraId="756E6586" w14:textId="77777777" w:rsidR="006673A7" w:rsidRPr="009A7A7D" w:rsidRDefault="0074483E" w:rsidP="0074483E">
      <w:pPr>
        <w:rPr>
          <w:rFonts w:cs="Times New Roman"/>
        </w:rPr>
      </w:pPr>
      <w:r w:rsidRPr="009A7A7D">
        <w:rPr>
          <w:rFonts w:cs="Times New Roman"/>
        </w:rPr>
        <w:t>*Within treatment, PM differs from AM (</w:t>
      </w:r>
      <w:r w:rsidRPr="009A7A7D">
        <w:rPr>
          <w:rFonts w:cs="Times New Roman"/>
          <w:i/>
          <w:iCs/>
        </w:rPr>
        <w:t>P</w:t>
      </w:r>
      <w:r w:rsidRPr="009A7A7D">
        <w:rPr>
          <w:rFonts w:cs="Times New Roman"/>
        </w:rPr>
        <w:t xml:space="preserve">&lt;0.05); </w:t>
      </w:r>
      <w:proofErr w:type="spellStart"/>
      <w:r w:rsidRPr="009A7A7D">
        <w:rPr>
          <w:rFonts w:cs="Times New Roman"/>
          <w:vertAlign w:val="superscript"/>
        </w:rPr>
        <w:t>abc</w:t>
      </w:r>
      <w:r w:rsidRPr="009A7A7D">
        <w:rPr>
          <w:rFonts w:cs="Times New Roman"/>
        </w:rPr>
        <w:t>Within</w:t>
      </w:r>
      <w:proofErr w:type="spellEnd"/>
      <w:r w:rsidRPr="009A7A7D">
        <w:rPr>
          <w:rFonts w:cs="Times New Roman"/>
        </w:rPr>
        <w:t xml:space="preserve"> time of SET, treatments with different letters differ (</w:t>
      </w:r>
      <w:r w:rsidRPr="009A7A7D">
        <w:rPr>
          <w:rFonts w:cs="Times New Roman"/>
          <w:i/>
          <w:iCs/>
        </w:rPr>
        <w:t>P</w:t>
      </w:r>
      <w:r w:rsidRPr="009A7A7D">
        <w:rPr>
          <w:rFonts w:cs="Times New Roman"/>
        </w:rPr>
        <w:t>&lt;0.05)</w:t>
      </w:r>
    </w:p>
    <w:p w14:paraId="5966701E" w14:textId="064564E6" w:rsidR="0074483E" w:rsidRPr="009A7A7D" w:rsidRDefault="006673A7" w:rsidP="0074483E">
      <w:pPr>
        <w:rPr>
          <w:rFonts w:cs="Times New Roman"/>
        </w:rPr>
      </w:pPr>
      <w:r w:rsidRPr="009A7A7D">
        <w:rPr>
          <w:rFonts w:cs="Times New Roman"/>
          <w:noProof/>
          <w:lang w:val="en-US"/>
        </w:rPr>
        <w:t xml:space="preserve"> </w:t>
      </w:r>
      <w:r w:rsidRPr="009A7A7D">
        <w:rPr>
          <w:rFonts w:cs="Times New Roman"/>
          <w:noProof/>
          <w:lang w:val="en-US"/>
        </w:rPr>
        <w:object w:dxaOrig="9511" w:dyaOrig="8909" w14:anchorId="208714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67.75pt;height:233.25pt;mso-width-percent:0;mso-height-percent:0;mso-width-percent:0;mso-height-percent:0" o:ole="" filled="t">
            <v:imagedata r:id="rId9" o:title="" cropbottom="4468f"/>
          </v:shape>
          <o:OLEObject Type="Embed" ProgID="Prism10.Document" ShapeID="_x0000_i1025" DrawAspect="Content" ObjectID="_1798900067" r:id="rId10"/>
        </w:object>
      </w:r>
    </w:p>
    <w:p w14:paraId="16BB9E66" w14:textId="0EF97B39" w:rsidR="0074483E" w:rsidRPr="009A7A7D" w:rsidRDefault="0074483E">
      <w:pPr>
        <w:rPr>
          <w:rFonts w:cs="Times New Roman"/>
          <w:lang w:val="en-US"/>
        </w:rPr>
      </w:pPr>
      <w:r w:rsidRPr="009A7A7D">
        <w:rPr>
          <w:rFonts w:cs="Times New Roman"/>
          <w:b/>
          <w:bCs/>
          <w:lang w:val="en-US"/>
        </w:rPr>
        <w:t xml:space="preserve">Figure 1. </w:t>
      </w:r>
      <w:r w:rsidRPr="009A7A7D">
        <w:rPr>
          <w:rFonts w:cs="Times New Roman"/>
          <w:lang w:val="en-US"/>
        </w:rPr>
        <w:t>Serum Amyloid A concentrations</w:t>
      </w:r>
      <w:r w:rsidRPr="009A7A7D">
        <w:rPr>
          <w:rFonts w:cs="Times New Roman"/>
          <w:b/>
          <w:bCs/>
          <w:lang w:val="en-US"/>
        </w:rPr>
        <w:t xml:space="preserve"> </w:t>
      </w:r>
      <w:r w:rsidRPr="009A7A7D">
        <w:rPr>
          <w:rFonts w:cs="Times New Roman"/>
          <w:lang w:val="en-US"/>
        </w:rPr>
        <w:t xml:space="preserve">pre-, 4, 22, 28, and 46h post- (T-2, T4, T22, T28, and T46, respectively) a 2-h standardized exercise test (SET) </w:t>
      </w:r>
      <w:r w:rsidRPr="009A7A7D">
        <w:rPr>
          <w:rFonts w:cs="Times New Roman"/>
        </w:rPr>
        <w:t>performed at 0600 h (AM) or 1800 h (PM</w:t>
      </w:r>
      <w:bookmarkStart w:id="0" w:name="OLE_LINK1"/>
      <w:r w:rsidRPr="009A7A7D">
        <w:rPr>
          <w:rFonts w:cs="Times New Roman"/>
        </w:rPr>
        <w:t xml:space="preserve">) in horses following </w:t>
      </w:r>
      <w:r w:rsidRPr="009A7A7D">
        <w:rPr>
          <w:rFonts w:cs="Times New Roman"/>
          <w:lang w:val="en-US"/>
        </w:rPr>
        <w:t>45 days</w:t>
      </w:r>
      <w:r w:rsidRPr="009A7A7D">
        <w:rPr>
          <w:rFonts w:cs="Times New Roman"/>
        </w:rPr>
        <w:t xml:space="preserve"> of one of three different light treatments</w:t>
      </w:r>
      <w:r w:rsidRPr="009A7A7D">
        <w:rPr>
          <w:rFonts w:cs="Times New Roman"/>
          <w:lang w:val="en-US"/>
        </w:rPr>
        <w:t>: 1) Control (CON) – sunlight by day, no artificial light at night; 2) Competition (COMP) – soft white, fluorescent barn lights 24 h/d; or 3) Circadian (CIRC) – COMP lighting but fitted with a</w:t>
      </w:r>
      <w:r w:rsidR="00F52DAB" w:rsidRPr="009A7A7D">
        <w:rPr>
          <w:rFonts w:cs="Times New Roman"/>
          <w:lang w:val="en-US"/>
        </w:rPr>
        <w:t xml:space="preserve">n </w:t>
      </w:r>
      <w:proofErr w:type="spellStart"/>
      <w:r w:rsidRPr="009A7A7D">
        <w:rPr>
          <w:rFonts w:cs="Times New Roman"/>
          <w:lang w:val="en-US"/>
        </w:rPr>
        <w:t>Equilume</w:t>
      </w:r>
      <w:proofErr w:type="spellEnd"/>
      <w:r w:rsidRPr="009A7A7D">
        <w:rPr>
          <w:rFonts w:cs="Times New Roman"/>
          <w:lang w:val="en-US"/>
        </w:rPr>
        <w:t xml:space="preserve"> blue light mask by day and red-tinted visor by night.</w:t>
      </w:r>
      <w:bookmarkEnd w:id="0"/>
    </w:p>
    <w:p w14:paraId="68E461EC" w14:textId="317E8356" w:rsidR="007B30E3" w:rsidRPr="009A7A7D" w:rsidRDefault="007B30E3">
      <w:pPr>
        <w:rPr>
          <w:rFonts w:cs="Times New Roman"/>
          <w:b/>
          <w:bCs/>
          <w:lang w:val="en-US"/>
        </w:rPr>
      </w:pPr>
      <w:r w:rsidRPr="009A7A7D">
        <w:rPr>
          <w:rFonts w:cs="Times New Roman"/>
          <w:b/>
          <w:bCs/>
          <w:lang w:val="en-US"/>
        </w:rPr>
        <w:t>Conclusions</w:t>
      </w:r>
    </w:p>
    <w:p w14:paraId="63D0D594" w14:textId="0AD9D2CD" w:rsidR="00DE7919" w:rsidRPr="009A7A7D" w:rsidRDefault="0097547F">
      <w:pPr>
        <w:rPr>
          <w:rFonts w:cs="Times New Roman"/>
        </w:rPr>
      </w:pPr>
      <w:r w:rsidRPr="009A7A7D">
        <w:rPr>
          <w:rFonts w:cs="Times New Roman"/>
        </w:rPr>
        <w:lastRenderedPageBreak/>
        <w:t xml:space="preserve">These data suggest that PM exercise </w:t>
      </w:r>
      <w:r w:rsidR="00326EA5" w:rsidRPr="009A7A7D">
        <w:rPr>
          <w:rFonts w:cs="Times New Roman"/>
        </w:rPr>
        <w:t>is</w:t>
      </w:r>
      <w:r w:rsidRPr="009A7A7D">
        <w:rPr>
          <w:rFonts w:cs="Times New Roman"/>
        </w:rPr>
        <w:t xml:space="preserve"> less inflammatory</w:t>
      </w:r>
      <w:r w:rsidR="00326EA5" w:rsidRPr="009A7A7D">
        <w:rPr>
          <w:rFonts w:cs="Times New Roman"/>
        </w:rPr>
        <w:t xml:space="preserve"> than A</w:t>
      </w:r>
      <w:r w:rsidR="00830BC1" w:rsidRPr="009A7A7D">
        <w:rPr>
          <w:rFonts w:cs="Times New Roman"/>
        </w:rPr>
        <w:t>M</w:t>
      </w:r>
      <w:r w:rsidR="00326EA5" w:rsidRPr="009A7A7D">
        <w:rPr>
          <w:rFonts w:cs="Times New Roman"/>
        </w:rPr>
        <w:t xml:space="preserve"> exercise</w:t>
      </w:r>
      <w:r w:rsidRPr="009A7A7D">
        <w:rPr>
          <w:rFonts w:cs="Times New Roman"/>
        </w:rPr>
        <w:t xml:space="preserve"> for horses under ideal circadian lighting (blue light</w:t>
      </w:r>
      <w:r w:rsidR="00326EA5" w:rsidRPr="009A7A7D">
        <w:rPr>
          <w:rFonts w:cs="Times New Roman"/>
        </w:rPr>
        <w:t>/</w:t>
      </w:r>
      <w:r w:rsidRPr="009A7A7D">
        <w:rPr>
          <w:rFonts w:cs="Times New Roman"/>
        </w:rPr>
        <w:t>sunlight by day and absence of blue light at night)</w:t>
      </w:r>
      <w:r w:rsidR="00326EA5" w:rsidRPr="009A7A7D">
        <w:rPr>
          <w:rFonts w:cs="Times New Roman"/>
        </w:rPr>
        <w:t>,</w:t>
      </w:r>
      <w:r w:rsidRPr="009A7A7D">
        <w:rPr>
          <w:rFonts w:cs="Times New Roman"/>
        </w:rPr>
        <w:t xml:space="preserve"> but this is not consistent in horses under weak barn lights 24 h/d. </w:t>
      </w:r>
      <w:r w:rsidR="00326EA5" w:rsidRPr="009A7A7D">
        <w:rPr>
          <w:rFonts w:cs="Times New Roman"/>
        </w:rPr>
        <w:t>Optimizing time</w:t>
      </w:r>
      <w:r w:rsidR="001974C2">
        <w:rPr>
          <w:rFonts w:cs="Times New Roman"/>
        </w:rPr>
        <w:t xml:space="preserve"> </w:t>
      </w:r>
      <w:r w:rsidR="00326EA5" w:rsidRPr="009A7A7D">
        <w:rPr>
          <w:rFonts w:cs="Times New Roman"/>
        </w:rPr>
        <w:t>of</w:t>
      </w:r>
      <w:r w:rsidR="001974C2">
        <w:rPr>
          <w:rFonts w:cs="Times New Roman"/>
        </w:rPr>
        <w:t xml:space="preserve"> </w:t>
      </w:r>
      <w:r w:rsidR="00326EA5" w:rsidRPr="009A7A7D">
        <w:rPr>
          <w:rFonts w:cs="Times New Roman"/>
        </w:rPr>
        <w:t xml:space="preserve">day of exercise and </w:t>
      </w:r>
      <w:r w:rsidR="00AE31C2" w:rsidRPr="009A7A7D">
        <w:rPr>
          <w:rFonts w:cs="Times New Roman"/>
        </w:rPr>
        <w:t>barn lighting conditions</w:t>
      </w:r>
      <w:r w:rsidR="00326EA5" w:rsidRPr="009A7A7D">
        <w:rPr>
          <w:rFonts w:cs="Times New Roman"/>
        </w:rPr>
        <w:t xml:space="preserve"> could improve</w:t>
      </w:r>
      <w:r w:rsidR="009E65FC" w:rsidRPr="009A7A7D">
        <w:rPr>
          <w:rFonts w:cs="Times New Roman"/>
        </w:rPr>
        <w:t xml:space="preserve"> exercise-induced</w:t>
      </w:r>
      <w:r w:rsidR="00326EA5" w:rsidRPr="009A7A7D">
        <w:rPr>
          <w:rFonts w:cs="Times New Roman"/>
        </w:rPr>
        <w:t xml:space="preserve"> inflammat</w:t>
      </w:r>
      <w:r w:rsidR="009E65FC" w:rsidRPr="009A7A7D">
        <w:rPr>
          <w:rFonts w:cs="Times New Roman"/>
        </w:rPr>
        <w:t xml:space="preserve">ory </w:t>
      </w:r>
      <w:r w:rsidR="00326EA5" w:rsidRPr="009A7A7D">
        <w:rPr>
          <w:rFonts w:cs="Times New Roman"/>
        </w:rPr>
        <w:t>responses in young horses</w:t>
      </w:r>
      <w:r w:rsidR="00104056" w:rsidRPr="009A7A7D">
        <w:rPr>
          <w:rFonts w:cs="Times New Roman"/>
        </w:rPr>
        <w:t>.</w:t>
      </w:r>
    </w:p>
    <w:p w14:paraId="27C23462" w14:textId="77777777" w:rsidR="00DE7919" w:rsidRPr="009A7A7D" w:rsidRDefault="00DE7919">
      <w:pPr>
        <w:rPr>
          <w:rFonts w:cs="Times New Roman"/>
          <w:b/>
          <w:bCs/>
        </w:rPr>
      </w:pPr>
      <w:r w:rsidRPr="009A7A7D">
        <w:rPr>
          <w:rFonts w:cs="Times New Roman"/>
          <w:b/>
          <w:bCs/>
        </w:rPr>
        <w:t>Acknowledgements</w:t>
      </w:r>
    </w:p>
    <w:p w14:paraId="0D398AD1" w14:textId="42B6ED15" w:rsidR="004721D2" w:rsidRPr="009A7A7D" w:rsidRDefault="00DE7919">
      <w:pPr>
        <w:rPr>
          <w:rFonts w:cs="Times New Roman"/>
          <w:b/>
          <w:bCs/>
        </w:rPr>
      </w:pPr>
      <w:r w:rsidRPr="009A7A7D">
        <w:rPr>
          <w:rFonts w:cs="Times New Roman"/>
        </w:rPr>
        <w:t xml:space="preserve">The authors acknowledge funding from </w:t>
      </w:r>
      <w:proofErr w:type="spellStart"/>
      <w:r w:rsidRPr="009A7A7D">
        <w:rPr>
          <w:rFonts w:cs="Times New Roman"/>
        </w:rPr>
        <w:t>Equilume</w:t>
      </w:r>
      <w:proofErr w:type="spellEnd"/>
      <w:r w:rsidR="00960F15">
        <w:rPr>
          <w:rFonts w:cs="Times New Roman"/>
        </w:rPr>
        <w:t xml:space="preserve"> </w:t>
      </w:r>
      <w:r w:rsidRPr="009A7A7D">
        <w:rPr>
          <w:rFonts w:cs="Times New Roman"/>
        </w:rPr>
        <w:t>and Texas A&amp;M Institute for Equine Science</w:t>
      </w:r>
      <w:r w:rsidR="00602D9F" w:rsidRPr="009A7A7D">
        <w:rPr>
          <w:rFonts w:cs="Times New Roman"/>
        </w:rPr>
        <w:t>s.</w:t>
      </w:r>
      <w:r w:rsidR="0068113C" w:rsidRPr="009A7A7D">
        <w:rPr>
          <w:rFonts w:cs="Times New Roman"/>
          <w:b/>
          <w:bCs/>
        </w:rPr>
        <w:t xml:space="preserve"> </w:t>
      </w:r>
    </w:p>
    <w:p w14:paraId="0ADB320F" w14:textId="001DAB19" w:rsidR="007B30E3" w:rsidRPr="009A7A7D" w:rsidRDefault="007B30E3">
      <w:pPr>
        <w:rPr>
          <w:rFonts w:cs="Times New Roman"/>
          <w:b/>
          <w:bCs/>
          <w:lang w:val="en-US"/>
        </w:rPr>
      </w:pPr>
      <w:r w:rsidRPr="009A7A7D">
        <w:rPr>
          <w:rFonts w:cs="Times New Roman"/>
          <w:b/>
          <w:bCs/>
          <w:lang w:val="en-US"/>
        </w:rPr>
        <w:t>References</w:t>
      </w:r>
    </w:p>
    <w:p w14:paraId="510EDA59" w14:textId="71B38BF1" w:rsidR="0001222A" w:rsidRPr="009A7A7D" w:rsidRDefault="00C87094" w:rsidP="00C87094">
      <w:pPr>
        <w:rPr>
          <w:rFonts w:cs="Times New Roman"/>
          <w:lang w:val="en-US"/>
        </w:rPr>
      </w:pPr>
      <w:r w:rsidRPr="009A7A7D">
        <w:rPr>
          <w:rFonts w:cs="Times New Roman"/>
          <w:lang w:val="en-US"/>
        </w:rPr>
        <w:t xml:space="preserve">Kang, J., </w:t>
      </w:r>
      <w:proofErr w:type="spellStart"/>
      <w:r w:rsidRPr="009A7A7D">
        <w:rPr>
          <w:rFonts w:cs="Times New Roman"/>
          <w:lang w:val="en-US"/>
        </w:rPr>
        <w:t>Ratamess</w:t>
      </w:r>
      <w:proofErr w:type="spellEnd"/>
      <w:r w:rsidRPr="009A7A7D">
        <w:rPr>
          <w:rFonts w:cs="Times New Roman"/>
          <w:lang w:val="en-US"/>
        </w:rPr>
        <w:t xml:space="preserve">, N.A., </w:t>
      </w:r>
      <w:proofErr w:type="spellStart"/>
      <w:r w:rsidRPr="009A7A7D">
        <w:rPr>
          <w:rFonts w:cs="Times New Roman"/>
          <w:lang w:val="en-US"/>
        </w:rPr>
        <w:t>Faigenbaum</w:t>
      </w:r>
      <w:proofErr w:type="spellEnd"/>
      <w:r w:rsidRPr="009A7A7D">
        <w:rPr>
          <w:rFonts w:cs="Times New Roman"/>
          <w:lang w:val="en-US"/>
        </w:rPr>
        <w:t>, A.D., Bush, J.A., Finnerty, C., DiFiore, M., Garcia, A., Beller, N.</w:t>
      </w:r>
      <w:r w:rsidR="008A7DB5" w:rsidRPr="009A7A7D">
        <w:rPr>
          <w:rFonts w:cs="Times New Roman"/>
          <w:lang w:val="en-US"/>
        </w:rPr>
        <w:t>,</w:t>
      </w:r>
      <w:r w:rsidRPr="009A7A7D">
        <w:rPr>
          <w:rFonts w:cs="Times New Roman"/>
          <w:lang w:val="en-US"/>
        </w:rPr>
        <w:t xml:space="preserve"> 2023. Time-of-</w:t>
      </w:r>
      <w:r w:rsidR="008A7DB5" w:rsidRPr="009A7A7D">
        <w:rPr>
          <w:rFonts w:cs="Times New Roman"/>
          <w:lang w:val="en-US"/>
        </w:rPr>
        <w:t>d</w:t>
      </w:r>
      <w:r w:rsidRPr="009A7A7D">
        <w:rPr>
          <w:rFonts w:cs="Times New Roman"/>
          <w:lang w:val="en-US"/>
        </w:rPr>
        <w:t xml:space="preserve">ay </w:t>
      </w:r>
      <w:r w:rsidR="008A7DB5" w:rsidRPr="009A7A7D">
        <w:rPr>
          <w:rFonts w:cs="Times New Roman"/>
          <w:lang w:val="en-US"/>
        </w:rPr>
        <w:t>e</w:t>
      </w:r>
      <w:r w:rsidRPr="009A7A7D">
        <w:rPr>
          <w:rFonts w:cs="Times New Roman"/>
          <w:lang w:val="en-US"/>
        </w:rPr>
        <w:t xml:space="preserve">ffects of </w:t>
      </w:r>
      <w:r w:rsidR="008A7DB5" w:rsidRPr="009A7A7D">
        <w:rPr>
          <w:rFonts w:cs="Times New Roman"/>
          <w:lang w:val="en-US"/>
        </w:rPr>
        <w:t>e</w:t>
      </w:r>
      <w:r w:rsidRPr="009A7A7D">
        <w:rPr>
          <w:rFonts w:cs="Times New Roman"/>
          <w:lang w:val="en-US"/>
        </w:rPr>
        <w:t xml:space="preserve">xercise on </w:t>
      </w:r>
      <w:r w:rsidR="008A7DB5" w:rsidRPr="009A7A7D">
        <w:rPr>
          <w:rFonts w:cs="Times New Roman"/>
          <w:lang w:val="en-US"/>
        </w:rPr>
        <w:t>c</w:t>
      </w:r>
      <w:r w:rsidRPr="009A7A7D">
        <w:rPr>
          <w:rFonts w:cs="Times New Roman"/>
          <w:lang w:val="en-US"/>
        </w:rPr>
        <w:t xml:space="preserve">ardiorespiratory </w:t>
      </w:r>
      <w:r w:rsidR="008A7DB5" w:rsidRPr="009A7A7D">
        <w:rPr>
          <w:rFonts w:cs="Times New Roman"/>
          <w:lang w:val="en-US"/>
        </w:rPr>
        <w:t>r</w:t>
      </w:r>
      <w:r w:rsidRPr="009A7A7D">
        <w:rPr>
          <w:rFonts w:cs="Times New Roman"/>
          <w:lang w:val="en-US"/>
        </w:rPr>
        <w:t xml:space="preserve">esponses and </w:t>
      </w:r>
      <w:r w:rsidR="008A7DB5" w:rsidRPr="009A7A7D">
        <w:rPr>
          <w:rFonts w:cs="Times New Roman"/>
          <w:lang w:val="en-US"/>
        </w:rPr>
        <w:t>e</w:t>
      </w:r>
      <w:r w:rsidRPr="009A7A7D">
        <w:rPr>
          <w:rFonts w:cs="Times New Roman"/>
          <w:lang w:val="en-US"/>
        </w:rPr>
        <w:t xml:space="preserve">ndurance </w:t>
      </w:r>
      <w:r w:rsidR="008A7DB5" w:rsidRPr="009A7A7D">
        <w:rPr>
          <w:rFonts w:cs="Times New Roman"/>
          <w:lang w:val="en-US"/>
        </w:rPr>
        <w:t>p</w:t>
      </w:r>
      <w:r w:rsidRPr="009A7A7D">
        <w:rPr>
          <w:rFonts w:cs="Times New Roman"/>
          <w:lang w:val="en-US"/>
        </w:rPr>
        <w:t xml:space="preserve">erformance—A </w:t>
      </w:r>
      <w:r w:rsidR="008A7DB5" w:rsidRPr="009A7A7D">
        <w:rPr>
          <w:rFonts w:cs="Times New Roman"/>
          <w:lang w:val="en-US"/>
        </w:rPr>
        <w:t>s</w:t>
      </w:r>
      <w:r w:rsidRPr="009A7A7D">
        <w:rPr>
          <w:rFonts w:cs="Times New Roman"/>
          <w:lang w:val="en-US"/>
        </w:rPr>
        <w:t xml:space="preserve">ystematic </w:t>
      </w:r>
      <w:r w:rsidR="008A7DB5" w:rsidRPr="009A7A7D">
        <w:rPr>
          <w:rFonts w:cs="Times New Roman"/>
          <w:lang w:val="en-US"/>
        </w:rPr>
        <w:t>r</w:t>
      </w:r>
      <w:r w:rsidRPr="009A7A7D">
        <w:rPr>
          <w:rFonts w:cs="Times New Roman"/>
          <w:lang w:val="en-US"/>
        </w:rPr>
        <w:t xml:space="preserve">eview and </w:t>
      </w:r>
      <w:r w:rsidR="008A7DB5" w:rsidRPr="009A7A7D">
        <w:rPr>
          <w:rFonts w:cs="Times New Roman"/>
          <w:lang w:val="en-US"/>
        </w:rPr>
        <w:t>m</w:t>
      </w:r>
      <w:r w:rsidRPr="009A7A7D">
        <w:rPr>
          <w:rFonts w:cs="Times New Roman"/>
          <w:lang w:val="en-US"/>
        </w:rPr>
        <w:t>eta-</w:t>
      </w:r>
      <w:r w:rsidR="008A7DB5" w:rsidRPr="009A7A7D">
        <w:rPr>
          <w:rFonts w:cs="Times New Roman"/>
          <w:lang w:val="en-US"/>
        </w:rPr>
        <w:t>a</w:t>
      </w:r>
      <w:r w:rsidRPr="009A7A7D">
        <w:rPr>
          <w:rFonts w:cs="Times New Roman"/>
          <w:lang w:val="en-US"/>
        </w:rPr>
        <w:t xml:space="preserve">nalysis. </w:t>
      </w:r>
      <w:r w:rsidRPr="009A7A7D">
        <w:rPr>
          <w:rFonts w:cs="Times New Roman"/>
        </w:rPr>
        <w:t>Journal of Strength and Conditioning Research. 37(10)</w:t>
      </w:r>
      <w:r w:rsidR="008A7DB5" w:rsidRPr="009A7A7D">
        <w:rPr>
          <w:rFonts w:cs="Times New Roman"/>
        </w:rPr>
        <w:t>,</w:t>
      </w:r>
      <w:r w:rsidRPr="009A7A7D">
        <w:rPr>
          <w:rFonts w:cs="Times New Roman"/>
        </w:rPr>
        <w:t xml:space="preserve"> 2080-2090</w:t>
      </w:r>
      <w:r w:rsidR="00FC0B2F" w:rsidRPr="009A7A7D">
        <w:rPr>
          <w:rFonts w:cs="Times New Roman"/>
        </w:rPr>
        <w:t>.</w:t>
      </w:r>
      <w:hyperlink r:id="rId11" w:history="1">
        <w:r w:rsidRPr="009A7A7D">
          <w:rPr>
            <w:rStyle w:val="Hyperlink"/>
            <w:rFonts w:cs="Times New Roman"/>
            <w:lang w:val="en-US"/>
          </w:rPr>
          <w:br/>
        </w:r>
      </w:hyperlink>
    </w:p>
    <w:p w14:paraId="4FEA8E67" w14:textId="77777777" w:rsidR="00EE22FB" w:rsidRPr="009A7A7D" w:rsidRDefault="00EE22FB">
      <w:pPr>
        <w:rPr>
          <w:rFonts w:cs="Times New Roman"/>
          <w:b/>
          <w:bCs/>
          <w:lang w:val="en-US"/>
        </w:rPr>
      </w:pPr>
    </w:p>
    <w:sectPr w:rsidR="00EE22FB" w:rsidRPr="009A7A7D" w:rsidSect="00DD21B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046F"/>
    <w:multiLevelType w:val="hybridMultilevel"/>
    <w:tmpl w:val="687E4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D0B77"/>
    <w:multiLevelType w:val="hybridMultilevel"/>
    <w:tmpl w:val="989890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890609">
    <w:abstractNumId w:val="0"/>
  </w:num>
  <w:num w:numId="2" w16cid:durableId="1368023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E3"/>
    <w:rsid w:val="0001222A"/>
    <w:rsid w:val="00046461"/>
    <w:rsid w:val="00102796"/>
    <w:rsid w:val="00104056"/>
    <w:rsid w:val="00107140"/>
    <w:rsid w:val="001410BD"/>
    <w:rsid w:val="00192F89"/>
    <w:rsid w:val="001974C2"/>
    <w:rsid w:val="001C7D1A"/>
    <w:rsid w:val="001D64D6"/>
    <w:rsid w:val="001E7D15"/>
    <w:rsid w:val="002570CB"/>
    <w:rsid w:val="002802C4"/>
    <w:rsid w:val="002819F5"/>
    <w:rsid w:val="0028473B"/>
    <w:rsid w:val="002A45A8"/>
    <w:rsid w:val="002F5AE3"/>
    <w:rsid w:val="0031658E"/>
    <w:rsid w:val="00326EA5"/>
    <w:rsid w:val="00330B95"/>
    <w:rsid w:val="00331646"/>
    <w:rsid w:val="003678F1"/>
    <w:rsid w:val="00377233"/>
    <w:rsid w:val="00383DCD"/>
    <w:rsid w:val="00386819"/>
    <w:rsid w:val="00397193"/>
    <w:rsid w:val="003A01D2"/>
    <w:rsid w:val="003D367F"/>
    <w:rsid w:val="00403502"/>
    <w:rsid w:val="004045CB"/>
    <w:rsid w:val="004149DC"/>
    <w:rsid w:val="00443EE0"/>
    <w:rsid w:val="0045239B"/>
    <w:rsid w:val="004558D8"/>
    <w:rsid w:val="00455FE2"/>
    <w:rsid w:val="004721D2"/>
    <w:rsid w:val="004D4A84"/>
    <w:rsid w:val="005427CF"/>
    <w:rsid w:val="0055320B"/>
    <w:rsid w:val="00573BC7"/>
    <w:rsid w:val="005B1BB3"/>
    <w:rsid w:val="005C3C6D"/>
    <w:rsid w:val="00602D9F"/>
    <w:rsid w:val="00602E7C"/>
    <w:rsid w:val="00625B14"/>
    <w:rsid w:val="00663CB1"/>
    <w:rsid w:val="006673A7"/>
    <w:rsid w:val="0068113C"/>
    <w:rsid w:val="006D10F0"/>
    <w:rsid w:val="006D6309"/>
    <w:rsid w:val="0074483E"/>
    <w:rsid w:val="007521F3"/>
    <w:rsid w:val="007634B4"/>
    <w:rsid w:val="0076797D"/>
    <w:rsid w:val="007828F3"/>
    <w:rsid w:val="007954BF"/>
    <w:rsid w:val="007B30E3"/>
    <w:rsid w:val="007B7D30"/>
    <w:rsid w:val="007D0382"/>
    <w:rsid w:val="007D4749"/>
    <w:rsid w:val="00803D0C"/>
    <w:rsid w:val="00814663"/>
    <w:rsid w:val="00814967"/>
    <w:rsid w:val="00830BC1"/>
    <w:rsid w:val="00837E75"/>
    <w:rsid w:val="0084071D"/>
    <w:rsid w:val="008A7DB5"/>
    <w:rsid w:val="008C0953"/>
    <w:rsid w:val="008C30EB"/>
    <w:rsid w:val="008C7C03"/>
    <w:rsid w:val="009228EE"/>
    <w:rsid w:val="00922FAF"/>
    <w:rsid w:val="00933E8C"/>
    <w:rsid w:val="00960F15"/>
    <w:rsid w:val="00964F76"/>
    <w:rsid w:val="0097547F"/>
    <w:rsid w:val="009860E6"/>
    <w:rsid w:val="0099319F"/>
    <w:rsid w:val="009A7A7D"/>
    <w:rsid w:val="009E65FC"/>
    <w:rsid w:val="009F46CA"/>
    <w:rsid w:val="00A41B9A"/>
    <w:rsid w:val="00A42F07"/>
    <w:rsid w:val="00A56A26"/>
    <w:rsid w:val="00A56BC4"/>
    <w:rsid w:val="00A71E7E"/>
    <w:rsid w:val="00A8787C"/>
    <w:rsid w:val="00AB6A0A"/>
    <w:rsid w:val="00AE31C2"/>
    <w:rsid w:val="00AF7B17"/>
    <w:rsid w:val="00B1752F"/>
    <w:rsid w:val="00B52E4E"/>
    <w:rsid w:val="00B66F10"/>
    <w:rsid w:val="00B67EF4"/>
    <w:rsid w:val="00B73D45"/>
    <w:rsid w:val="00BA757A"/>
    <w:rsid w:val="00C13D58"/>
    <w:rsid w:val="00C158A3"/>
    <w:rsid w:val="00C17084"/>
    <w:rsid w:val="00C25D3D"/>
    <w:rsid w:val="00C27CB2"/>
    <w:rsid w:val="00C53AE2"/>
    <w:rsid w:val="00C60CF8"/>
    <w:rsid w:val="00C87094"/>
    <w:rsid w:val="00C879F4"/>
    <w:rsid w:val="00C95030"/>
    <w:rsid w:val="00CD17BC"/>
    <w:rsid w:val="00CF2D12"/>
    <w:rsid w:val="00D356B1"/>
    <w:rsid w:val="00D477B4"/>
    <w:rsid w:val="00D7265D"/>
    <w:rsid w:val="00DC7116"/>
    <w:rsid w:val="00DD21B5"/>
    <w:rsid w:val="00DE28F5"/>
    <w:rsid w:val="00DE7919"/>
    <w:rsid w:val="00E27EE6"/>
    <w:rsid w:val="00EA21BD"/>
    <w:rsid w:val="00EE22FB"/>
    <w:rsid w:val="00EF63BD"/>
    <w:rsid w:val="00F52DAB"/>
    <w:rsid w:val="00FB3618"/>
    <w:rsid w:val="00FB4E59"/>
    <w:rsid w:val="00FB4EB8"/>
    <w:rsid w:val="00FC0B2F"/>
    <w:rsid w:val="00FE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83A22"/>
  <w15:chartTrackingRefBased/>
  <w15:docId w15:val="{7866DFB2-6230-4A7B-83FB-A53F4A22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0E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71E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1E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1E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E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E7E"/>
    <w:rPr>
      <w:b/>
      <w:bCs/>
      <w:sz w:val="20"/>
      <w:szCs w:val="20"/>
    </w:rPr>
  </w:style>
  <w:style w:type="table" w:styleId="ListTable6Colorful">
    <w:name w:val="List Table 6 Colorful"/>
    <w:basedOn w:val="TableNormal"/>
    <w:uiPriority w:val="51"/>
    <w:rsid w:val="00CF2D1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on">
    <w:name w:val="Revision"/>
    <w:hidden/>
    <w:uiPriority w:val="99"/>
    <w:semiHidden/>
    <w:rsid w:val="004D4A8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870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09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B4E5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7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1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4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urnals.lww.com/nsca-jscr/fulltext/2023/10000/time_of_day_effects_of_exercise_on.24.aspx" TargetMode="External"/><Relationship Id="rId5" Type="http://schemas.openxmlformats.org/officeDocument/2006/relationships/numbering" Target="numbering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3A9E8D51AC34D88BEBDC6697AB1BA" ma:contentTypeVersion="15" ma:contentTypeDescription="Create a new document." ma:contentTypeScope="" ma:versionID="3f40f4d58680edde78558b4b40054ade">
  <xsd:schema xmlns:xsd="http://www.w3.org/2001/XMLSchema" xmlns:xs="http://www.w3.org/2001/XMLSchema" xmlns:p="http://schemas.microsoft.com/office/2006/metadata/properties" xmlns:ns2="563d7928-de39-40eb-aaef-3504eb7eef23" xmlns:ns3="a6522d93-ccde-437d-a793-b289ee708a2f" targetNamespace="http://schemas.microsoft.com/office/2006/metadata/properties" ma:root="true" ma:fieldsID="1bcd67b4f1738204f3ee03097d2407d4" ns2:_="" ns3:_="">
    <xsd:import namespace="563d7928-de39-40eb-aaef-3504eb7eef23"/>
    <xsd:import namespace="a6522d93-ccde-437d-a793-b289ee708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d7928-de39-40eb-aaef-3504eb7ee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090d37-0cf0-4191-99ae-e11c03e71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22d93-ccde-437d-a793-b289ee708a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8787e5-1a83-4099-8018-dcd51ec2f4c3}" ma:internalName="TaxCatchAll" ma:showField="CatchAllData" ma:web="a6522d93-ccde-437d-a793-b289ee708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3d7928-de39-40eb-aaef-3504eb7eef23">
      <Terms xmlns="http://schemas.microsoft.com/office/infopath/2007/PartnerControls"/>
    </lcf76f155ced4ddcb4097134ff3c332f>
    <TaxCatchAll xmlns="a6522d93-ccde-437d-a793-b289ee708a2f" xsi:nil="true"/>
  </documentManagement>
</p:properties>
</file>

<file path=customXml/itemProps1.xml><?xml version="1.0" encoding="utf-8"?>
<ds:datastoreItem xmlns:ds="http://schemas.openxmlformats.org/officeDocument/2006/customXml" ds:itemID="{F6EBDE11-F34E-407D-8C9E-AB0F778BC2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C27604-FE8B-4FDB-9D44-B06F4B2D5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d7928-de39-40eb-aaef-3504eb7eef23"/>
    <ds:schemaRef ds:uri="a6522d93-ccde-437d-a793-b289ee708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3D4927-B381-4278-8881-89C86CBE03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1E998D-96EF-4A0A-B53A-07C2AB504375}">
  <ds:schemaRefs>
    <ds:schemaRef ds:uri="http://schemas.microsoft.com/office/2006/metadata/properties"/>
    <ds:schemaRef ds:uri="http://schemas.microsoft.com/office/infopath/2007/PartnerControls"/>
    <ds:schemaRef ds:uri="563d7928-de39-40eb-aaef-3504eb7eef23"/>
    <ds:schemaRef ds:uri="a6522d93-ccde-437d-a793-b289ee708a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Neil</dc:creator>
  <cp:keywords/>
  <dc:description/>
  <cp:lastModifiedBy>Lauren</cp:lastModifiedBy>
  <cp:revision>2</cp:revision>
  <dcterms:created xsi:type="dcterms:W3CDTF">2025-01-20T23:40:00Z</dcterms:created>
  <dcterms:modified xsi:type="dcterms:W3CDTF">2025-01-20T23:40:00Z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0x01010050F3A9E8D51AC34D88BEBDC6697AB1BA</vt:lpwstr>
  </property>
</Properties>
</file>