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347ED" w14:textId="0574CA53" w:rsidR="001E7845" w:rsidRPr="009952F8" w:rsidRDefault="004D5900">
      <w:pPr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Does</w:t>
      </w:r>
      <w:r w:rsidR="00D75400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removing Zinc Oxide affect post-weaning blood chemistry? </w:t>
      </w:r>
    </w:p>
    <w:p w14:paraId="33D26302" w14:textId="6B71BCA0" w:rsidR="001E7845" w:rsidRPr="009952F8" w:rsidRDefault="001E7845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9952F8">
        <w:rPr>
          <w:rFonts w:ascii="Times New Roman" w:hAnsi="Times New Roman" w:cs="Times New Roman"/>
          <w:b/>
          <w:bCs/>
          <w:i/>
          <w:iCs/>
          <w:sz w:val="18"/>
          <w:szCs w:val="18"/>
          <w:lang w:val="en-US"/>
        </w:rPr>
        <w:t>Application</w:t>
      </w:r>
      <w:r w:rsidRPr="009952F8">
        <w:rPr>
          <w:rFonts w:ascii="Times New Roman" w:hAnsi="Times New Roman" w:cs="Times New Roman"/>
          <w:sz w:val="18"/>
          <w:szCs w:val="18"/>
          <w:lang w:val="en-US"/>
        </w:rPr>
        <w:t>:</w:t>
      </w:r>
      <w:r w:rsidR="00A17689">
        <w:rPr>
          <w:rFonts w:ascii="Times New Roman" w:hAnsi="Times New Roman" w:cs="Times New Roman"/>
          <w:sz w:val="18"/>
          <w:szCs w:val="18"/>
          <w:lang w:val="en-US"/>
        </w:rPr>
        <w:t xml:space="preserve"> This study shows that removing </w:t>
      </w:r>
      <w:r w:rsidR="004B72DB">
        <w:rPr>
          <w:rFonts w:ascii="Times New Roman" w:hAnsi="Times New Roman" w:cs="Times New Roman"/>
          <w:sz w:val="18"/>
          <w:szCs w:val="18"/>
          <w:lang w:val="en-US"/>
        </w:rPr>
        <w:t>Zinc Oxide (</w:t>
      </w:r>
      <w:proofErr w:type="spellStart"/>
      <w:r w:rsidR="00A17689">
        <w:rPr>
          <w:rFonts w:ascii="Times New Roman" w:hAnsi="Times New Roman" w:cs="Times New Roman"/>
          <w:sz w:val="18"/>
          <w:szCs w:val="18"/>
          <w:lang w:val="en-US"/>
        </w:rPr>
        <w:t>ZnO</w:t>
      </w:r>
      <w:proofErr w:type="spellEnd"/>
      <w:r w:rsidR="004B72DB">
        <w:rPr>
          <w:rFonts w:ascii="Times New Roman" w:hAnsi="Times New Roman" w:cs="Times New Roman"/>
          <w:sz w:val="18"/>
          <w:szCs w:val="18"/>
          <w:lang w:val="en-US"/>
        </w:rPr>
        <w:t>)</w:t>
      </w:r>
      <w:r w:rsidR="00A17689">
        <w:rPr>
          <w:rFonts w:ascii="Times New Roman" w:hAnsi="Times New Roman" w:cs="Times New Roman"/>
          <w:sz w:val="18"/>
          <w:szCs w:val="18"/>
          <w:lang w:val="en-US"/>
        </w:rPr>
        <w:t xml:space="preserve"> from post-weaning diets does not negatively affect </w:t>
      </w:r>
      <w:r w:rsidR="004D5900">
        <w:rPr>
          <w:rFonts w:ascii="Times New Roman" w:hAnsi="Times New Roman" w:cs="Times New Roman"/>
          <w:sz w:val="18"/>
          <w:szCs w:val="18"/>
          <w:lang w:val="en-US"/>
        </w:rPr>
        <w:t>C-reactive protein (CRP), Haptoglobin (Hp), Tacrolimus (TAC) or Cortisol levels in the blood.</w:t>
      </w:r>
    </w:p>
    <w:p w14:paraId="3E1AE10F" w14:textId="67AFBBBC" w:rsidR="001E7845" w:rsidRPr="009952F8" w:rsidRDefault="001E7845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9952F8">
        <w:rPr>
          <w:rFonts w:ascii="Times New Roman" w:hAnsi="Times New Roman" w:cs="Times New Roman"/>
          <w:b/>
          <w:bCs/>
          <w:i/>
          <w:iCs/>
          <w:sz w:val="18"/>
          <w:szCs w:val="18"/>
          <w:lang w:val="en-US"/>
        </w:rPr>
        <w:t>Introduction</w:t>
      </w:r>
      <w:r w:rsidRPr="009952F8">
        <w:rPr>
          <w:rFonts w:ascii="Times New Roman" w:hAnsi="Times New Roman" w:cs="Times New Roman"/>
          <w:sz w:val="18"/>
          <w:szCs w:val="18"/>
          <w:lang w:val="en-US"/>
        </w:rPr>
        <w:t>:</w:t>
      </w:r>
      <w:r w:rsidR="004D5900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216FCC">
        <w:rPr>
          <w:rFonts w:ascii="Times New Roman" w:hAnsi="Times New Roman" w:cs="Times New Roman"/>
          <w:sz w:val="18"/>
          <w:szCs w:val="18"/>
          <w:lang w:val="en-US"/>
        </w:rPr>
        <w:t>There is an urgent need to seek</w:t>
      </w:r>
      <w:r w:rsidR="00D75400">
        <w:rPr>
          <w:rFonts w:ascii="Times New Roman" w:hAnsi="Times New Roman" w:cs="Times New Roman"/>
          <w:sz w:val="18"/>
          <w:szCs w:val="18"/>
          <w:lang w:val="en-US"/>
        </w:rPr>
        <w:t xml:space="preserve"> alternative strategies to cope with the absence of </w:t>
      </w:r>
      <w:proofErr w:type="spellStart"/>
      <w:r w:rsidR="006D31B9">
        <w:rPr>
          <w:rFonts w:ascii="Times New Roman" w:hAnsi="Times New Roman" w:cs="Times New Roman"/>
          <w:sz w:val="18"/>
          <w:szCs w:val="18"/>
          <w:lang w:val="en-US"/>
        </w:rPr>
        <w:t>ZnO</w:t>
      </w:r>
      <w:proofErr w:type="spellEnd"/>
      <w:r w:rsidR="006D31B9">
        <w:rPr>
          <w:rFonts w:ascii="Times New Roman" w:hAnsi="Times New Roman" w:cs="Times New Roman"/>
          <w:sz w:val="18"/>
          <w:szCs w:val="18"/>
          <w:lang w:val="en-US"/>
        </w:rPr>
        <w:t xml:space="preserve"> in piglet diets. </w:t>
      </w:r>
      <w:r w:rsidR="00BC13B9" w:rsidRPr="00BC13B9">
        <w:rPr>
          <w:rFonts w:ascii="Times New Roman" w:hAnsi="Times New Roman" w:cs="Times New Roman"/>
          <w:sz w:val="18"/>
          <w:szCs w:val="18"/>
          <w:lang w:val="en-US"/>
        </w:rPr>
        <w:t xml:space="preserve">The European swine industry has been banned from using </w:t>
      </w:r>
      <w:proofErr w:type="spellStart"/>
      <w:r w:rsidR="00BC13B9" w:rsidRPr="00BC13B9">
        <w:rPr>
          <w:rFonts w:ascii="Times New Roman" w:hAnsi="Times New Roman" w:cs="Times New Roman"/>
          <w:sz w:val="18"/>
          <w:szCs w:val="18"/>
          <w:lang w:val="en-US"/>
        </w:rPr>
        <w:t>ZnO</w:t>
      </w:r>
      <w:proofErr w:type="spellEnd"/>
      <w:r w:rsidR="00BC13B9" w:rsidRPr="00BC13B9">
        <w:rPr>
          <w:rFonts w:ascii="Times New Roman" w:hAnsi="Times New Roman" w:cs="Times New Roman"/>
          <w:sz w:val="18"/>
          <w:szCs w:val="18"/>
          <w:lang w:val="en-US"/>
        </w:rPr>
        <w:t xml:space="preserve"> due to its effect on the environment. Modifications of Crude Protein (CP) and Crude </w:t>
      </w:r>
      <w:proofErr w:type="spellStart"/>
      <w:r w:rsidR="00BC13B9" w:rsidRPr="00BC13B9">
        <w:rPr>
          <w:rFonts w:ascii="Times New Roman" w:hAnsi="Times New Roman" w:cs="Times New Roman"/>
          <w:sz w:val="18"/>
          <w:szCs w:val="18"/>
          <w:lang w:val="en-US"/>
        </w:rPr>
        <w:t>Fibre</w:t>
      </w:r>
      <w:proofErr w:type="spellEnd"/>
      <w:r w:rsidR="00BC13B9" w:rsidRPr="00BC13B9">
        <w:rPr>
          <w:rFonts w:ascii="Times New Roman" w:hAnsi="Times New Roman" w:cs="Times New Roman"/>
          <w:sz w:val="18"/>
          <w:szCs w:val="18"/>
          <w:lang w:val="en-US"/>
        </w:rPr>
        <w:t xml:space="preserve"> (CF) have been suggested as nutritional measures to reduce the risk of post-weaning </w:t>
      </w:r>
      <w:proofErr w:type="spellStart"/>
      <w:r w:rsidR="00BC13B9" w:rsidRPr="00BC13B9">
        <w:rPr>
          <w:rFonts w:ascii="Times New Roman" w:hAnsi="Times New Roman" w:cs="Times New Roman"/>
          <w:sz w:val="18"/>
          <w:szCs w:val="18"/>
          <w:lang w:val="en-US"/>
        </w:rPr>
        <w:t>diarrhoea</w:t>
      </w:r>
      <w:proofErr w:type="spellEnd"/>
      <w:r w:rsidR="00BC13B9" w:rsidRPr="00BC13B9">
        <w:rPr>
          <w:rFonts w:ascii="Times New Roman" w:hAnsi="Times New Roman" w:cs="Times New Roman"/>
          <w:sz w:val="18"/>
          <w:szCs w:val="18"/>
          <w:lang w:val="en-US"/>
        </w:rPr>
        <w:t xml:space="preserve"> (PWD) in the absence of </w:t>
      </w:r>
      <w:proofErr w:type="spellStart"/>
      <w:r w:rsidR="00BC13B9" w:rsidRPr="00BC13B9">
        <w:rPr>
          <w:rFonts w:ascii="Times New Roman" w:hAnsi="Times New Roman" w:cs="Times New Roman"/>
          <w:sz w:val="18"/>
          <w:szCs w:val="18"/>
          <w:lang w:val="en-US"/>
        </w:rPr>
        <w:t>ZnO</w:t>
      </w:r>
      <w:proofErr w:type="spellEnd"/>
      <w:r w:rsidR="00BC13B9" w:rsidRPr="00BC13B9">
        <w:rPr>
          <w:rFonts w:ascii="Times New Roman" w:hAnsi="Times New Roman" w:cs="Times New Roman"/>
          <w:sz w:val="18"/>
          <w:szCs w:val="18"/>
          <w:lang w:val="en-US"/>
        </w:rPr>
        <w:t xml:space="preserve">. This work sought to evaluate the impact of different post-weaning diets varying in levels of CP, </w:t>
      </w:r>
      <w:proofErr w:type="gramStart"/>
      <w:r w:rsidR="00BC13B9" w:rsidRPr="00BC13B9">
        <w:rPr>
          <w:rFonts w:ascii="Times New Roman" w:hAnsi="Times New Roman" w:cs="Times New Roman"/>
          <w:sz w:val="18"/>
          <w:szCs w:val="18"/>
          <w:lang w:val="en-US"/>
        </w:rPr>
        <w:t>CF</w:t>
      </w:r>
      <w:proofErr w:type="gramEnd"/>
      <w:r w:rsidR="00BC13B9" w:rsidRPr="00BC13B9">
        <w:rPr>
          <w:rFonts w:ascii="Times New Roman" w:hAnsi="Times New Roman" w:cs="Times New Roman"/>
          <w:sz w:val="18"/>
          <w:szCs w:val="18"/>
          <w:lang w:val="en-US"/>
        </w:rPr>
        <w:t xml:space="preserve"> and the addition of dietary supplements on piglet post-weaning performance.</w:t>
      </w:r>
    </w:p>
    <w:p w14:paraId="68398872" w14:textId="33E30077" w:rsidR="00CC544C" w:rsidRPr="009952F8" w:rsidRDefault="001E7845" w:rsidP="00C12DAC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952F8">
        <w:rPr>
          <w:rFonts w:ascii="Times New Roman" w:hAnsi="Times New Roman" w:cs="Times New Roman"/>
          <w:b/>
          <w:bCs/>
          <w:i/>
          <w:iCs/>
          <w:sz w:val="18"/>
          <w:szCs w:val="18"/>
          <w:lang w:val="en-US"/>
        </w:rPr>
        <w:t>Materials and Methods</w:t>
      </w:r>
      <w:r w:rsidRPr="009952F8">
        <w:rPr>
          <w:rFonts w:ascii="Times New Roman" w:hAnsi="Times New Roman" w:cs="Times New Roman"/>
          <w:sz w:val="18"/>
          <w:szCs w:val="18"/>
          <w:lang w:val="en-US"/>
        </w:rPr>
        <w:t>:</w:t>
      </w:r>
      <w:r w:rsidR="00C12DA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1F57FD" w:rsidRPr="009952F8">
        <w:rPr>
          <w:rFonts w:ascii="Times New Roman" w:hAnsi="Times New Roman" w:cs="Times New Roman"/>
          <w:color w:val="000000" w:themeColor="text1"/>
          <w:sz w:val="18"/>
          <w:szCs w:val="18"/>
        </w:rPr>
        <w:t>720 pigs</w:t>
      </w:r>
      <w:r w:rsidR="004B72DB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  <w:r w:rsidR="001F57FD" w:rsidRPr="009952F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housed </w:t>
      </w:r>
      <w:r w:rsidR="004B72D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in </w:t>
      </w:r>
      <w:r w:rsidR="001F57FD" w:rsidRPr="009952F8">
        <w:rPr>
          <w:rFonts w:ascii="Times New Roman" w:hAnsi="Times New Roman" w:cs="Times New Roman"/>
          <w:color w:val="000000" w:themeColor="text1"/>
          <w:sz w:val="18"/>
          <w:szCs w:val="18"/>
        </w:rPr>
        <w:t>mixed-sex pens (10 pigs/pen</w:t>
      </w:r>
      <w:r w:rsidR="005C6FBF">
        <w:rPr>
          <w:rFonts w:ascii="Times New Roman" w:hAnsi="Times New Roman" w:cs="Times New Roman"/>
          <w:color w:val="000000" w:themeColor="text1"/>
          <w:sz w:val="18"/>
          <w:szCs w:val="18"/>
        </w:rPr>
        <w:t>, 12 pens/treatment</w:t>
      </w:r>
      <w:r w:rsidR="001F57FD" w:rsidRPr="009952F8">
        <w:rPr>
          <w:rFonts w:ascii="Times New Roman" w:hAnsi="Times New Roman" w:cs="Times New Roman"/>
          <w:color w:val="000000" w:themeColor="text1"/>
          <w:sz w:val="18"/>
          <w:szCs w:val="18"/>
        </w:rPr>
        <w:t>)</w:t>
      </w:r>
      <w:r w:rsidR="004B72D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and</w:t>
      </w:r>
      <w:r w:rsidR="001F57FD" w:rsidRPr="009952F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weaned at 28 days of age, were offered one of six treatments (T) constructed of a Starter 1 diet (16.25 MJ/kg DE, 1.65 % Lys) for 13 days</w:t>
      </w:r>
      <w:r w:rsidR="008311A2" w:rsidRPr="009952F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 </w:t>
      </w:r>
      <w:r w:rsidR="001F57FD" w:rsidRPr="009952F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Treatments were: </w:t>
      </w:r>
      <w:r w:rsidR="001F57FD" w:rsidRPr="009952F8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T1</w:t>
      </w:r>
      <w:r w:rsidR="001F57FD" w:rsidRPr="009952F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conventional diets (20% CP, 2.11% CF) with </w:t>
      </w:r>
      <w:proofErr w:type="spellStart"/>
      <w:r w:rsidR="001F57FD" w:rsidRPr="009952F8">
        <w:rPr>
          <w:rFonts w:ascii="Times New Roman" w:hAnsi="Times New Roman" w:cs="Times New Roman"/>
          <w:color w:val="000000" w:themeColor="text1"/>
          <w:sz w:val="18"/>
          <w:szCs w:val="18"/>
        </w:rPr>
        <w:t>ZnO</w:t>
      </w:r>
      <w:proofErr w:type="spellEnd"/>
      <w:r w:rsidR="001F57FD" w:rsidRPr="009952F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(2500mg/kg); </w:t>
      </w:r>
      <w:r w:rsidR="001F57FD" w:rsidRPr="009952F8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T2</w:t>
      </w:r>
      <w:r w:rsidR="001F57FD" w:rsidRPr="009952F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conventional diets, no additional </w:t>
      </w:r>
      <w:proofErr w:type="spellStart"/>
      <w:r w:rsidR="001F57FD" w:rsidRPr="009952F8">
        <w:rPr>
          <w:rFonts w:ascii="Times New Roman" w:hAnsi="Times New Roman" w:cs="Times New Roman"/>
          <w:color w:val="000000" w:themeColor="text1"/>
          <w:sz w:val="18"/>
          <w:szCs w:val="18"/>
        </w:rPr>
        <w:t>ZnO</w:t>
      </w:r>
      <w:proofErr w:type="spellEnd"/>
      <w:r w:rsidR="001F57FD" w:rsidRPr="009952F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; </w:t>
      </w:r>
      <w:r w:rsidR="001F57FD" w:rsidRPr="009952F8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T3</w:t>
      </w:r>
      <w:r w:rsidR="001F57FD" w:rsidRPr="009952F8">
        <w:rPr>
          <w:rFonts w:ascii="Times New Roman" w:hAnsi="Times New Roman" w:cs="Times New Roman"/>
          <w:color w:val="000000" w:themeColor="text1"/>
          <w:sz w:val="18"/>
          <w:szCs w:val="18"/>
        </w:rPr>
        <w:t>, conventional diets with antibiotic (</w:t>
      </w:r>
      <w:r w:rsidR="001F57FD" w:rsidRPr="009952F8">
        <w:rPr>
          <w:rFonts w:ascii="Times New Roman" w:hAnsi="Times New Roman" w:cs="Times New Roman"/>
          <w:sz w:val="18"/>
          <w:szCs w:val="18"/>
        </w:rPr>
        <w:t>Apramycin,100 mg/kg)</w:t>
      </w:r>
      <w:r w:rsidR="00D32FB5">
        <w:rPr>
          <w:rFonts w:ascii="Times New Roman" w:hAnsi="Times New Roman" w:cs="Times New Roman"/>
          <w:sz w:val="18"/>
          <w:szCs w:val="18"/>
        </w:rPr>
        <w:t xml:space="preserve">, no additional </w:t>
      </w:r>
      <w:proofErr w:type="spellStart"/>
      <w:r w:rsidR="00D32FB5">
        <w:rPr>
          <w:rFonts w:ascii="Times New Roman" w:hAnsi="Times New Roman" w:cs="Times New Roman"/>
          <w:sz w:val="18"/>
          <w:szCs w:val="18"/>
        </w:rPr>
        <w:t>ZnO</w:t>
      </w:r>
      <w:proofErr w:type="spellEnd"/>
      <w:r w:rsidR="001F57FD" w:rsidRPr="009952F8">
        <w:rPr>
          <w:rFonts w:ascii="Times New Roman" w:hAnsi="Times New Roman" w:cs="Times New Roman"/>
          <w:sz w:val="18"/>
          <w:szCs w:val="18"/>
        </w:rPr>
        <w:t>;</w:t>
      </w:r>
      <w:r w:rsidR="001F57FD" w:rsidRPr="009952F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F57FD" w:rsidRPr="009952F8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T4</w:t>
      </w:r>
      <w:r w:rsidR="001F57FD" w:rsidRPr="009952F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18% CP diets (3.5% CF), no additional </w:t>
      </w:r>
      <w:proofErr w:type="spellStart"/>
      <w:r w:rsidR="001F57FD" w:rsidRPr="009952F8">
        <w:rPr>
          <w:rFonts w:ascii="Times New Roman" w:hAnsi="Times New Roman" w:cs="Times New Roman"/>
          <w:color w:val="000000" w:themeColor="text1"/>
          <w:sz w:val="18"/>
          <w:szCs w:val="18"/>
        </w:rPr>
        <w:t>ZnO</w:t>
      </w:r>
      <w:proofErr w:type="spellEnd"/>
      <w:r w:rsidR="001F57FD" w:rsidRPr="009952F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; </w:t>
      </w:r>
      <w:r w:rsidR="001F57FD" w:rsidRPr="009952F8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T5</w:t>
      </w:r>
      <w:r w:rsidR="001F57FD" w:rsidRPr="009952F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16% CP diets (3.5% CF), no additional </w:t>
      </w:r>
      <w:proofErr w:type="spellStart"/>
      <w:r w:rsidR="001F57FD" w:rsidRPr="009952F8">
        <w:rPr>
          <w:rFonts w:ascii="Times New Roman" w:hAnsi="Times New Roman" w:cs="Times New Roman"/>
          <w:color w:val="000000" w:themeColor="text1"/>
          <w:sz w:val="18"/>
          <w:szCs w:val="18"/>
        </w:rPr>
        <w:t>ZnO</w:t>
      </w:r>
      <w:proofErr w:type="spellEnd"/>
      <w:r w:rsidR="001F57FD" w:rsidRPr="009952F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; </w:t>
      </w:r>
      <w:r w:rsidR="001F57FD" w:rsidRPr="009952F8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T6</w:t>
      </w:r>
      <w:r w:rsidR="001F57FD" w:rsidRPr="009952F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18% CP diets (2.49% CF) and supplemental amino acids (commercial product), no additional </w:t>
      </w:r>
      <w:proofErr w:type="spellStart"/>
      <w:r w:rsidR="001F57FD" w:rsidRPr="009952F8">
        <w:rPr>
          <w:rFonts w:ascii="Times New Roman" w:hAnsi="Times New Roman" w:cs="Times New Roman"/>
          <w:color w:val="000000" w:themeColor="text1"/>
          <w:sz w:val="18"/>
          <w:szCs w:val="18"/>
        </w:rPr>
        <w:t>ZnO</w:t>
      </w:r>
      <w:proofErr w:type="spellEnd"/>
      <w:r w:rsidR="001F57FD" w:rsidRPr="009952F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 All treatments were formulated at the same Energy/Lysine ratio. </w:t>
      </w:r>
      <w:r w:rsidR="008311A2" w:rsidRPr="009952F8">
        <w:rPr>
          <w:rFonts w:ascii="Times New Roman" w:hAnsi="Times New Roman" w:cs="Times New Roman"/>
          <w:color w:val="000000" w:themeColor="text1"/>
          <w:sz w:val="18"/>
          <w:szCs w:val="18"/>
        </w:rPr>
        <w:t>On day 0 and 7 blood</w:t>
      </w:r>
      <w:r w:rsidR="005614F0" w:rsidRPr="009952F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samples were taken from two average piglets per </w:t>
      </w:r>
      <w:r w:rsidR="005C6FBF">
        <w:rPr>
          <w:rFonts w:ascii="Times New Roman" w:hAnsi="Times New Roman" w:cs="Times New Roman"/>
          <w:color w:val="000000" w:themeColor="text1"/>
          <w:sz w:val="18"/>
          <w:szCs w:val="18"/>
        </w:rPr>
        <w:t>pen</w:t>
      </w:r>
      <w:r w:rsidR="00CA728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(one male and one female)</w:t>
      </w:r>
      <w:r w:rsidR="005614F0" w:rsidRPr="009952F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 Samples were collected in 2 ml lithium heparin tubes, centrifuged at 7000 rpm for 15 min, and frozen at − 22 °C </w:t>
      </w:r>
      <w:r w:rsidR="004D5900">
        <w:rPr>
          <w:rFonts w:ascii="Times New Roman" w:hAnsi="Times New Roman" w:cs="Times New Roman"/>
          <w:color w:val="000000" w:themeColor="text1"/>
          <w:sz w:val="18"/>
          <w:szCs w:val="18"/>
        </w:rPr>
        <w:t>pending</w:t>
      </w:r>
      <w:r w:rsidR="005614F0" w:rsidRPr="009952F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analys</w:t>
      </w:r>
      <w:r w:rsidR="004D5900">
        <w:rPr>
          <w:rFonts w:ascii="Times New Roman" w:hAnsi="Times New Roman" w:cs="Times New Roman"/>
          <w:color w:val="000000" w:themeColor="text1"/>
          <w:sz w:val="18"/>
          <w:szCs w:val="18"/>
        </w:rPr>
        <w:t>is</w:t>
      </w:r>
      <w:r w:rsidR="005614F0" w:rsidRPr="009952F8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  <w:r w:rsidR="00C12DA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Data were analysed in R studio using the </w:t>
      </w:r>
      <w:proofErr w:type="spellStart"/>
      <w:r w:rsidR="00C12DAC">
        <w:rPr>
          <w:rFonts w:ascii="Times New Roman" w:hAnsi="Times New Roman" w:cs="Times New Roman"/>
          <w:color w:val="000000" w:themeColor="text1"/>
          <w:sz w:val="18"/>
          <w:szCs w:val="18"/>
        </w:rPr>
        <w:t>nlme</w:t>
      </w:r>
      <w:proofErr w:type="spellEnd"/>
      <w:r w:rsidR="00C12DA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package to perform GLM models. Body weight was included as a covariate </w:t>
      </w:r>
      <w:r w:rsidR="00B840A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and where appropriate, batch was included as a random factor in the models. </w:t>
      </w:r>
      <w:r w:rsidR="00B840AC" w:rsidRPr="00B840A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The alpha level of significance was set at </w:t>
      </w:r>
      <w:r w:rsidR="00B840AC" w:rsidRPr="00B840AC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P &lt; 0.05</w:t>
      </w:r>
      <w:r w:rsidR="00B840AC" w:rsidRPr="00B840AC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070669B0" w14:textId="63481E61" w:rsidR="001E7845" w:rsidRPr="00B840AC" w:rsidRDefault="001E7845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9952F8">
        <w:rPr>
          <w:rFonts w:ascii="Times New Roman" w:hAnsi="Times New Roman" w:cs="Times New Roman"/>
          <w:b/>
          <w:bCs/>
          <w:i/>
          <w:iCs/>
          <w:sz w:val="18"/>
          <w:szCs w:val="18"/>
          <w:lang w:val="en-US"/>
        </w:rPr>
        <w:t>Results</w:t>
      </w:r>
      <w:r w:rsidRPr="009952F8">
        <w:rPr>
          <w:rFonts w:ascii="Times New Roman" w:hAnsi="Times New Roman" w:cs="Times New Roman"/>
          <w:sz w:val="18"/>
          <w:szCs w:val="18"/>
          <w:lang w:val="en-US"/>
        </w:rPr>
        <w:t>:</w:t>
      </w:r>
      <w:r w:rsidR="00B840AC">
        <w:rPr>
          <w:rFonts w:ascii="Times New Roman" w:hAnsi="Times New Roman" w:cs="Times New Roman"/>
          <w:sz w:val="18"/>
          <w:szCs w:val="18"/>
          <w:lang w:val="en-US"/>
        </w:rPr>
        <w:t xml:space="preserve"> Cortisol concentrations were significantly lower in the T1 treatment compared to T3 at day 7 (</w:t>
      </w:r>
      <w:r w:rsidR="00B840AC">
        <w:rPr>
          <w:rFonts w:ascii="Times New Roman" w:hAnsi="Times New Roman" w:cs="Times New Roman"/>
          <w:i/>
          <w:iCs/>
          <w:sz w:val="18"/>
          <w:szCs w:val="18"/>
          <w:lang w:val="en-US"/>
        </w:rPr>
        <w:t>P &lt; 0.05</w:t>
      </w:r>
      <w:r w:rsidR="00B840AC">
        <w:rPr>
          <w:rFonts w:ascii="Times New Roman" w:hAnsi="Times New Roman" w:cs="Times New Roman"/>
          <w:sz w:val="18"/>
          <w:szCs w:val="18"/>
          <w:lang w:val="en-US"/>
        </w:rPr>
        <w:t xml:space="preserve">). Tendencies were observed on C-reactive protein (CRP; </w:t>
      </w:r>
      <w:r w:rsidR="00B840AC" w:rsidRPr="00B840AC">
        <w:rPr>
          <w:rFonts w:ascii="Times New Roman" w:hAnsi="Times New Roman" w:cs="Times New Roman"/>
          <w:i/>
          <w:iCs/>
          <w:sz w:val="18"/>
          <w:szCs w:val="18"/>
          <w:lang w:val="en-US"/>
        </w:rPr>
        <w:t>P = 0.057</w:t>
      </w:r>
      <w:r w:rsidR="00B840AC">
        <w:rPr>
          <w:rFonts w:ascii="Times New Roman" w:hAnsi="Times New Roman" w:cs="Times New Roman"/>
          <w:sz w:val="18"/>
          <w:szCs w:val="18"/>
          <w:lang w:val="en-US"/>
        </w:rPr>
        <w:t xml:space="preserve">) and Haptoglobin (Hp; </w:t>
      </w:r>
      <w:r w:rsidR="00B840AC">
        <w:rPr>
          <w:rFonts w:ascii="Times New Roman" w:hAnsi="Times New Roman" w:cs="Times New Roman"/>
          <w:i/>
          <w:iCs/>
          <w:sz w:val="18"/>
          <w:szCs w:val="18"/>
          <w:lang w:val="en-US"/>
        </w:rPr>
        <w:t>P = 0</w:t>
      </w:r>
      <w:r w:rsidR="00D32FB5">
        <w:rPr>
          <w:rFonts w:ascii="Times New Roman" w:hAnsi="Times New Roman" w:cs="Times New Roman"/>
          <w:i/>
          <w:iCs/>
          <w:sz w:val="18"/>
          <w:szCs w:val="18"/>
          <w:lang w:val="en-US"/>
        </w:rPr>
        <w:t>.</w:t>
      </w:r>
      <w:r w:rsidR="00B840AC">
        <w:rPr>
          <w:rFonts w:ascii="Times New Roman" w:hAnsi="Times New Roman" w:cs="Times New Roman"/>
          <w:i/>
          <w:iCs/>
          <w:sz w:val="18"/>
          <w:szCs w:val="18"/>
          <w:lang w:val="en-US"/>
        </w:rPr>
        <w:t>067</w:t>
      </w:r>
      <w:r w:rsidR="00B840AC">
        <w:rPr>
          <w:rFonts w:ascii="Times New Roman" w:hAnsi="Times New Roman" w:cs="Times New Roman"/>
          <w:sz w:val="18"/>
          <w:szCs w:val="18"/>
          <w:lang w:val="en-US"/>
        </w:rPr>
        <w:t xml:space="preserve">) on day 0 and 7, respectively. </w:t>
      </w:r>
      <w:proofErr w:type="gramStart"/>
      <w:r w:rsidR="00B840AC">
        <w:rPr>
          <w:rFonts w:ascii="Times New Roman" w:hAnsi="Times New Roman" w:cs="Times New Roman"/>
          <w:sz w:val="18"/>
          <w:szCs w:val="18"/>
          <w:lang w:val="en-US"/>
        </w:rPr>
        <w:t>Both of these</w:t>
      </w:r>
      <w:proofErr w:type="gramEnd"/>
      <w:r w:rsidR="00B840AC">
        <w:rPr>
          <w:rFonts w:ascii="Times New Roman" w:hAnsi="Times New Roman" w:cs="Times New Roman"/>
          <w:sz w:val="18"/>
          <w:szCs w:val="18"/>
          <w:lang w:val="en-US"/>
        </w:rPr>
        <w:t xml:space="preserve"> were a result of low concentrations of CRP and Hp in the T4 treatment compared to T2 (CRP)</w:t>
      </w:r>
      <w:r w:rsidR="00BC13B9">
        <w:rPr>
          <w:rFonts w:ascii="Times New Roman" w:hAnsi="Times New Roman" w:cs="Times New Roman"/>
          <w:sz w:val="18"/>
          <w:szCs w:val="18"/>
          <w:lang w:val="en-US"/>
        </w:rPr>
        <w:t>,</w:t>
      </w:r>
      <w:r w:rsidR="00B840AC">
        <w:rPr>
          <w:rFonts w:ascii="Times New Roman" w:hAnsi="Times New Roman" w:cs="Times New Roman"/>
          <w:sz w:val="18"/>
          <w:szCs w:val="18"/>
          <w:lang w:val="en-US"/>
        </w:rPr>
        <w:t xml:space="preserve"> and</w:t>
      </w:r>
      <w:r w:rsidR="00BC13B9">
        <w:rPr>
          <w:rFonts w:ascii="Times New Roman" w:hAnsi="Times New Roman" w:cs="Times New Roman"/>
          <w:sz w:val="18"/>
          <w:szCs w:val="18"/>
          <w:lang w:val="en-US"/>
        </w:rPr>
        <w:t xml:space="preserve"> T4 to</w:t>
      </w:r>
      <w:r w:rsidR="00B840AC">
        <w:rPr>
          <w:rFonts w:ascii="Times New Roman" w:hAnsi="Times New Roman" w:cs="Times New Roman"/>
          <w:sz w:val="18"/>
          <w:szCs w:val="18"/>
          <w:lang w:val="en-US"/>
        </w:rPr>
        <w:t xml:space="preserve"> T6 (Hp). </w:t>
      </w:r>
    </w:p>
    <w:tbl>
      <w:tblPr>
        <w:tblpPr w:leftFromText="180" w:rightFromText="180" w:vertAnchor="text" w:horzAnchor="margin" w:tblpY="541"/>
        <w:tblW w:w="8189" w:type="dxa"/>
        <w:tblLook w:val="04A0" w:firstRow="1" w:lastRow="0" w:firstColumn="1" w:lastColumn="0" w:noHBand="0" w:noVBand="1"/>
      </w:tblPr>
      <w:tblGrid>
        <w:gridCol w:w="956"/>
        <w:gridCol w:w="919"/>
        <w:gridCol w:w="1037"/>
        <w:gridCol w:w="934"/>
        <w:gridCol w:w="847"/>
        <w:gridCol w:w="757"/>
        <w:gridCol w:w="1008"/>
        <w:gridCol w:w="934"/>
        <w:gridCol w:w="797"/>
      </w:tblGrid>
      <w:tr w:rsidR="00C12DAC" w:rsidRPr="009952F8" w14:paraId="43834814" w14:textId="77777777" w:rsidTr="00C12DAC">
        <w:trPr>
          <w:trHeight w:val="330"/>
        </w:trPr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58056" w14:textId="77777777" w:rsidR="00C12DAC" w:rsidRPr="005614F0" w:rsidRDefault="00C12DAC" w:rsidP="00C12D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7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940C0" w14:textId="77777777" w:rsidR="00C12DAC" w:rsidRPr="005614F0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Day 0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5F9F7" w14:textId="77777777" w:rsidR="00C12DAC" w:rsidRPr="005614F0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Day 7</w:t>
            </w:r>
          </w:p>
        </w:tc>
      </w:tr>
      <w:tr w:rsidR="00C12DAC" w:rsidRPr="009952F8" w14:paraId="297C11DC" w14:textId="77777777" w:rsidTr="00C12DAC">
        <w:trPr>
          <w:trHeight w:val="519"/>
        </w:trPr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710ED2" w14:textId="2A0A2049" w:rsidR="00C12DAC" w:rsidRPr="005614F0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br/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5242D0" w14:textId="77777777" w:rsidR="00C12DAC" w:rsidRPr="005614F0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CRP</w:t>
            </w: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(mg/L)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FA4462" w14:textId="77777777" w:rsidR="00421C41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Hp</w:t>
            </w: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14:paraId="58DA0C10" w14:textId="118B6DA6" w:rsidR="00C12DAC" w:rsidRPr="005614F0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(g/L)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0DAE3C" w14:textId="77777777" w:rsidR="00C12DAC" w:rsidRPr="005614F0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  <w:t>TAC</w:t>
            </w:r>
            <w:r w:rsidRPr="005614F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  <w:t xml:space="preserve"> (mmol/L)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E20744" w14:textId="77777777" w:rsidR="00C12DAC" w:rsidRPr="005614F0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Cortisol (µg/dL)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3DA2E1" w14:textId="77777777" w:rsidR="00C12DAC" w:rsidRPr="005614F0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CRP</w:t>
            </w:r>
            <w:r w:rsidRPr="009952F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(mg/L)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9E7027" w14:textId="77777777" w:rsidR="00C12DAC" w:rsidRPr="005614F0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Hp</w:t>
            </w:r>
            <w:r w:rsidRPr="009952F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(g/L)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41368D" w14:textId="77777777" w:rsidR="00C12DAC" w:rsidRPr="005614F0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  <w:t>TAC</w:t>
            </w:r>
            <w:r w:rsidRPr="005614F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  <w:t xml:space="preserve"> (mmol/L)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D68367" w14:textId="77777777" w:rsidR="00C12DAC" w:rsidRPr="005614F0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Cortisol</w:t>
            </w:r>
            <w:r w:rsidRPr="009952F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(µg/dL)</w:t>
            </w:r>
          </w:p>
        </w:tc>
      </w:tr>
      <w:tr w:rsidR="00C12DAC" w:rsidRPr="009952F8" w14:paraId="4E24E273" w14:textId="77777777" w:rsidTr="00C12DAC">
        <w:trPr>
          <w:trHeight w:val="366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6001D" w14:textId="77777777" w:rsidR="00C12DAC" w:rsidRPr="005614F0" w:rsidRDefault="00C12DAC" w:rsidP="00C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F0E30" w14:textId="77777777" w:rsidR="00C12DAC" w:rsidRPr="005614F0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8.17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FFD03" w14:textId="77777777" w:rsidR="00C12DAC" w:rsidRPr="005614F0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0.261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A310F" w14:textId="77777777" w:rsidR="00C12DAC" w:rsidRPr="005614F0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0.216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8E58A" w14:textId="77777777" w:rsidR="00C12DAC" w:rsidRPr="005614F0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5.16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AB7DA" w14:textId="77777777" w:rsidR="00C12DAC" w:rsidRPr="005614F0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7.54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BDC12" w14:textId="77777777" w:rsidR="00C12DAC" w:rsidRPr="005614F0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1.08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66904" w14:textId="77777777" w:rsidR="00C12DAC" w:rsidRPr="005614F0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0.170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7AD6C" w14:textId="77777777" w:rsidR="00C12DAC" w:rsidRPr="005614F0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1.37</w:t>
            </w: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a</w:t>
            </w:r>
          </w:p>
        </w:tc>
      </w:tr>
      <w:tr w:rsidR="00C12DAC" w:rsidRPr="009952F8" w14:paraId="2E3181B1" w14:textId="77777777" w:rsidTr="00C12DAC">
        <w:trPr>
          <w:trHeight w:val="366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023ED" w14:textId="77777777" w:rsidR="00C12DAC" w:rsidRPr="005614F0" w:rsidRDefault="00C12DAC" w:rsidP="00C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F263F" w14:textId="77777777" w:rsidR="00C12DAC" w:rsidRPr="005614F0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13.7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B0F22" w14:textId="77777777" w:rsidR="00C12DAC" w:rsidRPr="005614F0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0.294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079CB" w14:textId="77777777" w:rsidR="00C12DAC" w:rsidRPr="005614F0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0.239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D5710" w14:textId="77777777" w:rsidR="00C12DAC" w:rsidRPr="005614F0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4.54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1AD18" w14:textId="77777777" w:rsidR="00C12DAC" w:rsidRPr="005614F0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8.36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A58F9" w14:textId="77777777" w:rsidR="00C12DAC" w:rsidRPr="005614F0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0.721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40779" w14:textId="77777777" w:rsidR="00C12DAC" w:rsidRPr="005614F0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0.186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F7D94" w14:textId="77777777" w:rsidR="00C12DAC" w:rsidRPr="005614F0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1.58</w:t>
            </w: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ab</w:t>
            </w:r>
          </w:p>
        </w:tc>
      </w:tr>
      <w:tr w:rsidR="00C12DAC" w:rsidRPr="009952F8" w14:paraId="736CAD49" w14:textId="77777777" w:rsidTr="00C12DAC">
        <w:trPr>
          <w:trHeight w:val="366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91E92" w14:textId="77777777" w:rsidR="00C12DAC" w:rsidRPr="005614F0" w:rsidRDefault="00C12DAC" w:rsidP="00C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69483" w14:textId="77777777" w:rsidR="00C12DAC" w:rsidRPr="005614F0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12.7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C5EC0" w14:textId="77777777" w:rsidR="00C12DAC" w:rsidRPr="005614F0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0.375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BBA94" w14:textId="77777777" w:rsidR="00C12DAC" w:rsidRPr="005614F0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0.228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1768A" w14:textId="77777777" w:rsidR="00C12DAC" w:rsidRPr="005614F0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3.72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D5D81" w14:textId="77777777" w:rsidR="00C12DAC" w:rsidRPr="005614F0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16.1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901BE" w14:textId="77777777" w:rsidR="00C12DAC" w:rsidRPr="005614F0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1.01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4B4BC" w14:textId="77777777" w:rsidR="00C12DAC" w:rsidRPr="005614F0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0.178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65A8C" w14:textId="77777777" w:rsidR="00C12DAC" w:rsidRPr="005614F0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2.13</w:t>
            </w: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b</w:t>
            </w:r>
          </w:p>
        </w:tc>
      </w:tr>
      <w:tr w:rsidR="00C12DAC" w:rsidRPr="009952F8" w14:paraId="59D48079" w14:textId="77777777" w:rsidTr="00C12DAC">
        <w:trPr>
          <w:trHeight w:val="366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0B03F" w14:textId="77777777" w:rsidR="00C12DAC" w:rsidRPr="005614F0" w:rsidRDefault="00C12DAC" w:rsidP="00C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T4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63BEC" w14:textId="77777777" w:rsidR="00C12DAC" w:rsidRPr="005614F0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6.52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5C12C" w14:textId="77777777" w:rsidR="00C12DAC" w:rsidRPr="005614F0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0.110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09950" w14:textId="77777777" w:rsidR="00C12DAC" w:rsidRPr="005614F0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0.210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67438" w14:textId="77777777" w:rsidR="00C12DAC" w:rsidRPr="005614F0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3.51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5603C" w14:textId="77777777" w:rsidR="00C12DAC" w:rsidRPr="005614F0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9.87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9BA1C" w14:textId="77777777" w:rsidR="00C12DAC" w:rsidRPr="005614F0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0.540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5959F" w14:textId="77777777" w:rsidR="00C12DAC" w:rsidRPr="005614F0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0.177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9B93F" w14:textId="77777777" w:rsidR="00C12DAC" w:rsidRPr="005614F0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1.54</w:t>
            </w: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ab</w:t>
            </w:r>
          </w:p>
        </w:tc>
      </w:tr>
      <w:tr w:rsidR="00C12DAC" w:rsidRPr="009952F8" w14:paraId="45323570" w14:textId="77777777" w:rsidTr="00C12DAC">
        <w:trPr>
          <w:trHeight w:val="366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192F3" w14:textId="77777777" w:rsidR="00C12DAC" w:rsidRPr="005614F0" w:rsidRDefault="00C12DAC" w:rsidP="00C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T5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F4AD1" w14:textId="77777777" w:rsidR="00C12DAC" w:rsidRPr="005614F0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11.6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62C43" w14:textId="77777777" w:rsidR="00C12DAC" w:rsidRPr="005614F0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0.357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CD563" w14:textId="77777777" w:rsidR="00C12DAC" w:rsidRPr="005614F0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0.214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32901" w14:textId="77777777" w:rsidR="00C12DAC" w:rsidRPr="005614F0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3.52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8F6E2" w14:textId="77777777" w:rsidR="00C12DAC" w:rsidRPr="005614F0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14.0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42F1D" w14:textId="77777777" w:rsidR="00C12DAC" w:rsidRPr="005614F0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0.843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064C6" w14:textId="77777777" w:rsidR="00C12DAC" w:rsidRPr="005614F0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0.185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6AF5C" w14:textId="77777777" w:rsidR="00C12DAC" w:rsidRPr="005614F0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2.09</w:t>
            </w: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ab</w:t>
            </w:r>
          </w:p>
        </w:tc>
      </w:tr>
      <w:tr w:rsidR="00C12DAC" w:rsidRPr="009952F8" w14:paraId="55505240" w14:textId="77777777" w:rsidTr="00C12DAC">
        <w:trPr>
          <w:trHeight w:val="366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8DB6F" w14:textId="77777777" w:rsidR="00C12DAC" w:rsidRPr="005614F0" w:rsidRDefault="00C12DAC" w:rsidP="00C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T6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711AF" w14:textId="77777777" w:rsidR="00C12DAC" w:rsidRPr="005614F0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10.1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E30AE" w14:textId="77777777" w:rsidR="00C12DAC" w:rsidRPr="005614F0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0.220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E4F57" w14:textId="77777777" w:rsidR="00C12DAC" w:rsidRPr="005614F0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0.250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68510" w14:textId="77777777" w:rsidR="00C12DAC" w:rsidRPr="005614F0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4.52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B8318" w14:textId="77777777" w:rsidR="00C12DAC" w:rsidRPr="005614F0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15.5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0DFC0" w14:textId="77777777" w:rsidR="00C12DAC" w:rsidRPr="005614F0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1.24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48CC9" w14:textId="77777777" w:rsidR="00C12DAC" w:rsidRPr="005614F0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0.171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9D22A" w14:textId="77777777" w:rsidR="00C12DAC" w:rsidRPr="005614F0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1.97</w:t>
            </w: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ab</w:t>
            </w:r>
          </w:p>
        </w:tc>
      </w:tr>
      <w:tr w:rsidR="00C12DAC" w:rsidRPr="009952F8" w14:paraId="1C559319" w14:textId="77777777" w:rsidTr="00C12DAC">
        <w:trPr>
          <w:trHeight w:val="330"/>
        </w:trPr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0358C" w14:textId="77777777" w:rsidR="00C12DAC" w:rsidRPr="005614F0" w:rsidRDefault="00C12DAC" w:rsidP="00C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SEM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2FC99" w14:textId="77777777" w:rsidR="00C12DAC" w:rsidRPr="005614F0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1.78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615107" w14:textId="77777777" w:rsidR="00C12DAC" w:rsidRPr="005614F0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0.1040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E2C0B" w14:textId="77777777" w:rsidR="00C12DAC" w:rsidRPr="005614F0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0.0161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C8C2B" w14:textId="761D5B1E" w:rsidR="00C12DAC" w:rsidRPr="005614F0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0.54</w:t>
            </w:r>
            <w:r w:rsidR="00D7540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A364B" w14:textId="5F3D7ED0" w:rsidR="00C12DAC" w:rsidRPr="005614F0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4.95</w:t>
            </w:r>
            <w:r w:rsidR="00D7540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1D1EE" w14:textId="77777777" w:rsidR="00C12DAC" w:rsidRPr="005614F0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0.2130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F8CDF" w14:textId="77777777" w:rsidR="00C12DAC" w:rsidRPr="005614F0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0.0110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C390D" w14:textId="77777777" w:rsidR="00C12DAC" w:rsidRPr="005614F0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0.206</w:t>
            </w:r>
          </w:p>
        </w:tc>
      </w:tr>
      <w:tr w:rsidR="00C12DAC" w:rsidRPr="005614F0" w14:paraId="3E8292DC" w14:textId="77777777" w:rsidTr="00C12DAC">
        <w:trPr>
          <w:trHeight w:val="330"/>
        </w:trPr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F8E4BA" w14:textId="77777777" w:rsidR="00C12DAC" w:rsidRPr="005614F0" w:rsidRDefault="00C12DAC" w:rsidP="00C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2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B6159" w14:textId="77777777" w:rsidR="00C12DAC" w:rsidRPr="005614F0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Probabilities</w:t>
            </w:r>
          </w:p>
        </w:tc>
      </w:tr>
      <w:tr w:rsidR="00C12DAC" w:rsidRPr="009952F8" w14:paraId="4FC4BAD0" w14:textId="77777777" w:rsidTr="00C12DAC">
        <w:trPr>
          <w:trHeight w:val="330"/>
        </w:trPr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48E1C2" w14:textId="77777777" w:rsidR="00C12DAC" w:rsidRPr="005614F0" w:rsidRDefault="00C12DAC" w:rsidP="00C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Treatment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98F2B" w14:textId="77777777" w:rsidR="00C12DAC" w:rsidRPr="005614F0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0.057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6273B" w14:textId="77777777" w:rsidR="00C12DAC" w:rsidRPr="005614F0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0.521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DBEEA2" w14:textId="77777777" w:rsidR="00C12DAC" w:rsidRPr="005614F0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0.380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E7B6B" w14:textId="77777777" w:rsidR="00C12DAC" w:rsidRPr="005614F0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0.188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B1850B" w14:textId="77777777" w:rsidR="00C12DAC" w:rsidRPr="005614F0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0.626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9FAA5" w14:textId="77777777" w:rsidR="00C12DAC" w:rsidRPr="005614F0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0.067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216B54" w14:textId="77777777" w:rsidR="00C12DAC" w:rsidRPr="005614F0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0.862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1F31C2" w14:textId="77777777" w:rsidR="00C12DAC" w:rsidRPr="005614F0" w:rsidRDefault="00C12DAC" w:rsidP="00C1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614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0.029</w:t>
            </w:r>
          </w:p>
        </w:tc>
      </w:tr>
    </w:tbl>
    <w:p w14:paraId="07499E18" w14:textId="2CDDBD99" w:rsidR="001E7845" w:rsidRPr="009952F8" w:rsidRDefault="005614F0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9952F8">
        <w:rPr>
          <w:rFonts w:ascii="Times New Roman" w:hAnsi="Times New Roman" w:cs="Times New Roman"/>
          <w:sz w:val="18"/>
          <w:szCs w:val="18"/>
          <w:lang w:val="en-US"/>
        </w:rPr>
        <w:t xml:space="preserve">Table 1. </w:t>
      </w:r>
      <w:r w:rsidR="00C12DAC">
        <w:rPr>
          <w:rFonts w:ascii="Times New Roman" w:hAnsi="Times New Roman" w:cs="Times New Roman"/>
          <w:sz w:val="18"/>
          <w:szCs w:val="18"/>
          <w:lang w:val="en-US"/>
        </w:rPr>
        <w:t xml:space="preserve">The effect of dietary treatment on </w:t>
      </w:r>
      <w:r w:rsidR="00C12DAC" w:rsidRPr="00C12DAC">
        <w:rPr>
          <w:rFonts w:ascii="Times New Roman" w:hAnsi="Times New Roman" w:cs="Times New Roman"/>
          <w:sz w:val="18"/>
          <w:szCs w:val="18"/>
          <w:lang w:val="en-US"/>
        </w:rPr>
        <w:t xml:space="preserve">plasma </w:t>
      </w:r>
      <w:r w:rsidR="00C12DAC">
        <w:rPr>
          <w:rFonts w:ascii="Times New Roman" w:hAnsi="Times New Roman" w:cs="Times New Roman"/>
          <w:sz w:val="18"/>
          <w:szCs w:val="18"/>
          <w:lang w:val="en-US"/>
        </w:rPr>
        <w:t>C-reactive protein</w:t>
      </w:r>
      <w:r w:rsidR="00863B4B">
        <w:rPr>
          <w:rFonts w:ascii="Times New Roman" w:hAnsi="Times New Roman" w:cs="Times New Roman"/>
          <w:sz w:val="18"/>
          <w:szCs w:val="18"/>
          <w:lang w:val="en-US"/>
        </w:rPr>
        <w:t xml:space="preserve"> (CRP)</w:t>
      </w:r>
      <w:r w:rsidR="00C12DAC">
        <w:rPr>
          <w:rFonts w:ascii="Times New Roman" w:hAnsi="Times New Roman" w:cs="Times New Roman"/>
          <w:sz w:val="18"/>
          <w:szCs w:val="18"/>
          <w:lang w:val="en-US"/>
        </w:rPr>
        <w:t>, Haptoglobin</w:t>
      </w:r>
      <w:r w:rsidR="00863B4B">
        <w:rPr>
          <w:rFonts w:ascii="Times New Roman" w:hAnsi="Times New Roman" w:cs="Times New Roman"/>
          <w:sz w:val="18"/>
          <w:szCs w:val="18"/>
          <w:lang w:val="en-US"/>
        </w:rPr>
        <w:t xml:space="preserve"> (Hp)</w:t>
      </w:r>
      <w:r w:rsidR="00C12DAC">
        <w:rPr>
          <w:rFonts w:ascii="Times New Roman" w:hAnsi="Times New Roman" w:cs="Times New Roman"/>
          <w:sz w:val="18"/>
          <w:szCs w:val="18"/>
          <w:lang w:val="en-US"/>
        </w:rPr>
        <w:t>, Tacrolimus</w:t>
      </w:r>
      <w:r w:rsidR="00863B4B">
        <w:rPr>
          <w:rFonts w:ascii="Times New Roman" w:hAnsi="Times New Roman" w:cs="Times New Roman"/>
          <w:sz w:val="18"/>
          <w:szCs w:val="18"/>
          <w:lang w:val="en-US"/>
        </w:rPr>
        <w:t xml:space="preserve"> (TAC)</w:t>
      </w:r>
      <w:r w:rsidR="00C12DAC">
        <w:rPr>
          <w:rFonts w:ascii="Times New Roman" w:hAnsi="Times New Roman" w:cs="Times New Roman"/>
          <w:sz w:val="18"/>
          <w:szCs w:val="18"/>
          <w:lang w:val="en-US"/>
        </w:rPr>
        <w:t xml:space="preserve"> and </w:t>
      </w:r>
      <w:r w:rsidR="00C12DAC" w:rsidRPr="00C12DAC">
        <w:rPr>
          <w:rFonts w:ascii="Times New Roman" w:hAnsi="Times New Roman" w:cs="Times New Roman"/>
          <w:sz w:val="18"/>
          <w:szCs w:val="18"/>
          <w:lang w:val="en-US"/>
        </w:rPr>
        <w:t>cortisol concentration</w:t>
      </w:r>
      <w:r w:rsidR="009952F8" w:rsidRPr="009952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C12DAC">
        <w:rPr>
          <w:rFonts w:ascii="Times New Roman" w:hAnsi="Times New Roman" w:cs="Times New Roman"/>
          <w:sz w:val="18"/>
          <w:szCs w:val="18"/>
          <w:lang w:val="en-US"/>
        </w:rPr>
        <w:t xml:space="preserve">in the blood of piglets at Day 0 or 7 of age </w:t>
      </w:r>
      <w:r w:rsidR="009952F8" w:rsidRPr="009952F8">
        <w:rPr>
          <w:rFonts w:ascii="Times New Roman" w:hAnsi="Times New Roman" w:cs="Times New Roman"/>
          <w:sz w:val="18"/>
          <w:szCs w:val="18"/>
          <w:lang w:val="en-US"/>
        </w:rPr>
        <w:t>(mean ± SEM)</w:t>
      </w:r>
      <w:r w:rsidR="00C12DAC">
        <w:rPr>
          <w:rFonts w:ascii="Times New Roman" w:hAnsi="Times New Roman" w:cs="Times New Roman"/>
          <w:sz w:val="18"/>
          <w:szCs w:val="18"/>
          <w:lang w:val="en-US"/>
        </w:rPr>
        <w:t>.</w:t>
      </w:r>
    </w:p>
    <w:p w14:paraId="55B00435" w14:textId="77777777" w:rsidR="00C12DAC" w:rsidRDefault="00C12DAC">
      <w:pPr>
        <w:rPr>
          <w:rFonts w:ascii="Times New Roman" w:hAnsi="Times New Roman" w:cs="Times New Roman"/>
          <w:sz w:val="18"/>
          <w:szCs w:val="18"/>
          <w:vertAlign w:val="superscript"/>
          <w:lang w:val="en-US"/>
        </w:rPr>
      </w:pPr>
    </w:p>
    <w:p w14:paraId="3D4EF43F" w14:textId="77777777" w:rsidR="00C12DAC" w:rsidRDefault="00C12DAC">
      <w:pPr>
        <w:rPr>
          <w:rFonts w:ascii="Times New Roman" w:hAnsi="Times New Roman" w:cs="Times New Roman"/>
          <w:sz w:val="18"/>
          <w:szCs w:val="18"/>
          <w:vertAlign w:val="superscript"/>
          <w:lang w:val="en-US"/>
        </w:rPr>
      </w:pPr>
    </w:p>
    <w:p w14:paraId="388A9C53" w14:textId="77777777" w:rsidR="00C12DAC" w:rsidRDefault="00C12DAC">
      <w:pPr>
        <w:rPr>
          <w:rFonts w:ascii="Times New Roman" w:hAnsi="Times New Roman" w:cs="Times New Roman"/>
          <w:sz w:val="18"/>
          <w:szCs w:val="18"/>
          <w:vertAlign w:val="superscript"/>
          <w:lang w:val="en-US"/>
        </w:rPr>
      </w:pPr>
    </w:p>
    <w:p w14:paraId="4F56242E" w14:textId="77777777" w:rsidR="00C12DAC" w:rsidRDefault="00C12DAC">
      <w:pPr>
        <w:rPr>
          <w:rFonts w:ascii="Times New Roman" w:hAnsi="Times New Roman" w:cs="Times New Roman"/>
          <w:sz w:val="18"/>
          <w:szCs w:val="18"/>
          <w:vertAlign w:val="superscript"/>
          <w:lang w:val="en-US"/>
        </w:rPr>
      </w:pPr>
    </w:p>
    <w:p w14:paraId="2224F574" w14:textId="77777777" w:rsidR="00C12DAC" w:rsidRDefault="00C12DAC">
      <w:pPr>
        <w:rPr>
          <w:rFonts w:ascii="Times New Roman" w:hAnsi="Times New Roman" w:cs="Times New Roman"/>
          <w:sz w:val="18"/>
          <w:szCs w:val="18"/>
          <w:vertAlign w:val="superscript"/>
          <w:lang w:val="en-US"/>
        </w:rPr>
      </w:pPr>
    </w:p>
    <w:p w14:paraId="50600E32" w14:textId="77777777" w:rsidR="00C12DAC" w:rsidRDefault="00C12DAC">
      <w:pPr>
        <w:rPr>
          <w:rFonts w:ascii="Times New Roman" w:hAnsi="Times New Roman" w:cs="Times New Roman"/>
          <w:sz w:val="18"/>
          <w:szCs w:val="18"/>
          <w:vertAlign w:val="superscript"/>
          <w:lang w:val="en-US"/>
        </w:rPr>
      </w:pPr>
    </w:p>
    <w:p w14:paraId="71EB03DF" w14:textId="77777777" w:rsidR="00C12DAC" w:rsidRDefault="00C12DAC">
      <w:pPr>
        <w:rPr>
          <w:rFonts w:ascii="Times New Roman" w:hAnsi="Times New Roman" w:cs="Times New Roman"/>
          <w:sz w:val="18"/>
          <w:szCs w:val="18"/>
          <w:vertAlign w:val="superscript"/>
          <w:lang w:val="en-US"/>
        </w:rPr>
      </w:pPr>
    </w:p>
    <w:p w14:paraId="0E624BCD" w14:textId="77777777" w:rsidR="00C12DAC" w:rsidRDefault="00C12DAC">
      <w:pPr>
        <w:rPr>
          <w:rFonts w:ascii="Times New Roman" w:hAnsi="Times New Roman" w:cs="Times New Roman"/>
          <w:sz w:val="18"/>
          <w:szCs w:val="18"/>
          <w:vertAlign w:val="superscript"/>
          <w:lang w:val="en-US"/>
        </w:rPr>
      </w:pPr>
    </w:p>
    <w:p w14:paraId="3CC12552" w14:textId="77777777" w:rsidR="00C12DAC" w:rsidRDefault="00C12DAC">
      <w:pPr>
        <w:rPr>
          <w:rFonts w:ascii="Times New Roman" w:hAnsi="Times New Roman" w:cs="Times New Roman"/>
          <w:sz w:val="18"/>
          <w:szCs w:val="18"/>
          <w:vertAlign w:val="superscript"/>
          <w:lang w:val="en-US"/>
        </w:rPr>
      </w:pPr>
    </w:p>
    <w:p w14:paraId="16166EA9" w14:textId="77777777" w:rsidR="00C12DAC" w:rsidRDefault="00C12DAC">
      <w:pPr>
        <w:rPr>
          <w:rFonts w:ascii="Times New Roman" w:hAnsi="Times New Roman" w:cs="Times New Roman"/>
          <w:sz w:val="18"/>
          <w:szCs w:val="18"/>
          <w:vertAlign w:val="superscript"/>
          <w:lang w:val="en-US"/>
        </w:rPr>
      </w:pPr>
    </w:p>
    <w:p w14:paraId="1A101682" w14:textId="77777777" w:rsidR="00C12DAC" w:rsidRDefault="00C12DAC">
      <w:pPr>
        <w:rPr>
          <w:rFonts w:ascii="Times New Roman" w:hAnsi="Times New Roman" w:cs="Times New Roman"/>
          <w:sz w:val="18"/>
          <w:szCs w:val="18"/>
          <w:vertAlign w:val="superscript"/>
          <w:lang w:val="en-US"/>
        </w:rPr>
      </w:pPr>
    </w:p>
    <w:p w14:paraId="0BCF2D9A" w14:textId="51BF6B53" w:rsidR="005614F0" w:rsidRPr="009952F8" w:rsidRDefault="009952F8">
      <w:pPr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proofErr w:type="gramStart"/>
      <w:r w:rsidRPr="009952F8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a,b</w:t>
      </w:r>
      <w:proofErr w:type="spellEnd"/>
      <w:proofErr w:type="gramEnd"/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9952F8">
        <w:rPr>
          <w:rFonts w:ascii="Times New Roman" w:hAnsi="Times New Roman" w:cs="Times New Roman"/>
          <w:sz w:val="18"/>
          <w:szCs w:val="18"/>
          <w:lang w:val="en-US"/>
        </w:rPr>
        <w:t xml:space="preserve">Means within in a </w:t>
      </w:r>
      <w:r w:rsidR="00C12DAC">
        <w:rPr>
          <w:rFonts w:ascii="Times New Roman" w:hAnsi="Times New Roman" w:cs="Times New Roman"/>
          <w:sz w:val="18"/>
          <w:szCs w:val="18"/>
          <w:lang w:val="en-US"/>
        </w:rPr>
        <w:t>column</w:t>
      </w:r>
      <w:r w:rsidRPr="009952F8">
        <w:rPr>
          <w:rFonts w:ascii="Times New Roman" w:hAnsi="Times New Roman" w:cs="Times New Roman"/>
          <w:sz w:val="18"/>
          <w:szCs w:val="18"/>
          <w:lang w:val="en-US"/>
        </w:rPr>
        <w:t xml:space="preserve"> with different superscripts differ significantly (P &lt; 0.05)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. </w:t>
      </w:r>
    </w:p>
    <w:p w14:paraId="5CD00EAA" w14:textId="25ECFD7F" w:rsidR="001E7845" w:rsidRPr="009952F8" w:rsidRDefault="001E7845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9952F8">
        <w:rPr>
          <w:rFonts w:ascii="Times New Roman" w:hAnsi="Times New Roman" w:cs="Times New Roman"/>
          <w:b/>
          <w:bCs/>
          <w:i/>
          <w:iCs/>
          <w:sz w:val="18"/>
          <w:szCs w:val="18"/>
          <w:lang w:val="en-US"/>
        </w:rPr>
        <w:t>Conclusions</w:t>
      </w:r>
      <w:r w:rsidRPr="009952F8">
        <w:rPr>
          <w:rFonts w:ascii="Times New Roman" w:hAnsi="Times New Roman" w:cs="Times New Roman"/>
          <w:sz w:val="18"/>
          <w:szCs w:val="18"/>
          <w:lang w:val="en-US"/>
        </w:rPr>
        <w:t>:</w:t>
      </w:r>
      <w:r w:rsidR="00D32FB5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BC13B9">
        <w:rPr>
          <w:rFonts w:ascii="Times New Roman" w:hAnsi="Times New Roman" w:cs="Times New Roman"/>
          <w:sz w:val="18"/>
          <w:szCs w:val="18"/>
          <w:lang w:val="en-US"/>
        </w:rPr>
        <w:t>The nutritional interventions used in this study had little effect on biomarkers of inflammation and oxidative stress. There was only a significant effect on cortisol, h</w:t>
      </w:r>
      <w:r w:rsidR="00647928">
        <w:rPr>
          <w:rFonts w:ascii="Times New Roman" w:hAnsi="Times New Roman" w:cs="Times New Roman"/>
          <w:sz w:val="18"/>
          <w:szCs w:val="18"/>
          <w:lang w:val="en-US"/>
        </w:rPr>
        <w:t xml:space="preserve">owever, it is worth bearing in mind </w:t>
      </w:r>
      <w:r w:rsidR="00A17689">
        <w:rPr>
          <w:rFonts w:ascii="Times New Roman" w:hAnsi="Times New Roman" w:cs="Times New Roman"/>
          <w:sz w:val="18"/>
          <w:szCs w:val="18"/>
          <w:lang w:val="en-US"/>
        </w:rPr>
        <w:t xml:space="preserve">that </w:t>
      </w:r>
      <w:r w:rsidR="00647928">
        <w:rPr>
          <w:rFonts w:ascii="Times New Roman" w:hAnsi="Times New Roman" w:cs="Times New Roman"/>
          <w:sz w:val="18"/>
          <w:szCs w:val="18"/>
          <w:lang w:val="en-US"/>
        </w:rPr>
        <w:t xml:space="preserve">cortisol </w:t>
      </w:r>
      <w:r w:rsidR="00A17689">
        <w:rPr>
          <w:rFonts w:ascii="Times New Roman" w:hAnsi="Times New Roman" w:cs="Times New Roman"/>
          <w:sz w:val="18"/>
          <w:szCs w:val="18"/>
          <w:lang w:val="en-US"/>
        </w:rPr>
        <w:t>is a highly variable measurement</w:t>
      </w:r>
      <w:r w:rsidR="00647928">
        <w:rPr>
          <w:rFonts w:ascii="Times New Roman" w:hAnsi="Times New Roman" w:cs="Times New Roman"/>
          <w:sz w:val="18"/>
          <w:szCs w:val="18"/>
          <w:lang w:val="en-US"/>
        </w:rPr>
        <w:t xml:space="preserve"> (</w:t>
      </w:r>
      <w:proofErr w:type="spellStart"/>
      <w:r w:rsidR="00A17689">
        <w:rPr>
          <w:rFonts w:ascii="Times New Roman" w:hAnsi="Times New Roman" w:cs="Times New Roman"/>
          <w:sz w:val="18"/>
          <w:szCs w:val="18"/>
          <w:lang w:val="en-US"/>
        </w:rPr>
        <w:t>Larzul</w:t>
      </w:r>
      <w:proofErr w:type="spellEnd"/>
      <w:r w:rsidR="00A17689">
        <w:rPr>
          <w:rFonts w:ascii="Times New Roman" w:hAnsi="Times New Roman" w:cs="Times New Roman"/>
          <w:sz w:val="18"/>
          <w:szCs w:val="18"/>
          <w:lang w:val="en-US"/>
        </w:rPr>
        <w:t xml:space="preserve"> et al, 2015</w:t>
      </w:r>
      <w:r w:rsidR="00647928">
        <w:rPr>
          <w:rFonts w:ascii="Times New Roman" w:hAnsi="Times New Roman" w:cs="Times New Roman"/>
          <w:sz w:val="18"/>
          <w:szCs w:val="18"/>
          <w:lang w:val="en-US"/>
        </w:rPr>
        <w:t>).</w:t>
      </w:r>
      <w:r w:rsidR="006D31B9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14:paraId="03CB39DE" w14:textId="7DEAE673" w:rsidR="001E7845" w:rsidRPr="009952F8" w:rsidRDefault="001E7845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9952F8">
        <w:rPr>
          <w:rFonts w:ascii="Times New Roman" w:hAnsi="Times New Roman" w:cs="Times New Roman"/>
          <w:b/>
          <w:bCs/>
          <w:i/>
          <w:iCs/>
          <w:sz w:val="18"/>
          <w:szCs w:val="18"/>
          <w:lang w:val="en-US"/>
        </w:rPr>
        <w:t>Acknowledgments</w:t>
      </w:r>
      <w:r w:rsidRPr="009952F8">
        <w:rPr>
          <w:rFonts w:ascii="Times New Roman" w:hAnsi="Times New Roman" w:cs="Times New Roman"/>
          <w:sz w:val="18"/>
          <w:szCs w:val="18"/>
          <w:lang w:val="en-US"/>
        </w:rPr>
        <w:t>:</w:t>
      </w:r>
      <w:r w:rsidR="00C12DA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C12DAC" w:rsidRPr="00C12DAC">
        <w:rPr>
          <w:rFonts w:ascii="Times New Roman" w:hAnsi="Times New Roman" w:cs="Times New Roman"/>
          <w:sz w:val="18"/>
          <w:szCs w:val="18"/>
          <w:lang w:val="en-US"/>
        </w:rPr>
        <w:t>Research funded by DAERA.</w:t>
      </w:r>
    </w:p>
    <w:p w14:paraId="3EFB6076" w14:textId="66E7F668" w:rsidR="001E7845" w:rsidRPr="009952F8" w:rsidRDefault="001E7845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9952F8">
        <w:rPr>
          <w:rFonts w:ascii="Times New Roman" w:hAnsi="Times New Roman" w:cs="Times New Roman"/>
          <w:b/>
          <w:bCs/>
          <w:i/>
          <w:iCs/>
          <w:sz w:val="18"/>
          <w:szCs w:val="18"/>
          <w:lang w:val="en-US"/>
        </w:rPr>
        <w:t>References</w:t>
      </w:r>
      <w:r w:rsidRPr="009952F8">
        <w:rPr>
          <w:rFonts w:ascii="Times New Roman" w:hAnsi="Times New Roman" w:cs="Times New Roman"/>
          <w:sz w:val="18"/>
          <w:szCs w:val="18"/>
          <w:lang w:val="en-US"/>
        </w:rPr>
        <w:t>:</w:t>
      </w:r>
      <w:r w:rsidR="0064792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647928" w:rsidRPr="00647928">
        <w:rPr>
          <w:rFonts w:ascii="Times New Roman" w:hAnsi="Times New Roman" w:cs="Times New Roman"/>
          <w:sz w:val="18"/>
          <w:szCs w:val="18"/>
          <w:lang w:val="en-US"/>
        </w:rPr>
        <w:t>Larzul</w:t>
      </w:r>
      <w:proofErr w:type="spellEnd"/>
      <w:r w:rsidR="00647928" w:rsidRPr="00647928">
        <w:rPr>
          <w:rFonts w:ascii="Times New Roman" w:hAnsi="Times New Roman" w:cs="Times New Roman"/>
          <w:sz w:val="18"/>
          <w:szCs w:val="18"/>
          <w:lang w:val="en-US"/>
        </w:rPr>
        <w:t xml:space="preserve">, C., </w:t>
      </w:r>
      <w:proofErr w:type="spellStart"/>
      <w:r w:rsidR="00647928" w:rsidRPr="00647928">
        <w:rPr>
          <w:rFonts w:ascii="Times New Roman" w:hAnsi="Times New Roman" w:cs="Times New Roman"/>
          <w:sz w:val="18"/>
          <w:szCs w:val="18"/>
          <w:lang w:val="en-US"/>
        </w:rPr>
        <w:t>Terenina</w:t>
      </w:r>
      <w:proofErr w:type="spellEnd"/>
      <w:r w:rsidR="00647928" w:rsidRPr="00647928">
        <w:rPr>
          <w:rFonts w:ascii="Times New Roman" w:hAnsi="Times New Roman" w:cs="Times New Roman"/>
          <w:sz w:val="18"/>
          <w:szCs w:val="18"/>
          <w:lang w:val="en-US"/>
        </w:rPr>
        <w:t xml:space="preserve">, E., </w:t>
      </w:r>
      <w:proofErr w:type="spellStart"/>
      <w:r w:rsidR="00647928" w:rsidRPr="00647928">
        <w:rPr>
          <w:rFonts w:ascii="Times New Roman" w:hAnsi="Times New Roman" w:cs="Times New Roman"/>
          <w:sz w:val="18"/>
          <w:szCs w:val="18"/>
          <w:lang w:val="en-US"/>
        </w:rPr>
        <w:t>Foury</w:t>
      </w:r>
      <w:proofErr w:type="spellEnd"/>
      <w:r w:rsidR="00647928" w:rsidRPr="00647928">
        <w:rPr>
          <w:rFonts w:ascii="Times New Roman" w:hAnsi="Times New Roman" w:cs="Times New Roman"/>
          <w:sz w:val="18"/>
          <w:szCs w:val="18"/>
          <w:lang w:val="en-US"/>
        </w:rPr>
        <w:t xml:space="preserve">, A., Billon, Y., </w:t>
      </w:r>
      <w:proofErr w:type="spellStart"/>
      <w:r w:rsidR="00647928" w:rsidRPr="00647928">
        <w:rPr>
          <w:rFonts w:ascii="Times New Roman" w:hAnsi="Times New Roman" w:cs="Times New Roman"/>
          <w:sz w:val="18"/>
          <w:szCs w:val="18"/>
          <w:lang w:val="en-US"/>
        </w:rPr>
        <w:t>Louveau</w:t>
      </w:r>
      <w:proofErr w:type="spellEnd"/>
      <w:r w:rsidR="00647928" w:rsidRPr="00647928">
        <w:rPr>
          <w:rFonts w:ascii="Times New Roman" w:hAnsi="Times New Roman" w:cs="Times New Roman"/>
          <w:sz w:val="18"/>
          <w:szCs w:val="18"/>
          <w:lang w:val="en-US"/>
        </w:rPr>
        <w:t xml:space="preserve">, I., Merlot, E. and </w:t>
      </w:r>
      <w:proofErr w:type="spellStart"/>
      <w:r w:rsidR="00647928" w:rsidRPr="00647928">
        <w:rPr>
          <w:rFonts w:ascii="Times New Roman" w:hAnsi="Times New Roman" w:cs="Times New Roman"/>
          <w:sz w:val="18"/>
          <w:szCs w:val="18"/>
          <w:lang w:val="en-US"/>
        </w:rPr>
        <w:t>Mormède</w:t>
      </w:r>
      <w:proofErr w:type="spellEnd"/>
      <w:r w:rsidR="00647928" w:rsidRPr="00647928">
        <w:rPr>
          <w:rFonts w:ascii="Times New Roman" w:hAnsi="Times New Roman" w:cs="Times New Roman"/>
          <w:sz w:val="18"/>
          <w:szCs w:val="18"/>
          <w:lang w:val="en-US"/>
        </w:rPr>
        <w:t>, P., 2015. Animal</w:t>
      </w:r>
      <w:r w:rsidR="00A17689">
        <w:rPr>
          <w:rFonts w:ascii="Times New Roman" w:hAnsi="Times New Roman" w:cs="Times New Roman"/>
          <w:sz w:val="18"/>
          <w:szCs w:val="18"/>
          <w:lang w:val="en-US"/>
        </w:rPr>
        <w:t>.</w:t>
      </w:r>
      <w:r w:rsidR="00647928" w:rsidRPr="0064792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C36B5B">
        <w:rPr>
          <w:rFonts w:ascii="Times New Roman" w:hAnsi="Times New Roman" w:cs="Times New Roman"/>
          <w:sz w:val="18"/>
          <w:szCs w:val="18"/>
          <w:lang w:val="en-US"/>
        </w:rPr>
        <w:t>(</w:t>
      </w:r>
      <w:r w:rsidR="00647928" w:rsidRPr="00647928">
        <w:rPr>
          <w:rFonts w:ascii="Times New Roman" w:hAnsi="Times New Roman" w:cs="Times New Roman"/>
          <w:sz w:val="18"/>
          <w:szCs w:val="18"/>
          <w:lang w:val="en-US"/>
        </w:rPr>
        <w:t>9</w:t>
      </w:r>
      <w:r w:rsidR="00C36B5B">
        <w:rPr>
          <w:rFonts w:ascii="Times New Roman" w:hAnsi="Times New Roman" w:cs="Times New Roman"/>
          <w:sz w:val="18"/>
          <w:szCs w:val="18"/>
          <w:lang w:val="en-US"/>
        </w:rPr>
        <w:t xml:space="preserve">), </w:t>
      </w:r>
      <w:r w:rsidR="00647928" w:rsidRPr="00647928">
        <w:rPr>
          <w:rFonts w:ascii="Times New Roman" w:hAnsi="Times New Roman" w:cs="Times New Roman"/>
          <w:sz w:val="18"/>
          <w:szCs w:val="18"/>
          <w:lang w:val="en-US"/>
        </w:rPr>
        <w:t>1929-1934.</w:t>
      </w:r>
    </w:p>
    <w:p w14:paraId="4F10F6EF" w14:textId="77777777" w:rsidR="001E7845" w:rsidRPr="001E7845" w:rsidRDefault="001E7845">
      <w:pPr>
        <w:rPr>
          <w:lang w:val="en-US"/>
        </w:rPr>
      </w:pPr>
    </w:p>
    <w:sectPr w:rsidR="001E7845" w:rsidRPr="001E78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4326A"/>
    <w:multiLevelType w:val="hybridMultilevel"/>
    <w:tmpl w:val="6782762A"/>
    <w:lvl w:ilvl="0" w:tplc="DD128EB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12310"/>
    <w:multiLevelType w:val="hybridMultilevel"/>
    <w:tmpl w:val="39CCA484"/>
    <w:lvl w:ilvl="0" w:tplc="2E12B5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033051">
    <w:abstractNumId w:val="0"/>
  </w:num>
  <w:num w:numId="2" w16cid:durableId="1422873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845"/>
    <w:rsid w:val="001E7845"/>
    <w:rsid w:val="001F57FD"/>
    <w:rsid w:val="00216FCC"/>
    <w:rsid w:val="00407BD3"/>
    <w:rsid w:val="00421C41"/>
    <w:rsid w:val="004B72DB"/>
    <w:rsid w:val="004D5900"/>
    <w:rsid w:val="005614F0"/>
    <w:rsid w:val="005C6FBF"/>
    <w:rsid w:val="00647928"/>
    <w:rsid w:val="006D31B9"/>
    <w:rsid w:val="007C76CD"/>
    <w:rsid w:val="008311A2"/>
    <w:rsid w:val="00863B4B"/>
    <w:rsid w:val="008D2443"/>
    <w:rsid w:val="009952F8"/>
    <w:rsid w:val="00A15456"/>
    <w:rsid w:val="00A17689"/>
    <w:rsid w:val="00A61AB6"/>
    <w:rsid w:val="00B840AC"/>
    <w:rsid w:val="00BC13B9"/>
    <w:rsid w:val="00C12DAC"/>
    <w:rsid w:val="00C36B5B"/>
    <w:rsid w:val="00C438F6"/>
    <w:rsid w:val="00CA728F"/>
    <w:rsid w:val="00CC544C"/>
    <w:rsid w:val="00D32FB5"/>
    <w:rsid w:val="00D75400"/>
    <w:rsid w:val="00E1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4FB2F"/>
  <w15:chartTrackingRefBased/>
  <w15:docId w15:val="{DF1C8F50-DC3F-4668-85C5-856489A08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845"/>
    <w:pPr>
      <w:ind w:left="720"/>
      <w:contextualSpacing/>
    </w:pPr>
    <w:rPr>
      <w:kern w:val="0"/>
      <w14:ligatures w14:val="none"/>
    </w:rPr>
  </w:style>
  <w:style w:type="paragraph" w:styleId="Revision">
    <w:name w:val="Revision"/>
    <w:hidden/>
    <w:uiPriority w:val="99"/>
    <w:semiHidden/>
    <w:rsid w:val="00E1606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160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60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60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60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60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452</Words>
  <Characters>3229</Characters>
  <Application>Microsoft Office Word</Application>
  <DocSecurity>0</DocSecurity>
  <Lines>322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James</dc:creator>
  <cp:keywords/>
  <dc:description/>
  <cp:lastModifiedBy>Taylor, James</cp:lastModifiedBy>
  <cp:revision>3</cp:revision>
  <dcterms:created xsi:type="dcterms:W3CDTF">2024-01-19T12:40:00Z</dcterms:created>
  <dcterms:modified xsi:type="dcterms:W3CDTF">2024-01-19T14:40:00Z</dcterms:modified>
</cp:coreProperties>
</file>