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7C79B" w14:textId="2D62BF00" w:rsidR="007B30E3" w:rsidRPr="00637F7A" w:rsidRDefault="007B30E3">
      <w:pPr>
        <w:rPr>
          <w:b/>
          <w:bCs/>
        </w:rPr>
      </w:pPr>
      <w:r w:rsidRPr="00637F7A">
        <w:rPr>
          <w:b/>
          <w:bCs/>
        </w:rPr>
        <w:t>Application</w:t>
      </w:r>
    </w:p>
    <w:p w14:paraId="07C9ECB3" w14:textId="727A1398" w:rsidR="007B30E3" w:rsidRPr="00637F7A" w:rsidRDefault="00E63A32" w:rsidP="00E63A32">
      <w:pPr>
        <w:jc w:val="both"/>
        <w:rPr>
          <w:bCs/>
        </w:rPr>
      </w:pPr>
      <w:r w:rsidRPr="00637F7A">
        <w:rPr>
          <w:bCs/>
        </w:rPr>
        <w:t xml:space="preserve">In male and female heavy </w:t>
      </w:r>
      <w:proofErr w:type="spellStart"/>
      <w:r w:rsidRPr="00637F7A">
        <w:rPr>
          <w:bCs/>
        </w:rPr>
        <w:t>Duroc</w:t>
      </w:r>
      <w:proofErr w:type="spellEnd"/>
      <w:r w:rsidRPr="00637F7A">
        <w:rPr>
          <w:bCs/>
        </w:rPr>
        <w:t xml:space="preserve"> X (Landrace X Large White) finishing pigs, reduced Crude Protein (CP) with amino acid (AA) supplementation feeding strategies are economically viable under high or low feed and carcass prices scenarios.</w:t>
      </w:r>
    </w:p>
    <w:p w14:paraId="5E9F33D1" w14:textId="5CDACFAB" w:rsidR="007B30E3" w:rsidRPr="00637F7A" w:rsidRDefault="007B30E3">
      <w:pPr>
        <w:rPr>
          <w:b/>
          <w:bCs/>
        </w:rPr>
      </w:pPr>
      <w:r w:rsidRPr="00637F7A">
        <w:rPr>
          <w:b/>
          <w:bCs/>
        </w:rPr>
        <w:t>Introduction</w:t>
      </w:r>
    </w:p>
    <w:p w14:paraId="167B5498" w14:textId="6285F211" w:rsidR="007B30E3" w:rsidRPr="00637F7A" w:rsidRDefault="00E63A32" w:rsidP="00E63A32">
      <w:pPr>
        <w:jc w:val="both"/>
        <w:rPr>
          <w:bCs/>
        </w:rPr>
      </w:pPr>
      <w:r w:rsidRPr="00637F7A">
        <w:rPr>
          <w:bCs/>
        </w:rPr>
        <w:t>Nutrition represents 70% of pig production costs, particularly protein feedstuffs. Reducing feeding costs is of major relevance</w:t>
      </w:r>
      <w:r w:rsidR="00157388" w:rsidRPr="00637F7A">
        <w:rPr>
          <w:bCs/>
        </w:rPr>
        <w:t>, particularly in heavy pigs finished until 120kg</w:t>
      </w:r>
      <w:r w:rsidRPr="00637F7A">
        <w:rPr>
          <w:bCs/>
        </w:rPr>
        <w:t xml:space="preserve">. Decreasing CP contents below recommended supplemented with AA is effective in decreasing costs without affecting production performances and profitability under particular scenarios (Almeida et al., 2024a). The strategy </w:t>
      </w:r>
      <w:proofErr w:type="gramStart"/>
      <w:r w:rsidRPr="00637F7A">
        <w:rPr>
          <w:bCs/>
        </w:rPr>
        <w:t>has been conducted</w:t>
      </w:r>
      <w:proofErr w:type="gramEnd"/>
      <w:r w:rsidRPr="00637F7A">
        <w:rPr>
          <w:bCs/>
        </w:rPr>
        <w:t xml:space="preserve"> in lean genotypes in post-weaning piglets and grower stages, with few studies concerning heavy male and female finishers. Herein, we conduct an economic assessment in heavy (</w:t>
      </w:r>
      <w:proofErr w:type="spellStart"/>
      <w:r w:rsidRPr="00637F7A">
        <w:rPr>
          <w:bCs/>
        </w:rPr>
        <w:t>Duroc</w:t>
      </w:r>
      <w:proofErr w:type="spellEnd"/>
      <w:r w:rsidRPr="00637F7A">
        <w:rPr>
          <w:bCs/>
        </w:rPr>
        <w:t xml:space="preserve"> X (Landrace X Large White)) male and female finishing pigs under a 2% CP reduction with AA supplementation under four scenarios (low feed and carcass prices and high feed and carcass prices). We hypothesize that for both sexes and scenarios the CP reduction coupled to AA supplementation is economically viable.</w:t>
      </w:r>
    </w:p>
    <w:p w14:paraId="1F63B1C6" w14:textId="70D2D108" w:rsidR="007B30E3" w:rsidRPr="00637F7A" w:rsidRDefault="007B30E3">
      <w:pPr>
        <w:rPr>
          <w:b/>
          <w:bCs/>
        </w:rPr>
      </w:pPr>
      <w:r w:rsidRPr="00637F7A">
        <w:rPr>
          <w:b/>
          <w:bCs/>
        </w:rPr>
        <w:t>Materials and Methods</w:t>
      </w:r>
    </w:p>
    <w:p w14:paraId="31DE43A2" w14:textId="354D559E" w:rsidR="007B30E3" w:rsidRPr="00637F7A" w:rsidRDefault="00E63A32" w:rsidP="00157388">
      <w:pPr>
        <w:jc w:val="both"/>
        <w:rPr>
          <w:bCs/>
        </w:rPr>
      </w:pPr>
      <w:r w:rsidRPr="00637F7A">
        <w:rPr>
          <w:bCs/>
        </w:rPr>
        <w:t>A total of 60 males and 60 females heavy (</w:t>
      </w:r>
      <w:proofErr w:type="spellStart"/>
      <w:r w:rsidRPr="00637F7A">
        <w:rPr>
          <w:bCs/>
        </w:rPr>
        <w:t>Duroc</w:t>
      </w:r>
      <w:proofErr w:type="spellEnd"/>
      <w:r w:rsidRPr="00637F7A">
        <w:rPr>
          <w:bCs/>
        </w:rPr>
        <w:t xml:space="preserve"> X (Landrace X Large White) finishers </w:t>
      </w:r>
      <w:proofErr w:type="gramStart"/>
      <w:r w:rsidRPr="00637F7A">
        <w:rPr>
          <w:bCs/>
        </w:rPr>
        <w:t>were used</w:t>
      </w:r>
      <w:proofErr w:type="gramEnd"/>
      <w:r w:rsidRPr="00637F7A">
        <w:rPr>
          <w:bCs/>
        </w:rPr>
        <w:t xml:space="preserve">. At 9 weeks, pigs </w:t>
      </w:r>
      <w:proofErr w:type="gramStart"/>
      <w:r w:rsidRPr="00637F7A">
        <w:rPr>
          <w:bCs/>
        </w:rPr>
        <w:t>were distributed</w:t>
      </w:r>
      <w:proofErr w:type="gramEnd"/>
      <w:r w:rsidRPr="00637F7A">
        <w:rPr>
          <w:bCs/>
        </w:rPr>
        <w:t xml:space="preserve"> in split-sex pens (6 pigs/pen) with ad libitum access to water and feed. At 15 weeks, two </w:t>
      </w:r>
      <w:proofErr w:type="spellStart"/>
      <w:r w:rsidRPr="00637F7A">
        <w:rPr>
          <w:bCs/>
        </w:rPr>
        <w:t>isoenergetic</w:t>
      </w:r>
      <w:proofErr w:type="spellEnd"/>
      <w:r w:rsidRPr="00637F7A">
        <w:rPr>
          <w:bCs/>
        </w:rPr>
        <w:t xml:space="preserve"> diets with different CP levels </w:t>
      </w:r>
      <w:proofErr w:type="gramStart"/>
      <w:r w:rsidRPr="00637F7A">
        <w:rPr>
          <w:bCs/>
        </w:rPr>
        <w:t>were provided</w:t>
      </w:r>
      <w:proofErr w:type="gramEnd"/>
      <w:r w:rsidRPr="00637F7A">
        <w:rPr>
          <w:bCs/>
        </w:rPr>
        <w:t xml:space="preserve"> (145 and 125 g CP/kg, control and low-CP) during 42 days</w:t>
      </w:r>
      <w:r w:rsidR="00157388" w:rsidRPr="00637F7A">
        <w:rPr>
          <w:bCs/>
        </w:rPr>
        <w:t xml:space="preserve"> when all animals were slaughtered</w:t>
      </w:r>
      <w:r w:rsidRPr="00637F7A">
        <w:rPr>
          <w:bCs/>
        </w:rPr>
        <w:t xml:space="preserve">. Low-CP pigs were supplemented higher levels of crystalline AAs to meet equal ideal protein balance. </w:t>
      </w:r>
      <w:r w:rsidR="00157388" w:rsidRPr="00637F7A">
        <w:rPr>
          <w:bCs/>
        </w:rPr>
        <w:t>Males were 7.25% heavier and had 16% higher average daily gains than females in both treatments with no differences recorded for feed intake or feed conversion ratio</w:t>
      </w:r>
      <w:r w:rsidR="00637F7A" w:rsidRPr="00637F7A">
        <w:rPr>
          <w:bCs/>
        </w:rPr>
        <w:t xml:space="preserve"> </w:t>
      </w:r>
      <w:r w:rsidR="00637F7A" w:rsidRPr="00637F7A">
        <w:rPr>
          <w:bCs/>
        </w:rPr>
        <w:t>(Almeida et al., 2024b; 2024c)</w:t>
      </w:r>
      <w:r w:rsidR="00157388" w:rsidRPr="00637F7A">
        <w:rPr>
          <w:bCs/>
        </w:rPr>
        <w:t>.</w:t>
      </w:r>
      <w:r w:rsidRPr="00637F7A">
        <w:rPr>
          <w:bCs/>
        </w:rPr>
        <w:t xml:space="preserve"> Feed costs and carcass incomes </w:t>
      </w:r>
      <w:proofErr w:type="gramStart"/>
      <w:r w:rsidRPr="00637F7A">
        <w:rPr>
          <w:bCs/>
        </w:rPr>
        <w:t>were calculated</w:t>
      </w:r>
      <w:proofErr w:type="gramEnd"/>
      <w:r w:rsidRPr="00637F7A">
        <w:rPr>
          <w:bCs/>
        </w:rPr>
        <w:t xml:space="preserve"> for best and least favourable scenarios in weekly prices over the last three years. Feed price of the control diet matched mean values of finishing feed in Spain for that period. Feed costs were calculated by multiplying feed prices (€/kg of feed) by the amount of feed consumed during the experiment (in kg/pig) plus a fixed partial fixed feed cost of 80 €/pig from </w:t>
      </w:r>
      <w:proofErr w:type="gramStart"/>
      <w:r w:rsidRPr="00637F7A">
        <w:rPr>
          <w:bCs/>
        </w:rPr>
        <w:t>6</w:t>
      </w:r>
      <w:proofErr w:type="gramEnd"/>
      <w:r w:rsidRPr="00637F7A">
        <w:rPr>
          <w:bCs/>
        </w:rPr>
        <w:t xml:space="preserve"> to 70 kg of body weight (start of the experiment). Carcass income (€/pig) was obtained by multiplying carcass prices (€/kg of carcass) by carcass weight (kg of carcass). Margin-over-feed-cost (€/pig) was calculated as the difference between carcass income and feed costs. Data was </w:t>
      </w:r>
      <w:proofErr w:type="spellStart"/>
      <w:r w:rsidRPr="00637F7A">
        <w:rPr>
          <w:bCs/>
        </w:rPr>
        <w:t>analyzed</w:t>
      </w:r>
      <w:proofErr w:type="spellEnd"/>
      <w:r w:rsidRPr="00637F7A">
        <w:rPr>
          <w:bCs/>
        </w:rPr>
        <w:t xml:space="preserve"> using the simple least squares models that included dietary tre</w:t>
      </w:r>
      <w:bookmarkStart w:id="0" w:name="_GoBack"/>
      <w:bookmarkEnd w:id="0"/>
      <w:r w:rsidRPr="00637F7A">
        <w:rPr>
          <w:bCs/>
        </w:rPr>
        <w:t>atment and sex and their interaction as fixed effects with the pen (n=20) as the experimental unit. The University of Lleida Ethics Committee (CEEA 01/23) approved the protocol.</w:t>
      </w:r>
    </w:p>
    <w:p w14:paraId="35CAF992" w14:textId="43ABAA1F" w:rsidR="007B30E3" w:rsidRPr="00637F7A" w:rsidRDefault="007B30E3">
      <w:pPr>
        <w:rPr>
          <w:b/>
          <w:bCs/>
        </w:rPr>
      </w:pPr>
      <w:r w:rsidRPr="00637F7A">
        <w:rPr>
          <w:b/>
          <w:bCs/>
        </w:rPr>
        <w:t>Results</w:t>
      </w:r>
    </w:p>
    <w:p w14:paraId="3D5C9672" w14:textId="67D793B5" w:rsidR="007B30E3" w:rsidRPr="00637F7A" w:rsidRDefault="00E63A32" w:rsidP="00E63A32">
      <w:pPr>
        <w:jc w:val="both"/>
        <w:rPr>
          <w:bCs/>
        </w:rPr>
      </w:pPr>
      <w:r w:rsidRPr="00637F7A">
        <w:rPr>
          <w:bCs/>
        </w:rPr>
        <w:t xml:space="preserve">Results </w:t>
      </w:r>
      <w:proofErr w:type="gramStart"/>
      <w:r w:rsidRPr="00637F7A">
        <w:rPr>
          <w:bCs/>
        </w:rPr>
        <w:t>are detailed</w:t>
      </w:r>
      <w:proofErr w:type="gramEnd"/>
      <w:r w:rsidRPr="00637F7A">
        <w:rPr>
          <w:bCs/>
        </w:rPr>
        <w:t xml:space="preserve"> in Table 1. In the first two scenarios (concomitant low feed costs and carcass incomes, as well as high feed costs and carcass incomes), decreased CP contents with AA supplementation lead to analogous feed costs for all experimental groups. Results are different regarding carcass incomes and margin-over-feed costs, as for both remaining scenarios (contrasting high and low feed costs with low and high carcass incomes)</w:t>
      </w:r>
      <w:proofErr w:type="gramStart"/>
      <w:r w:rsidRPr="00637F7A">
        <w:rPr>
          <w:bCs/>
        </w:rPr>
        <w:t>,</w:t>
      </w:r>
      <w:proofErr w:type="gramEnd"/>
      <w:r w:rsidRPr="00637F7A">
        <w:rPr>
          <w:bCs/>
        </w:rPr>
        <w:t xml:space="preserve"> the males had </w:t>
      </w:r>
      <w:r w:rsidR="00157388" w:rsidRPr="00637F7A">
        <w:rPr>
          <w:bCs/>
        </w:rPr>
        <w:t>higher margins over feed costs</w:t>
      </w:r>
      <w:r w:rsidRPr="00637F7A">
        <w:rPr>
          <w:bCs/>
        </w:rPr>
        <w:t xml:space="preserve"> than females for both diets. Concerning the low feed and high carcass prices scenario, control males had higher margins than low-CP females, whereas low-CP males and control females showed intermediate values.</w:t>
      </w:r>
    </w:p>
    <w:p w14:paraId="63CD8508" w14:textId="6A4E4167" w:rsidR="007836EA" w:rsidRPr="00637F7A" w:rsidRDefault="007836EA" w:rsidP="00E63A32">
      <w:pPr>
        <w:jc w:val="both"/>
        <w:rPr>
          <w:bCs/>
        </w:rPr>
      </w:pPr>
    </w:p>
    <w:p w14:paraId="572FF70A" w14:textId="662526AD" w:rsidR="007836EA" w:rsidRPr="00637F7A" w:rsidRDefault="007836EA" w:rsidP="00E63A32">
      <w:pPr>
        <w:jc w:val="both"/>
        <w:rPr>
          <w:bCs/>
        </w:rPr>
      </w:pPr>
    </w:p>
    <w:p w14:paraId="3A49B834" w14:textId="77777777" w:rsidR="007836EA" w:rsidRPr="00637F7A" w:rsidRDefault="007836EA" w:rsidP="00E63A32">
      <w:pPr>
        <w:jc w:val="both"/>
        <w:rPr>
          <w:bCs/>
        </w:rPr>
      </w:pPr>
    </w:p>
    <w:p w14:paraId="15100C83" w14:textId="77777777" w:rsidR="007836EA" w:rsidRPr="00637F7A" w:rsidRDefault="007836EA" w:rsidP="007836EA">
      <w:pPr>
        <w:jc w:val="both"/>
        <w:rPr>
          <w:lang w:bidi="en-US"/>
        </w:rPr>
      </w:pPr>
      <w:r w:rsidRPr="00637F7A">
        <w:rPr>
          <w:lang w:bidi="en-US"/>
        </w:rPr>
        <w:lastRenderedPageBreak/>
        <w:t>Table 1. Economic assessment of the effect of low CP diet with amino acid supplementation on entire male and female pigs</w:t>
      </w:r>
    </w:p>
    <w:tbl>
      <w:tblPr>
        <w:tblW w:w="0" w:type="auto"/>
        <w:tblLook w:val="04A0" w:firstRow="1" w:lastRow="0" w:firstColumn="1" w:lastColumn="0" w:noHBand="0" w:noVBand="1"/>
      </w:tblPr>
      <w:tblGrid>
        <w:gridCol w:w="1264"/>
        <w:gridCol w:w="975"/>
        <w:gridCol w:w="1061"/>
        <w:gridCol w:w="1118"/>
        <w:gridCol w:w="1161"/>
        <w:gridCol w:w="767"/>
        <w:gridCol w:w="785"/>
        <w:gridCol w:w="896"/>
        <w:gridCol w:w="999"/>
      </w:tblGrid>
      <w:tr w:rsidR="007836EA" w:rsidRPr="00637F7A" w14:paraId="5938E8ED" w14:textId="77777777" w:rsidTr="00843C6E">
        <w:tc>
          <w:tcPr>
            <w:tcW w:w="1542" w:type="dxa"/>
            <w:tcBorders>
              <w:top w:val="single" w:sz="4" w:space="0" w:color="auto"/>
              <w:bottom w:val="single" w:sz="4" w:space="0" w:color="auto"/>
            </w:tcBorders>
            <w:shd w:val="clear" w:color="auto" w:fill="auto"/>
          </w:tcPr>
          <w:p w14:paraId="23BCA800" w14:textId="77777777" w:rsidR="007836EA" w:rsidRPr="00637F7A" w:rsidRDefault="007836EA" w:rsidP="00843C6E">
            <w:pPr>
              <w:spacing w:line="240" w:lineRule="auto"/>
              <w:jc w:val="both"/>
              <w:rPr>
                <w:b/>
                <w:bCs/>
              </w:rPr>
            </w:pPr>
          </w:p>
        </w:tc>
        <w:tc>
          <w:tcPr>
            <w:tcW w:w="4418" w:type="dxa"/>
            <w:gridSpan w:val="4"/>
            <w:tcBorders>
              <w:top w:val="single" w:sz="4" w:space="0" w:color="auto"/>
              <w:bottom w:val="single" w:sz="4" w:space="0" w:color="auto"/>
            </w:tcBorders>
            <w:shd w:val="clear" w:color="auto" w:fill="auto"/>
          </w:tcPr>
          <w:p w14:paraId="1785DA80" w14:textId="77777777" w:rsidR="007836EA" w:rsidRPr="00637F7A" w:rsidRDefault="007836EA" w:rsidP="00843C6E">
            <w:pPr>
              <w:spacing w:line="240" w:lineRule="auto"/>
              <w:jc w:val="center"/>
              <w:rPr>
                <w:b/>
                <w:bCs/>
              </w:rPr>
            </w:pPr>
            <w:r w:rsidRPr="00637F7A">
              <w:rPr>
                <w:b/>
                <w:bCs/>
              </w:rPr>
              <w:t>Diet-Sex</w:t>
            </w:r>
          </w:p>
        </w:tc>
        <w:tc>
          <w:tcPr>
            <w:tcW w:w="718" w:type="dxa"/>
            <w:vMerge w:val="restart"/>
            <w:tcBorders>
              <w:top w:val="single" w:sz="4" w:space="0" w:color="auto"/>
            </w:tcBorders>
            <w:shd w:val="clear" w:color="auto" w:fill="auto"/>
            <w:vAlign w:val="center"/>
          </w:tcPr>
          <w:p w14:paraId="051C1375" w14:textId="77777777" w:rsidR="007836EA" w:rsidRPr="00637F7A" w:rsidRDefault="007836EA" w:rsidP="00843C6E">
            <w:pPr>
              <w:spacing w:line="240" w:lineRule="auto"/>
              <w:jc w:val="center"/>
              <w:rPr>
                <w:b/>
                <w:bCs/>
              </w:rPr>
            </w:pPr>
            <w:r w:rsidRPr="00637F7A">
              <w:rPr>
                <w:b/>
              </w:rPr>
              <w:t>SEM</w:t>
            </w:r>
          </w:p>
        </w:tc>
        <w:tc>
          <w:tcPr>
            <w:tcW w:w="2682" w:type="dxa"/>
            <w:gridSpan w:val="3"/>
            <w:tcBorders>
              <w:top w:val="single" w:sz="4" w:space="0" w:color="auto"/>
              <w:bottom w:val="single" w:sz="4" w:space="0" w:color="auto"/>
            </w:tcBorders>
            <w:shd w:val="clear" w:color="auto" w:fill="auto"/>
          </w:tcPr>
          <w:p w14:paraId="21231066" w14:textId="77777777" w:rsidR="007836EA" w:rsidRPr="00637F7A" w:rsidRDefault="007836EA" w:rsidP="00843C6E">
            <w:pPr>
              <w:spacing w:line="240" w:lineRule="auto"/>
              <w:jc w:val="center"/>
              <w:rPr>
                <w:b/>
                <w:bCs/>
              </w:rPr>
            </w:pPr>
            <w:r w:rsidRPr="00637F7A">
              <w:rPr>
                <w:b/>
                <w:bCs/>
              </w:rPr>
              <w:t>P-value</w:t>
            </w:r>
          </w:p>
        </w:tc>
      </w:tr>
      <w:tr w:rsidR="007836EA" w:rsidRPr="00637F7A" w14:paraId="10D90BF3" w14:textId="77777777" w:rsidTr="00843C6E">
        <w:tc>
          <w:tcPr>
            <w:tcW w:w="1542" w:type="dxa"/>
            <w:tcBorders>
              <w:top w:val="single" w:sz="4" w:space="0" w:color="auto"/>
              <w:bottom w:val="single" w:sz="4" w:space="0" w:color="auto"/>
            </w:tcBorders>
            <w:shd w:val="clear" w:color="auto" w:fill="auto"/>
          </w:tcPr>
          <w:p w14:paraId="774CBE0F" w14:textId="77777777" w:rsidR="007836EA" w:rsidRPr="00637F7A" w:rsidRDefault="007836EA" w:rsidP="00843C6E">
            <w:pPr>
              <w:spacing w:line="240" w:lineRule="auto"/>
              <w:jc w:val="both"/>
              <w:rPr>
                <w:b/>
                <w:bCs/>
              </w:rPr>
            </w:pPr>
          </w:p>
        </w:tc>
        <w:tc>
          <w:tcPr>
            <w:tcW w:w="903" w:type="dxa"/>
            <w:tcBorders>
              <w:top w:val="single" w:sz="4" w:space="0" w:color="auto"/>
              <w:bottom w:val="single" w:sz="4" w:space="0" w:color="auto"/>
            </w:tcBorders>
            <w:shd w:val="clear" w:color="auto" w:fill="auto"/>
          </w:tcPr>
          <w:p w14:paraId="56245037" w14:textId="77777777" w:rsidR="007836EA" w:rsidRPr="00637F7A" w:rsidRDefault="007836EA" w:rsidP="007836EA">
            <w:pPr>
              <w:spacing w:line="240" w:lineRule="auto"/>
              <w:jc w:val="center"/>
              <w:rPr>
                <w:b/>
              </w:rPr>
            </w:pPr>
            <w:r w:rsidRPr="00637F7A">
              <w:rPr>
                <w:b/>
              </w:rPr>
              <w:t>Low-CP Female</w:t>
            </w:r>
          </w:p>
        </w:tc>
        <w:tc>
          <w:tcPr>
            <w:tcW w:w="1079" w:type="dxa"/>
            <w:tcBorders>
              <w:top w:val="single" w:sz="4" w:space="0" w:color="auto"/>
              <w:bottom w:val="single" w:sz="4" w:space="0" w:color="auto"/>
            </w:tcBorders>
            <w:shd w:val="clear" w:color="auto" w:fill="auto"/>
          </w:tcPr>
          <w:p w14:paraId="4A26371B" w14:textId="77777777" w:rsidR="007836EA" w:rsidRPr="00637F7A" w:rsidRDefault="007836EA" w:rsidP="007836EA">
            <w:pPr>
              <w:spacing w:line="240" w:lineRule="auto"/>
              <w:jc w:val="center"/>
              <w:rPr>
                <w:b/>
              </w:rPr>
            </w:pPr>
            <w:r w:rsidRPr="00637F7A">
              <w:rPr>
                <w:b/>
              </w:rPr>
              <w:t>Low-CP Male</w:t>
            </w:r>
          </w:p>
        </w:tc>
        <w:tc>
          <w:tcPr>
            <w:tcW w:w="1172" w:type="dxa"/>
            <w:tcBorders>
              <w:top w:val="single" w:sz="4" w:space="0" w:color="auto"/>
              <w:bottom w:val="single" w:sz="4" w:space="0" w:color="auto"/>
            </w:tcBorders>
            <w:shd w:val="clear" w:color="auto" w:fill="auto"/>
          </w:tcPr>
          <w:p w14:paraId="371CDA94" w14:textId="77777777" w:rsidR="007836EA" w:rsidRPr="00637F7A" w:rsidRDefault="007836EA" w:rsidP="007836EA">
            <w:pPr>
              <w:spacing w:line="240" w:lineRule="auto"/>
              <w:jc w:val="center"/>
              <w:rPr>
                <w:b/>
              </w:rPr>
            </w:pPr>
            <w:r w:rsidRPr="00637F7A">
              <w:rPr>
                <w:b/>
              </w:rPr>
              <w:t>Control-CP Female</w:t>
            </w:r>
          </w:p>
        </w:tc>
        <w:tc>
          <w:tcPr>
            <w:tcW w:w="1264" w:type="dxa"/>
            <w:tcBorders>
              <w:top w:val="single" w:sz="4" w:space="0" w:color="auto"/>
              <w:bottom w:val="single" w:sz="4" w:space="0" w:color="auto"/>
            </w:tcBorders>
            <w:shd w:val="clear" w:color="auto" w:fill="auto"/>
          </w:tcPr>
          <w:p w14:paraId="68FA3C73" w14:textId="77777777" w:rsidR="007836EA" w:rsidRPr="00637F7A" w:rsidRDefault="007836EA" w:rsidP="007836EA">
            <w:pPr>
              <w:spacing w:line="240" w:lineRule="auto"/>
              <w:jc w:val="center"/>
              <w:rPr>
                <w:b/>
              </w:rPr>
            </w:pPr>
            <w:r w:rsidRPr="00637F7A">
              <w:rPr>
                <w:b/>
              </w:rPr>
              <w:t>Control-CP Male</w:t>
            </w:r>
          </w:p>
        </w:tc>
        <w:tc>
          <w:tcPr>
            <w:tcW w:w="718" w:type="dxa"/>
            <w:vMerge/>
            <w:tcBorders>
              <w:bottom w:val="single" w:sz="4" w:space="0" w:color="auto"/>
            </w:tcBorders>
            <w:shd w:val="clear" w:color="auto" w:fill="auto"/>
          </w:tcPr>
          <w:p w14:paraId="62EDFC10" w14:textId="77777777" w:rsidR="007836EA" w:rsidRPr="00637F7A" w:rsidRDefault="007836EA" w:rsidP="007836EA">
            <w:pPr>
              <w:spacing w:line="240" w:lineRule="auto"/>
              <w:jc w:val="center"/>
              <w:rPr>
                <w:b/>
              </w:rPr>
            </w:pPr>
          </w:p>
        </w:tc>
        <w:tc>
          <w:tcPr>
            <w:tcW w:w="805" w:type="dxa"/>
            <w:tcBorders>
              <w:top w:val="single" w:sz="4" w:space="0" w:color="auto"/>
              <w:bottom w:val="single" w:sz="4" w:space="0" w:color="auto"/>
            </w:tcBorders>
            <w:shd w:val="clear" w:color="auto" w:fill="auto"/>
          </w:tcPr>
          <w:p w14:paraId="5EEBEE6B" w14:textId="77777777" w:rsidR="007836EA" w:rsidRPr="00637F7A" w:rsidRDefault="007836EA" w:rsidP="007836EA">
            <w:pPr>
              <w:spacing w:line="240" w:lineRule="auto"/>
              <w:jc w:val="center"/>
              <w:rPr>
                <w:b/>
              </w:rPr>
            </w:pPr>
            <w:r w:rsidRPr="00637F7A">
              <w:rPr>
                <w:b/>
              </w:rPr>
              <w:t>Diet</w:t>
            </w:r>
          </w:p>
        </w:tc>
        <w:tc>
          <w:tcPr>
            <w:tcW w:w="880" w:type="dxa"/>
            <w:tcBorders>
              <w:top w:val="single" w:sz="4" w:space="0" w:color="auto"/>
              <w:bottom w:val="single" w:sz="4" w:space="0" w:color="auto"/>
            </w:tcBorders>
            <w:shd w:val="clear" w:color="auto" w:fill="auto"/>
          </w:tcPr>
          <w:p w14:paraId="1C265B56" w14:textId="77777777" w:rsidR="007836EA" w:rsidRPr="00637F7A" w:rsidRDefault="007836EA" w:rsidP="007836EA">
            <w:pPr>
              <w:spacing w:line="240" w:lineRule="auto"/>
              <w:jc w:val="center"/>
              <w:rPr>
                <w:b/>
              </w:rPr>
            </w:pPr>
            <w:r w:rsidRPr="00637F7A">
              <w:rPr>
                <w:b/>
              </w:rPr>
              <w:t>Sex</w:t>
            </w:r>
          </w:p>
        </w:tc>
        <w:tc>
          <w:tcPr>
            <w:tcW w:w="0" w:type="auto"/>
            <w:tcBorders>
              <w:top w:val="single" w:sz="4" w:space="0" w:color="auto"/>
              <w:bottom w:val="single" w:sz="4" w:space="0" w:color="auto"/>
            </w:tcBorders>
          </w:tcPr>
          <w:p w14:paraId="068AAB44" w14:textId="77777777" w:rsidR="007836EA" w:rsidRPr="00637F7A" w:rsidRDefault="007836EA" w:rsidP="007836EA">
            <w:pPr>
              <w:spacing w:line="240" w:lineRule="auto"/>
              <w:jc w:val="center"/>
              <w:rPr>
                <w:b/>
              </w:rPr>
            </w:pPr>
            <w:r w:rsidRPr="00637F7A">
              <w:rPr>
                <w:b/>
              </w:rPr>
              <w:t>Diet x Sex</w:t>
            </w:r>
          </w:p>
        </w:tc>
      </w:tr>
      <w:tr w:rsidR="007836EA" w:rsidRPr="00637F7A" w14:paraId="73116732" w14:textId="77777777" w:rsidTr="00843C6E">
        <w:tc>
          <w:tcPr>
            <w:tcW w:w="0" w:type="auto"/>
            <w:gridSpan w:val="9"/>
            <w:tcBorders>
              <w:top w:val="single" w:sz="4" w:space="0" w:color="auto"/>
            </w:tcBorders>
            <w:shd w:val="clear" w:color="auto" w:fill="auto"/>
          </w:tcPr>
          <w:p w14:paraId="71AC1E40" w14:textId="77777777" w:rsidR="007836EA" w:rsidRPr="00637F7A" w:rsidRDefault="007836EA" w:rsidP="00843C6E">
            <w:pPr>
              <w:spacing w:line="240" w:lineRule="auto"/>
              <w:jc w:val="both"/>
              <w:rPr>
                <w:b/>
              </w:rPr>
            </w:pPr>
            <w:r w:rsidRPr="00637F7A">
              <w:rPr>
                <w:b/>
                <w:bCs/>
              </w:rPr>
              <w:t>Low feed and carcass prices scenario (2020)</w:t>
            </w:r>
            <w:r w:rsidRPr="00637F7A">
              <w:rPr>
                <w:b/>
                <w:bCs/>
                <w:vertAlign w:val="superscript"/>
              </w:rPr>
              <w:t>1</w:t>
            </w:r>
          </w:p>
        </w:tc>
      </w:tr>
      <w:tr w:rsidR="007836EA" w:rsidRPr="00637F7A" w14:paraId="4256C443" w14:textId="77777777" w:rsidTr="00843C6E">
        <w:tc>
          <w:tcPr>
            <w:tcW w:w="1542" w:type="dxa"/>
            <w:shd w:val="clear" w:color="auto" w:fill="auto"/>
          </w:tcPr>
          <w:p w14:paraId="7DB0E35E" w14:textId="77777777" w:rsidR="007836EA" w:rsidRPr="00637F7A" w:rsidRDefault="007836EA" w:rsidP="00843C6E">
            <w:pPr>
              <w:spacing w:line="240" w:lineRule="auto"/>
              <w:rPr>
                <w:bCs/>
              </w:rPr>
            </w:pPr>
            <w:r w:rsidRPr="00637F7A">
              <w:rPr>
                <w:bCs/>
              </w:rPr>
              <w:t>Feed cost (€/pig)</w:t>
            </w:r>
          </w:p>
        </w:tc>
        <w:tc>
          <w:tcPr>
            <w:tcW w:w="903" w:type="dxa"/>
            <w:shd w:val="clear" w:color="auto" w:fill="auto"/>
          </w:tcPr>
          <w:p w14:paraId="060F973F" w14:textId="77777777" w:rsidR="007836EA" w:rsidRPr="00637F7A" w:rsidRDefault="007836EA" w:rsidP="007836EA">
            <w:pPr>
              <w:spacing w:line="240" w:lineRule="auto"/>
              <w:jc w:val="center"/>
            </w:pPr>
            <w:r w:rsidRPr="00637F7A">
              <w:t>112.05</w:t>
            </w:r>
          </w:p>
        </w:tc>
        <w:tc>
          <w:tcPr>
            <w:tcW w:w="1079" w:type="dxa"/>
            <w:shd w:val="clear" w:color="auto" w:fill="auto"/>
          </w:tcPr>
          <w:p w14:paraId="1F29F660" w14:textId="77777777" w:rsidR="007836EA" w:rsidRPr="00637F7A" w:rsidRDefault="007836EA" w:rsidP="007836EA">
            <w:pPr>
              <w:spacing w:line="240" w:lineRule="auto"/>
              <w:jc w:val="center"/>
            </w:pPr>
            <w:r w:rsidRPr="00637F7A">
              <w:t>112.69</w:t>
            </w:r>
          </w:p>
        </w:tc>
        <w:tc>
          <w:tcPr>
            <w:tcW w:w="1172" w:type="dxa"/>
            <w:shd w:val="clear" w:color="auto" w:fill="auto"/>
          </w:tcPr>
          <w:p w14:paraId="27DD73FA" w14:textId="77777777" w:rsidR="007836EA" w:rsidRPr="00637F7A" w:rsidRDefault="007836EA" w:rsidP="007836EA">
            <w:pPr>
              <w:spacing w:line="240" w:lineRule="auto"/>
              <w:jc w:val="center"/>
            </w:pPr>
            <w:r w:rsidRPr="00637F7A">
              <w:t>112.52</w:t>
            </w:r>
          </w:p>
        </w:tc>
        <w:tc>
          <w:tcPr>
            <w:tcW w:w="1264" w:type="dxa"/>
            <w:shd w:val="clear" w:color="auto" w:fill="auto"/>
          </w:tcPr>
          <w:p w14:paraId="75B71303" w14:textId="77777777" w:rsidR="007836EA" w:rsidRPr="00637F7A" w:rsidRDefault="007836EA" w:rsidP="007836EA">
            <w:pPr>
              <w:spacing w:line="240" w:lineRule="auto"/>
              <w:jc w:val="center"/>
            </w:pPr>
            <w:r w:rsidRPr="00637F7A">
              <w:t>113.07</w:t>
            </w:r>
          </w:p>
        </w:tc>
        <w:tc>
          <w:tcPr>
            <w:tcW w:w="718" w:type="dxa"/>
            <w:shd w:val="clear" w:color="auto" w:fill="auto"/>
          </w:tcPr>
          <w:p w14:paraId="0B614817" w14:textId="77777777" w:rsidR="007836EA" w:rsidRPr="00637F7A" w:rsidRDefault="007836EA" w:rsidP="007836EA">
            <w:pPr>
              <w:spacing w:line="240" w:lineRule="auto"/>
              <w:jc w:val="center"/>
            </w:pPr>
            <w:r w:rsidRPr="00637F7A">
              <w:t>0.788</w:t>
            </w:r>
          </w:p>
        </w:tc>
        <w:tc>
          <w:tcPr>
            <w:tcW w:w="805" w:type="dxa"/>
            <w:shd w:val="clear" w:color="auto" w:fill="auto"/>
          </w:tcPr>
          <w:p w14:paraId="2E174058" w14:textId="77777777" w:rsidR="007836EA" w:rsidRPr="00637F7A" w:rsidRDefault="007836EA" w:rsidP="007836EA">
            <w:pPr>
              <w:spacing w:line="240" w:lineRule="auto"/>
              <w:jc w:val="center"/>
            </w:pPr>
            <w:r w:rsidRPr="00637F7A">
              <w:t>0.599</w:t>
            </w:r>
          </w:p>
        </w:tc>
        <w:tc>
          <w:tcPr>
            <w:tcW w:w="880" w:type="dxa"/>
            <w:shd w:val="clear" w:color="auto" w:fill="auto"/>
          </w:tcPr>
          <w:p w14:paraId="4D0C4D54" w14:textId="77777777" w:rsidR="007836EA" w:rsidRPr="00637F7A" w:rsidRDefault="007836EA" w:rsidP="007836EA">
            <w:pPr>
              <w:spacing w:line="240" w:lineRule="auto"/>
              <w:jc w:val="center"/>
            </w:pPr>
            <w:r w:rsidRPr="00637F7A">
              <w:t>0.461</w:t>
            </w:r>
          </w:p>
        </w:tc>
        <w:tc>
          <w:tcPr>
            <w:tcW w:w="0" w:type="auto"/>
          </w:tcPr>
          <w:p w14:paraId="6BFF75CA" w14:textId="77777777" w:rsidR="007836EA" w:rsidRPr="00637F7A" w:rsidRDefault="007836EA" w:rsidP="007836EA">
            <w:pPr>
              <w:spacing w:line="240" w:lineRule="auto"/>
              <w:jc w:val="center"/>
            </w:pPr>
            <w:r w:rsidRPr="00637F7A">
              <w:t>0.956</w:t>
            </w:r>
          </w:p>
        </w:tc>
      </w:tr>
      <w:tr w:rsidR="007836EA" w:rsidRPr="00637F7A" w14:paraId="42D9C30F" w14:textId="77777777" w:rsidTr="00843C6E">
        <w:tc>
          <w:tcPr>
            <w:tcW w:w="1542" w:type="dxa"/>
            <w:shd w:val="clear" w:color="auto" w:fill="auto"/>
          </w:tcPr>
          <w:p w14:paraId="15B41E2D" w14:textId="77777777" w:rsidR="007836EA" w:rsidRPr="00637F7A" w:rsidRDefault="007836EA" w:rsidP="00843C6E">
            <w:pPr>
              <w:spacing w:line="240" w:lineRule="auto"/>
              <w:rPr>
                <w:bCs/>
              </w:rPr>
            </w:pPr>
            <w:r w:rsidRPr="00637F7A">
              <w:rPr>
                <w:bCs/>
              </w:rPr>
              <w:t>Carcass income (€/pig)</w:t>
            </w:r>
          </w:p>
        </w:tc>
        <w:tc>
          <w:tcPr>
            <w:tcW w:w="903" w:type="dxa"/>
            <w:shd w:val="clear" w:color="auto" w:fill="auto"/>
          </w:tcPr>
          <w:p w14:paraId="39F6640A" w14:textId="77777777" w:rsidR="007836EA" w:rsidRPr="00637F7A" w:rsidRDefault="007836EA" w:rsidP="007836EA">
            <w:pPr>
              <w:spacing w:line="240" w:lineRule="auto"/>
              <w:jc w:val="center"/>
            </w:pPr>
            <w:r w:rsidRPr="00637F7A">
              <w:t>142.04</w:t>
            </w:r>
            <w:r w:rsidRPr="00637F7A">
              <w:rPr>
                <w:vertAlign w:val="superscript"/>
              </w:rPr>
              <w:t>c</w:t>
            </w:r>
          </w:p>
        </w:tc>
        <w:tc>
          <w:tcPr>
            <w:tcW w:w="1079" w:type="dxa"/>
            <w:shd w:val="clear" w:color="auto" w:fill="auto"/>
          </w:tcPr>
          <w:p w14:paraId="3C68963F" w14:textId="77777777" w:rsidR="007836EA" w:rsidRPr="00637F7A" w:rsidRDefault="007836EA" w:rsidP="007836EA">
            <w:pPr>
              <w:spacing w:line="240" w:lineRule="auto"/>
              <w:jc w:val="center"/>
            </w:pPr>
            <w:r w:rsidRPr="00637F7A">
              <w:t>150.00</w:t>
            </w:r>
            <w:r w:rsidRPr="00637F7A">
              <w:rPr>
                <w:vertAlign w:val="superscript"/>
              </w:rPr>
              <w:t>ab</w:t>
            </w:r>
          </w:p>
        </w:tc>
        <w:tc>
          <w:tcPr>
            <w:tcW w:w="1172" w:type="dxa"/>
            <w:shd w:val="clear" w:color="auto" w:fill="auto"/>
          </w:tcPr>
          <w:p w14:paraId="1358B4B9" w14:textId="77777777" w:rsidR="007836EA" w:rsidRPr="00637F7A" w:rsidRDefault="007836EA" w:rsidP="007836EA">
            <w:pPr>
              <w:spacing w:line="240" w:lineRule="auto"/>
              <w:jc w:val="center"/>
            </w:pPr>
            <w:r w:rsidRPr="00637F7A">
              <w:t>143.99</w:t>
            </w:r>
            <w:r w:rsidRPr="00637F7A">
              <w:rPr>
                <w:vertAlign w:val="superscript"/>
              </w:rPr>
              <w:t>bc</w:t>
            </w:r>
          </w:p>
        </w:tc>
        <w:tc>
          <w:tcPr>
            <w:tcW w:w="1264" w:type="dxa"/>
            <w:shd w:val="clear" w:color="auto" w:fill="auto"/>
          </w:tcPr>
          <w:p w14:paraId="4D19DBC6" w14:textId="77777777" w:rsidR="007836EA" w:rsidRPr="00637F7A" w:rsidRDefault="007836EA" w:rsidP="007836EA">
            <w:pPr>
              <w:spacing w:line="240" w:lineRule="auto"/>
              <w:jc w:val="center"/>
            </w:pPr>
            <w:r w:rsidRPr="00637F7A">
              <w:t>152.64</w:t>
            </w:r>
            <w:r w:rsidRPr="00637F7A">
              <w:rPr>
                <w:vertAlign w:val="superscript"/>
              </w:rPr>
              <w:t>a</w:t>
            </w:r>
          </w:p>
        </w:tc>
        <w:tc>
          <w:tcPr>
            <w:tcW w:w="718" w:type="dxa"/>
            <w:shd w:val="clear" w:color="auto" w:fill="auto"/>
          </w:tcPr>
          <w:p w14:paraId="7411081A" w14:textId="77777777" w:rsidR="007836EA" w:rsidRPr="00637F7A" w:rsidRDefault="007836EA" w:rsidP="007836EA">
            <w:pPr>
              <w:spacing w:line="240" w:lineRule="auto"/>
              <w:jc w:val="center"/>
            </w:pPr>
            <w:r w:rsidRPr="00637F7A">
              <w:t>1.647</w:t>
            </w:r>
          </w:p>
        </w:tc>
        <w:tc>
          <w:tcPr>
            <w:tcW w:w="805" w:type="dxa"/>
            <w:shd w:val="clear" w:color="auto" w:fill="auto"/>
          </w:tcPr>
          <w:p w14:paraId="4C70D118" w14:textId="77777777" w:rsidR="007836EA" w:rsidRPr="00637F7A" w:rsidRDefault="007836EA" w:rsidP="007836EA">
            <w:pPr>
              <w:spacing w:line="240" w:lineRule="auto"/>
              <w:jc w:val="center"/>
            </w:pPr>
            <w:r w:rsidRPr="00637F7A">
              <w:t>0.182</w:t>
            </w:r>
          </w:p>
        </w:tc>
        <w:tc>
          <w:tcPr>
            <w:tcW w:w="880" w:type="dxa"/>
            <w:shd w:val="clear" w:color="auto" w:fill="auto"/>
          </w:tcPr>
          <w:p w14:paraId="1F12651B" w14:textId="77777777" w:rsidR="007836EA" w:rsidRPr="00637F7A" w:rsidRDefault="007836EA" w:rsidP="007836EA">
            <w:pPr>
              <w:spacing w:line="240" w:lineRule="auto"/>
              <w:jc w:val="center"/>
            </w:pPr>
            <w:r w:rsidRPr="00637F7A">
              <w:t>&lt;0.001</w:t>
            </w:r>
          </w:p>
        </w:tc>
        <w:tc>
          <w:tcPr>
            <w:tcW w:w="0" w:type="auto"/>
          </w:tcPr>
          <w:p w14:paraId="1FBD790E" w14:textId="77777777" w:rsidR="007836EA" w:rsidRPr="00637F7A" w:rsidRDefault="007836EA" w:rsidP="007836EA">
            <w:pPr>
              <w:spacing w:line="240" w:lineRule="auto"/>
              <w:jc w:val="center"/>
            </w:pPr>
            <w:r w:rsidRPr="00637F7A">
              <w:t>0.833</w:t>
            </w:r>
          </w:p>
        </w:tc>
      </w:tr>
      <w:tr w:rsidR="007836EA" w:rsidRPr="00637F7A" w14:paraId="6B7EA339" w14:textId="77777777" w:rsidTr="00843C6E">
        <w:tc>
          <w:tcPr>
            <w:tcW w:w="1542" w:type="dxa"/>
            <w:tcBorders>
              <w:bottom w:val="single" w:sz="4" w:space="0" w:color="auto"/>
            </w:tcBorders>
            <w:shd w:val="clear" w:color="auto" w:fill="auto"/>
          </w:tcPr>
          <w:p w14:paraId="371D0066" w14:textId="77777777" w:rsidR="007836EA" w:rsidRPr="00637F7A" w:rsidRDefault="007836EA" w:rsidP="00843C6E">
            <w:pPr>
              <w:spacing w:line="240" w:lineRule="auto"/>
              <w:rPr>
                <w:bCs/>
              </w:rPr>
            </w:pPr>
            <w:r w:rsidRPr="00637F7A">
              <w:rPr>
                <w:bCs/>
              </w:rPr>
              <w:t>Margin-over-feed-cost (€/pig)</w:t>
            </w:r>
          </w:p>
        </w:tc>
        <w:tc>
          <w:tcPr>
            <w:tcW w:w="903" w:type="dxa"/>
            <w:tcBorders>
              <w:bottom w:val="single" w:sz="4" w:space="0" w:color="auto"/>
            </w:tcBorders>
            <w:shd w:val="clear" w:color="auto" w:fill="auto"/>
          </w:tcPr>
          <w:p w14:paraId="6EA51CBF" w14:textId="77777777" w:rsidR="007836EA" w:rsidRPr="00637F7A" w:rsidRDefault="007836EA" w:rsidP="007836EA">
            <w:pPr>
              <w:spacing w:line="240" w:lineRule="auto"/>
              <w:jc w:val="center"/>
            </w:pPr>
            <w:r w:rsidRPr="00637F7A">
              <w:t>29.99</w:t>
            </w:r>
            <w:r w:rsidRPr="00637F7A">
              <w:rPr>
                <w:vertAlign w:val="superscript"/>
              </w:rPr>
              <w:t>b</w:t>
            </w:r>
          </w:p>
        </w:tc>
        <w:tc>
          <w:tcPr>
            <w:tcW w:w="1079" w:type="dxa"/>
            <w:tcBorders>
              <w:bottom w:val="single" w:sz="4" w:space="0" w:color="auto"/>
            </w:tcBorders>
            <w:shd w:val="clear" w:color="auto" w:fill="auto"/>
          </w:tcPr>
          <w:p w14:paraId="4F4CC778" w14:textId="77777777" w:rsidR="007836EA" w:rsidRPr="00637F7A" w:rsidRDefault="007836EA" w:rsidP="007836EA">
            <w:pPr>
              <w:spacing w:line="240" w:lineRule="auto"/>
              <w:jc w:val="center"/>
            </w:pPr>
            <w:r w:rsidRPr="00637F7A">
              <w:t>37.30</w:t>
            </w:r>
            <w:r w:rsidRPr="00637F7A">
              <w:rPr>
                <w:vertAlign w:val="superscript"/>
              </w:rPr>
              <w:t>a</w:t>
            </w:r>
          </w:p>
        </w:tc>
        <w:tc>
          <w:tcPr>
            <w:tcW w:w="1172" w:type="dxa"/>
            <w:tcBorders>
              <w:bottom w:val="single" w:sz="4" w:space="0" w:color="auto"/>
            </w:tcBorders>
            <w:shd w:val="clear" w:color="auto" w:fill="auto"/>
          </w:tcPr>
          <w:p w14:paraId="4F8D18A4" w14:textId="77777777" w:rsidR="007836EA" w:rsidRPr="00637F7A" w:rsidRDefault="007836EA" w:rsidP="007836EA">
            <w:pPr>
              <w:spacing w:line="240" w:lineRule="auto"/>
              <w:jc w:val="center"/>
            </w:pPr>
            <w:r w:rsidRPr="00637F7A">
              <w:t>31.47</w:t>
            </w:r>
            <w:r w:rsidRPr="00637F7A">
              <w:rPr>
                <w:vertAlign w:val="superscript"/>
              </w:rPr>
              <w:t>b</w:t>
            </w:r>
          </w:p>
        </w:tc>
        <w:tc>
          <w:tcPr>
            <w:tcW w:w="1264" w:type="dxa"/>
            <w:tcBorders>
              <w:bottom w:val="single" w:sz="4" w:space="0" w:color="auto"/>
            </w:tcBorders>
            <w:shd w:val="clear" w:color="auto" w:fill="auto"/>
          </w:tcPr>
          <w:p w14:paraId="72F72171" w14:textId="77777777" w:rsidR="007836EA" w:rsidRPr="00637F7A" w:rsidRDefault="007836EA" w:rsidP="007836EA">
            <w:pPr>
              <w:spacing w:line="240" w:lineRule="auto"/>
              <w:jc w:val="center"/>
            </w:pPr>
            <w:r w:rsidRPr="00637F7A">
              <w:t>39.57</w:t>
            </w:r>
            <w:r w:rsidRPr="00637F7A">
              <w:rPr>
                <w:vertAlign w:val="superscript"/>
              </w:rPr>
              <w:t>a</w:t>
            </w:r>
          </w:p>
        </w:tc>
        <w:tc>
          <w:tcPr>
            <w:tcW w:w="718" w:type="dxa"/>
            <w:tcBorders>
              <w:bottom w:val="single" w:sz="4" w:space="0" w:color="auto"/>
            </w:tcBorders>
            <w:shd w:val="clear" w:color="auto" w:fill="auto"/>
          </w:tcPr>
          <w:p w14:paraId="0DCAF267" w14:textId="77777777" w:rsidR="007836EA" w:rsidRPr="00637F7A" w:rsidRDefault="007836EA" w:rsidP="007836EA">
            <w:pPr>
              <w:spacing w:line="240" w:lineRule="auto"/>
              <w:jc w:val="center"/>
            </w:pPr>
            <w:r w:rsidRPr="00637F7A">
              <w:t>1.249</w:t>
            </w:r>
          </w:p>
        </w:tc>
        <w:tc>
          <w:tcPr>
            <w:tcW w:w="805" w:type="dxa"/>
            <w:tcBorders>
              <w:bottom w:val="single" w:sz="4" w:space="0" w:color="auto"/>
            </w:tcBorders>
            <w:shd w:val="clear" w:color="auto" w:fill="auto"/>
          </w:tcPr>
          <w:p w14:paraId="3DC200C1" w14:textId="77777777" w:rsidR="007836EA" w:rsidRPr="00637F7A" w:rsidRDefault="007836EA" w:rsidP="007836EA">
            <w:pPr>
              <w:spacing w:line="240" w:lineRule="auto"/>
              <w:jc w:val="center"/>
            </w:pPr>
            <w:r w:rsidRPr="00637F7A">
              <w:t>0.153</w:t>
            </w:r>
          </w:p>
        </w:tc>
        <w:tc>
          <w:tcPr>
            <w:tcW w:w="880" w:type="dxa"/>
            <w:tcBorders>
              <w:bottom w:val="single" w:sz="4" w:space="0" w:color="auto"/>
            </w:tcBorders>
            <w:shd w:val="clear" w:color="auto" w:fill="auto"/>
          </w:tcPr>
          <w:p w14:paraId="56A3D3D0" w14:textId="77777777" w:rsidR="007836EA" w:rsidRPr="00637F7A" w:rsidRDefault="007836EA" w:rsidP="007836EA">
            <w:pPr>
              <w:spacing w:line="240" w:lineRule="auto"/>
              <w:jc w:val="center"/>
            </w:pPr>
            <w:r w:rsidRPr="00637F7A">
              <w:t>&lt;0.001</w:t>
            </w:r>
          </w:p>
        </w:tc>
        <w:tc>
          <w:tcPr>
            <w:tcW w:w="0" w:type="auto"/>
            <w:tcBorders>
              <w:bottom w:val="single" w:sz="4" w:space="0" w:color="auto"/>
            </w:tcBorders>
          </w:tcPr>
          <w:p w14:paraId="6601BB63" w14:textId="77777777" w:rsidR="007836EA" w:rsidRPr="00637F7A" w:rsidRDefault="007836EA" w:rsidP="007836EA">
            <w:pPr>
              <w:spacing w:line="240" w:lineRule="auto"/>
              <w:jc w:val="center"/>
            </w:pPr>
            <w:r w:rsidRPr="00637F7A">
              <w:t>0.754</w:t>
            </w:r>
          </w:p>
        </w:tc>
      </w:tr>
      <w:tr w:rsidR="007836EA" w:rsidRPr="00637F7A" w14:paraId="2369BA3E" w14:textId="77777777" w:rsidTr="00843C6E">
        <w:tc>
          <w:tcPr>
            <w:tcW w:w="0" w:type="auto"/>
            <w:gridSpan w:val="9"/>
            <w:tcBorders>
              <w:top w:val="single" w:sz="4" w:space="0" w:color="auto"/>
            </w:tcBorders>
            <w:shd w:val="clear" w:color="auto" w:fill="auto"/>
          </w:tcPr>
          <w:p w14:paraId="7448AEE0" w14:textId="77777777" w:rsidR="007836EA" w:rsidRPr="00637F7A" w:rsidRDefault="007836EA" w:rsidP="00843C6E">
            <w:pPr>
              <w:spacing w:line="240" w:lineRule="auto"/>
              <w:jc w:val="both"/>
              <w:rPr>
                <w:b/>
              </w:rPr>
            </w:pPr>
            <w:r w:rsidRPr="00637F7A">
              <w:rPr>
                <w:b/>
                <w:bCs/>
              </w:rPr>
              <w:t>High feed and carcass prices scenario (2022)</w:t>
            </w:r>
            <w:r w:rsidRPr="00637F7A">
              <w:rPr>
                <w:b/>
                <w:bCs/>
                <w:vertAlign w:val="superscript"/>
              </w:rPr>
              <w:t>2</w:t>
            </w:r>
          </w:p>
        </w:tc>
      </w:tr>
      <w:tr w:rsidR="007836EA" w:rsidRPr="00637F7A" w14:paraId="797F8BEB" w14:textId="77777777" w:rsidTr="00843C6E">
        <w:tc>
          <w:tcPr>
            <w:tcW w:w="1542" w:type="dxa"/>
            <w:shd w:val="clear" w:color="auto" w:fill="auto"/>
          </w:tcPr>
          <w:p w14:paraId="2A1AA189" w14:textId="77777777" w:rsidR="007836EA" w:rsidRPr="00637F7A" w:rsidRDefault="007836EA" w:rsidP="00843C6E">
            <w:pPr>
              <w:spacing w:line="240" w:lineRule="auto"/>
              <w:rPr>
                <w:bCs/>
              </w:rPr>
            </w:pPr>
            <w:r w:rsidRPr="00637F7A">
              <w:rPr>
                <w:bCs/>
              </w:rPr>
              <w:t>Feed cost (€/pig)</w:t>
            </w:r>
          </w:p>
        </w:tc>
        <w:tc>
          <w:tcPr>
            <w:tcW w:w="903" w:type="dxa"/>
            <w:shd w:val="clear" w:color="auto" w:fill="auto"/>
          </w:tcPr>
          <w:p w14:paraId="5AB3C369" w14:textId="77777777" w:rsidR="007836EA" w:rsidRPr="00637F7A" w:rsidRDefault="007836EA" w:rsidP="00843C6E">
            <w:pPr>
              <w:spacing w:line="240" w:lineRule="auto"/>
              <w:jc w:val="center"/>
            </w:pPr>
            <w:r w:rsidRPr="00637F7A">
              <w:t>133.17</w:t>
            </w:r>
          </w:p>
        </w:tc>
        <w:tc>
          <w:tcPr>
            <w:tcW w:w="1079" w:type="dxa"/>
            <w:shd w:val="clear" w:color="auto" w:fill="auto"/>
          </w:tcPr>
          <w:p w14:paraId="3D5C674A" w14:textId="77777777" w:rsidR="007836EA" w:rsidRPr="00637F7A" w:rsidRDefault="007836EA" w:rsidP="00843C6E">
            <w:pPr>
              <w:spacing w:line="240" w:lineRule="auto"/>
              <w:jc w:val="center"/>
            </w:pPr>
            <w:r w:rsidRPr="00637F7A">
              <w:t>134.23</w:t>
            </w:r>
          </w:p>
        </w:tc>
        <w:tc>
          <w:tcPr>
            <w:tcW w:w="1172" w:type="dxa"/>
            <w:shd w:val="clear" w:color="auto" w:fill="auto"/>
          </w:tcPr>
          <w:p w14:paraId="1CF35B0D" w14:textId="77777777" w:rsidR="007836EA" w:rsidRPr="00637F7A" w:rsidRDefault="007836EA" w:rsidP="00843C6E">
            <w:pPr>
              <w:spacing w:line="240" w:lineRule="auto"/>
              <w:jc w:val="center"/>
            </w:pPr>
            <w:r w:rsidRPr="00637F7A">
              <w:t>135.92</w:t>
            </w:r>
          </w:p>
        </w:tc>
        <w:tc>
          <w:tcPr>
            <w:tcW w:w="1264" w:type="dxa"/>
            <w:shd w:val="clear" w:color="auto" w:fill="auto"/>
          </w:tcPr>
          <w:p w14:paraId="3EF8BB0B" w14:textId="77777777" w:rsidR="007836EA" w:rsidRPr="00637F7A" w:rsidRDefault="007836EA" w:rsidP="00843C6E">
            <w:pPr>
              <w:spacing w:line="240" w:lineRule="auto"/>
              <w:jc w:val="center"/>
            </w:pPr>
            <w:r w:rsidRPr="00637F7A">
              <w:t>136.87</w:t>
            </w:r>
          </w:p>
        </w:tc>
        <w:tc>
          <w:tcPr>
            <w:tcW w:w="718" w:type="dxa"/>
            <w:shd w:val="clear" w:color="auto" w:fill="auto"/>
          </w:tcPr>
          <w:p w14:paraId="672C6D1C" w14:textId="77777777" w:rsidR="007836EA" w:rsidRPr="00637F7A" w:rsidRDefault="007836EA" w:rsidP="00843C6E">
            <w:pPr>
              <w:spacing w:line="240" w:lineRule="auto"/>
              <w:jc w:val="center"/>
            </w:pPr>
            <w:r w:rsidRPr="00637F7A">
              <w:t>1.325</w:t>
            </w:r>
          </w:p>
        </w:tc>
        <w:tc>
          <w:tcPr>
            <w:tcW w:w="805" w:type="dxa"/>
            <w:shd w:val="clear" w:color="auto" w:fill="auto"/>
          </w:tcPr>
          <w:p w14:paraId="2E62BC64" w14:textId="77777777" w:rsidR="007836EA" w:rsidRPr="00637F7A" w:rsidRDefault="007836EA" w:rsidP="00843C6E">
            <w:pPr>
              <w:spacing w:line="240" w:lineRule="auto"/>
              <w:jc w:val="center"/>
            </w:pPr>
            <w:r w:rsidRPr="00637F7A">
              <w:t>0.059</w:t>
            </w:r>
          </w:p>
        </w:tc>
        <w:tc>
          <w:tcPr>
            <w:tcW w:w="880" w:type="dxa"/>
            <w:shd w:val="clear" w:color="auto" w:fill="auto"/>
          </w:tcPr>
          <w:p w14:paraId="1CE20D6A" w14:textId="77777777" w:rsidR="007836EA" w:rsidRPr="00637F7A" w:rsidRDefault="007836EA" w:rsidP="00843C6E">
            <w:pPr>
              <w:spacing w:line="240" w:lineRule="auto"/>
              <w:jc w:val="center"/>
            </w:pPr>
            <w:r w:rsidRPr="00637F7A">
              <w:t>0.459</w:t>
            </w:r>
          </w:p>
        </w:tc>
        <w:tc>
          <w:tcPr>
            <w:tcW w:w="0" w:type="auto"/>
          </w:tcPr>
          <w:p w14:paraId="2729611E" w14:textId="77777777" w:rsidR="007836EA" w:rsidRPr="00637F7A" w:rsidRDefault="007836EA" w:rsidP="00843C6E">
            <w:pPr>
              <w:spacing w:line="240" w:lineRule="auto"/>
              <w:jc w:val="center"/>
            </w:pPr>
            <w:r w:rsidRPr="00637F7A">
              <w:t>0.967</w:t>
            </w:r>
          </w:p>
        </w:tc>
      </w:tr>
      <w:tr w:rsidR="007836EA" w:rsidRPr="00637F7A" w14:paraId="286F90A0" w14:textId="77777777" w:rsidTr="00843C6E">
        <w:tc>
          <w:tcPr>
            <w:tcW w:w="1542" w:type="dxa"/>
            <w:shd w:val="clear" w:color="auto" w:fill="auto"/>
          </w:tcPr>
          <w:p w14:paraId="2D27B646" w14:textId="77777777" w:rsidR="007836EA" w:rsidRPr="00637F7A" w:rsidRDefault="007836EA" w:rsidP="00843C6E">
            <w:pPr>
              <w:spacing w:line="240" w:lineRule="auto"/>
              <w:rPr>
                <w:bCs/>
              </w:rPr>
            </w:pPr>
            <w:r w:rsidRPr="00637F7A">
              <w:rPr>
                <w:bCs/>
              </w:rPr>
              <w:t>Carcass income (€/pig)</w:t>
            </w:r>
          </w:p>
        </w:tc>
        <w:tc>
          <w:tcPr>
            <w:tcW w:w="903" w:type="dxa"/>
            <w:shd w:val="clear" w:color="auto" w:fill="auto"/>
          </w:tcPr>
          <w:p w14:paraId="678877AA" w14:textId="77777777" w:rsidR="007836EA" w:rsidRPr="00637F7A" w:rsidRDefault="007836EA" w:rsidP="00843C6E">
            <w:pPr>
              <w:spacing w:line="240" w:lineRule="auto"/>
              <w:jc w:val="center"/>
            </w:pPr>
            <w:r w:rsidRPr="00637F7A">
              <w:t>177.09</w:t>
            </w:r>
            <w:r w:rsidRPr="00637F7A">
              <w:rPr>
                <w:vertAlign w:val="superscript"/>
              </w:rPr>
              <w:t>b</w:t>
            </w:r>
          </w:p>
        </w:tc>
        <w:tc>
          <w:tcPr>
            <w:tcW w:w="1079" w:type="dxa"/>
            <w:shd w:val="clear" w:color="auto" w:fill="auto"/>
          </w:tcPr>
          <w:p w14:paraId="7963A599" w14:textId="77777777" w:rsidR="007836EA" w:rsidRPr="00637F7A" w:rsidRDefault="007836EA" w:rsidP="00843C6E">
            <w:pPr>
              <w:spacing w:line="240" w:lineRule="auto"/>
              <w:jc w:val="center"/>
            </w:pPr>
            <w:r w:rsidRPr="00637F7A">
              <w:t>184.70</w:t>
            </w:r>
            <w:r w:rsidRPr="00637F7A">
              <w:rPr>
                <w:vertAlign w:val="superscript"/>
              </w:rPr>
              <w:t>ab</w:t>
            </w:r>
          </w:p>
        </w:tc>
        <w:tc>
          <w:tcPr>
            <w:tcW w:w="1172" w:type="dxa"/>
            <w:shd w:val="clear" w:color="auto" w:fill="auto"/>
          </w:tcPr>
          <w:p w14:paraId="7ED4CD8C" w14:textId="77777777" w:rsidR="007836EA" w:rsidRPr="00637F7A" w:rsidRDefault="007836EA" w:rsidP="00843C6E">
            <w:pPr>
              <w:spacing w:line="240" w:lineRule="auto"/>
              <w:jc w:val="center"/>
            </w:pPr>
            <w:r w:rsidRPr="00637F7A">
              <w:t>179.39</w:t>
            </w:r>
            <w:r w:rsidRPr="00637F7A">
              <w:rPr>
                <w:vertAlign w:val="superscript"/>
              </w:rPr>
              <w:t>ab</w:t>
            </w:r>
          </w:p>
        </w:tc>
        <w:tc>
          <w:tcPr>
            <w:tcW w:w="1264" w:type="dxa"/>
            <w:shd w:val="clear" w:color="auto" w:fill="auto"/>
          </w:tcPr>
          <w:p w14:paraId="44DE7483" w14:textId="77777777" w:rsidR="007836EA" w:rsidRPr="00637F7A" w:rsidRDefault="007836EA" w:rsidP="00843C6E">
            <w:pPr>
              <w:spacing w:line="240" w:lineRule="auto"/>
              <w:jc w:val="center"/>
            </w:pPr>
            <w:r w:rsidRPr="00637F7A">
              <w:t>188.10</w:t>
            </w:r>
            <w:r w:rsidRPr="00637F7A">
              <w:rPr>
                <w:vertAlign w:val="superscript"/>
              </w:rPr>
              <w:t>a</w:t>
            </w:r>
          </w:p>
        </w:tc>
        <w:tc>
          <w:tcPr>
            <w:tcW w:w="718" w:type="dxa"/>
            <w:shd w:val="clear" w:color="auto" w:fill="auto"/>
          </w:tcPr>
          <w:p w14:paraId="25289AC9" w14:textId="77777777" w:rsidR="007836EA" w:rsidRPr="00637F7A" w:rsidRDefault="007836EA" w:rsidP="00843C6E">
            <w:pPr>
              <w:spacing w:line="240" w:lineRule="auto"/>
              <w:jc w:val="center"/>
            </w:pPr>
            <w:r w:rsidRPr="00637F7A">
              <w:t>3.281</w:t>
            </w:r>
          </w:p>
        </w:tc>
        <w:tc>
          <w:tcPr>
            <w:tcW w:w="805" w:type="dxa"/>
            <w:shd w:val="clear" w:color="auto" w:fill="auto"/>
          </w:tcPr>
          <w:p w14:paraId="21C6D8A7" w14:textId="77777777" w:rsidR="007836EA" w:rsidRPr="00637F7A" w:rsidRDefault="007836EA" w:rsidP="00843C6E">
            <w:pPr>
              <w:spacing w:line="240" w:lineRule="auto"/>
              <w:jc w:val="center"/>
            </w:pPr>
            <w:r w:rsidRPr="00637F7A">
              <w:t>0.397</w:t>
            </w:r>
          </w:p>
        </w:tc>
        <w:tc>
          <w:tcPr>
            <w:tcW w:w="880" w:type="dxa"/>
            <w:shd w:val="clear" w:color="auto" w:fill="auto"/>
          </w:tcPr>
          <w:p w14:paraId="64724B05" w14:textId="77777777" w:rsidR="007836EA" w:rsidRPr="00637F7A" w:rsidRDefault="007836EA" w:rsidP="00843C6E">
            <w:pPr>
              <w:spacing w:line="240" w:lineRule="auto"/>
              <w:jc w:val="center"/>
            </w:pPr>
            <w:r w:rsidRPr="00637F7A">
              <w:t>0.024</w:t>
            </w:r>
          </w:p>
        </w:tc>
        <w:tc>
          <w:tcPr>
            <w:tcW w:w="0" w:type="auto"/>
          </w:tcPr>
          <w:p w14:paraId="0FB4DC2E" w14:textId="77777777" w:rsidR="007836EA" w:rsidRPr="00637F7A" w:rsidRDefault="007836EA" w:rsidP="00843C6E">
            <w:pPr>
              <w:spacing w:line="240" w:lineRule="auto"/>
              <w:jc w:val="center"/>
            </w:pPr>
            <w:r w:rsidRPr="00637F7A">
              <w:t>0.869</w:t>
            </w:r>
          </w:p>
        </w:tc>
      </w:tr>
      <w:tr w:rsidR="007836EA" w:rsidRPr="00637F7A" w14:paraId="0810F898" w14:textId="77777777" w:rsidTr="00843C6E">
        <w:tc>
          <w:tcPr>
            <w:tcW w:w="1542" w:type="dxa"/>
            <w:tcBorders>
              <w:bottom w:val="single" w:sz="4" w:space="0" w:color="auto"/>
            </w:tcBorders>
            <w:shd w:val="clear" w:color="auto" w:fill="auto"/>
          </w:tcPr>
          <w:p w14:paraId="5B0C21A4" w14:textId="77777777" w:rsidR="007836EA" w:rsidRPr="00637F7A" w:rsidRDefault="007836EA" w:rsidP="00843C6E">
            <w:pPr>
              <w:spacing w:line="240" w:lineRule="auto"/>
              <w:rPr>
                <w:bCs/>
              </w:rPr>
            </w:pPr>
            <w:r w:rsidRPr="00637F7A">
              <w:rPr>
                <w:bCs/>
              </w:rPr>
              <w:t>Margin-over-feed-cost (€/pig)</w:t>
            </w:r>
          </w:p>
        </w:tc>
        <w:tc>
          <w:tcPr>
            <w:tcW w:w="903" w:type="dxa"/>
            <w:tcBorders>
              <w:bottom w:val="single" w:sz="4" w:space="0" w:color="auto"/>
            </w:tcBorders>
            <w:shd w:val="clear" w:color="auto" w:fill="auto"/>
          </w:tcPr>
          <w:p w14:paraId="7B737068" w14:textId="77777777" w:rsidR="007836EA" w:rsidRPr="00637F7A" w:rsidRDefault="007836EA" w:rsidP="00843C6E">
            <w:pPr>
              <w:spacing w:line="240" w:lineRule="auto"/>
              <w:jc w:val="center"/>
            </w:pPr>
            <w:r w:rsidRPr="00637F7A">
              <w:t>43.91</w:t>
            </w:r>
            <w:r w:rsidRPr="00637F7A">
              <w:rPr>
                <w:vertAlign w:val="superscript"/>
              </w:rPr>
              <w:t>b</w:t>
            </w:r>
          </w:p>
        </w:tc>
        <w:tc>
          <w:tcPr>
            <w:tcW w:w="1079" w:type="dxa"/>
            <w:tcBorders>
              <w:bottom w:val="single" w:sz="4" w:space="0" w:color="auto"/>
            </w:tcBorders>
            <w:shd w:val="clear" w:color="auto" w:fill="auto"/>
          </w:tcPr>
          <w:p w14:paraId="16AC5233" w14:textId="77777777" w:rsidR="007836EA" w:rsidRPr="00637F7A" w:rsidRDefault="007836EA" w:rsidP="00843C6E">
            <w:pPr>
              <w:spacing w:line="240" w:lineRule="auto"/>
              <w:jc w:val="center"/>
            </w:pPr>
            <w:r w:rsidRPr="00637F7A">
              <w:t>50.46</w:t>
            </w:r>
            <w:r w:rsidRPr="00637F7A">
              <w:rPr>
                <w:vertAlign w:val="superscript"/>
              </w:rPr>
              <w:t>a</w:t>
            </w:r>
          </w:p>
        </w:tc>
        <w:tc>
          <w:tcPr>
            <w:tcW w:w="1172" w:type="dxa"/>
            <w:tcBorders>
              <w:bottom w:val="single" w:sz="4" w:space="0" w:color="auto"/>
            </w:tcBorders>
            <w:shd w:val="clear" w:color="auto" w:fill="auto"/>
          </w:tcPr>
          <w:p w14:paraId="6BDA3149" w14:textId="77777777" w:rsidR="007836EA" w:rsidRPr="00637F7A" w:rsidRDefault="007836EA" w:rsidP="00843C6E">
            <w:pPr>
              <w:spacing w:line="240" w:lineRule="auto"/>
              <w:jc w:val="center"/>
            </w:pPr>
            <w:r w:rsidRPr="00637F7A">
              <w:t>43.47</w:t>
            </w:r>
            <w:r w:rsidRPr="00637F7A">
              <w:rPr>
                <w:vertAlign w:val="superscript"/>
              </w:rPr>
              <w:t>b</w:t>
            </w:r>
          </w:p>
        </w:tc>
        <w:tc>
          <w:tcPr>
            <w:tcW w:w="1264" w:type="dxa"/>
            <w:tcBorders>
              <w:bottom w:val="single" w:sz="4" w:space="0" w:color="auto"/>
            </w:tcBorders>
            <w:shd w:val="clear" w:color="auto" w:fill="auto"/>
          </w:tcPr>
          <w:p w14:paraId="2CA1B7A7" w14:textId="77777777" w:rsidR="007836EA" w:rsidRPr="00637F7A" w:rsidRDefault="007836EA" w:rsidP="00843C6E">
            <w:pPr>
              <w:spacing w:line="240" w:lineRule="auto"/>
              <w:jc w:val="center"/>
            </w:pPr>
            <w:r w:rsidRPr="00637F7A">
              <w:t>51.23</w:t>
            </w:r>
            <w:r w:rsidRPr="00637F7A">
              <w:rPr>
                <w:vertAlign w:val="superscript"/>
              </w:rPr>
              <w:t>a</w:t>
            </w:r>
          </w:p>
        </w:tc>
        <w:tc>
          <w:tcPr>
            <w:tcW w:w="718" w:type="dxa"/>
            <w:tcBorders>
              <w:bottom w:val="single" w:sz="4" w:space="0" w:color="auto"/>
            </w:tcBorders>
            <w:shd w:val="clear" w:color="auto" w:fill="auto"/>
          </w:tcPr>
          <w:p w14:paraId="530F5E81" w14:textId="77777777" w:rsidR="007836EA" w:rsidRPr="00637F7A" w:rsidRDefault="007836EA" w:rsidP="00843C6E">
            <w:pPr>
              <w:spacing w:line="240" w:lineRule="auto"/>
              <w:jc w:val="center"/>
            </w:pPr>
            <w:r w:rsidRPr="00637F7A">
              <w:t>3.309</w:t>
            </w:r>
          </w:p>
        </w:tc>
        <w:tc>
          <w:tcPr>
            <w:tcW w:w="805" w:type="dxa"/>
            <w:tcBorders>
              <w:bottom w:val="single" w:sz="4" w:space="0" w:color="auto"/>
            </w:tcBorders>
            <w:shd w:val="clear" w:color="auto" w:fill="auto"/>
          </w:tcPr>
          <w:p w14:paraId="0FA956BB" w14:textId="77777777" w:rsidR="007836EA" w:rsidRPr="00637F7A" w:rsidRDefault="007836EA" w:rsidP="00843C6E">
            <w:pPr>
              <w:spacing w:line="240" w:lineRule="auto"/>
              <w:jc w:val="center"/>
            </w:pPr>
            <w:r w:rsidRPr="00637F7A">
              <w:t>0.962</w:t>
            </w:r>
          </w:p>
        </w:tc>
        <w:tc>
          <w:tcPr>
            <w:tcW w:w="880" w:type="dxa"/>
            <w:tcBorders>
              <w:bottom w:val="single" w:sz="4" w:space="0" w:color="auto"/>
            </w:tcBorders>
            <w:shd w:val="clear" w:color="auto" w:fill="auto"/>
          </w:tcPr>
          <w:p w14:paraId="6E70EB91" w14:textId="77777777" w:rsidR="007836EA" w:rsidRPr="00637F7A" w:rsidRDefault="007836EA" w:rsidP="00843C6E">
            <w:pPr>
              <w:spacing w:line="240" w:lineRule="auto"/>
              <w:jc w:val="center"/>
            </w:pPr>
            <w:r w:rsidRPr="00637F7A">
              <w:t>0.046</w:t>
            </w:r>
          </w:p>
        </w:tc>
        <w:tc>
          <w:tcPr>
            <w:tcW w:w="0" w:type="auto"/>
            <w:tcBorders>
              <w:bottom w:val="single" w:sz="4" w:space="0" w:color="auto"/>
            </w:tcBorders>
          </w:tcPr>
          <w:p w14:paraId="7D0A1D3F" w14:textId="77777777" w:rsidR="007836EA" w:rsidRPr="00637F7A" w:rsidRDefault="007836EA" w:rsidP="00843C6E">
            <w:pPr>
              <w:spacing w:line="240" w:lineRule="auto"/>
              <w:jc w:val="center"/>
            </w:pPr>
            <w:r w:rsidRPr="00637F7A">
              <w:t>0.857</w:t>
            </w:r>
          </w:p>
        </w:tc>
      </w:tr>
      <w:tr w:rsidR="007836EA" w:rsidRPr="00637F7A" w14:paraId="20777DFE" w14:textId="77777777" w:rsidTr="00843C6E">
        <w:tc>
          <w:tcPr>
            <w:tcW w:w="0" w:type="auto"/>
            <w:gridSpan w:val="9"/>
            <w:tcBorders>
              <w:top w:val="single" w:sz="4" w:space="0" w:color="auto"/>
            </w:tcBorders>
            <w:shd w:val="clear" w:color="auto" w:fill="auto"/>
          </w:tcPr>
          <w:p w14:paraId="0E1D98B1" w14:textId="77777777" w:rsidR="007836EA" w:rsidRPr="00637F7A" w:rsidRDefault="007836EA" w:rsidP="00843C6E">
            <w:pPr>
              <w:spacing w:line="240" w:lineRule="auto"/>
              <w:jc w:val="both"/>
              <w:rPr>
                <w:b/>
              </w:rPr>
            </w:pPr>
            <w:r w:rsidRPr="00637F7A">
              <w:rPr>
                <w:b/>
                <w:bCs/>
              </w:rPr>
              <w:t>High feed and low carcass prices</w:t>
            </w:r>
          </w:p>
        </w:tc>
      </w:tr>
      <w:tr w:rsidR="007836EA" w:rsidRPr="00637F7A" w14:paraId="16F58986" w14:textId="77777777" w:rsidTr="00843C6E">
        <w:tc>
          <w:tcPr>
            <w:tcW w:w="1542" w:type="dxa"/>
            <w:shd w:val="clear" w:color="auto" w:fill="auto"/>
          </w:tcPr>
          <w:p w14:paraId="23293BE3" w14:textId="77777777" w:rsidR="007836EA" w:rsidRPr="00637F7A" w:rsidRDefault="007836EA" w:rsidP="00843C6E">
            <w:pPr>
              <w:spacing w:line="240" w:lineRule="auto"/>
              <w:rPr>
                <w:bCs/>
              </w:rPr>
            </w:pPr>
            <w:r w:rsidRPr="00637F7A">
              <w:rPr>
                <w:bCs/>
              </w:rPr>
              <w:t>Margin-over-feed-cost (€/pig)</w:t>
            </w:r>
          </w:p>
        </w:tc>
        <w:tc>
          <w:tcPr>
            <w:tcW w:w="903" w:type="dxa"/>
            <w:shd w:val="clear" w:color="auto" w:fill="auto"/>
          </w:tcPr>
          <w:p w14:paraId="7FEB394B" w14:textId="77777777" w:rsidR="007836EA" w:rsidRPr="00637F7A" w:rsidRDefault="007836EA" w:rsidP="00843C6E">
            <w:pPr>
              <w:spacing w:line="240" w:lineRule="auto"/>
              <w:jc w:val="center"/>
            </w:pPr>
            <w:r w:rsidRPr="00637F7A">
              <w:t>8.87</w:t>
            </w:r>
            <w:r w:rsidRPr="00637F7A">
              <w:rPr>
                <w:vertAlign w:val="superscript"/>
              </w:rPr>
              <w:t>b</w:t>
            </w:r>
          </w:p>
        </w:tc>
        <w:tc>
          <w:tcPr>
            <w:tcW w:w="1079" w:type="dxa"/>
            <w:shd w:val="clear" w:color="auto" w:fill="auto"/>
          </w:tcPr>
          <w:p w14:paraId="7E01FD89" w14:textId="77777777" w:rsidR="007836EA" w:rsidRPr="00637F7A" w:rsidRDefault="007836EA" w:rsidP="00843C6E">
            <w:pPr>
              <w:spacing w:line="240" w:lineRule="auto"/>
              <w:jc w:val="center"/>
            </w:pPr>
            <w:r w:rsidRPr="00637F7A">
              <w:t>15.76</w:t>
            </w:r>
            <w:r w:rsidRPr="00637F7A">
              <w:rPr>
                <w:vertAlign w:val="superscript"/>
              </w:rPr>
              <w:t>a</w:t>
            </w:r>
          </w:p>
        </w:tc>
        <w:tc>
          <w:tcPr>
            <w:tcW w:w="1172" w:type="dxa"/>
            <w:shd w:val="clear" w:color="auto" w:fill="auto"/>
          </w:tcPr>
          <w:p w14:paraId="2D686463" w14:textId="77777777" w:rsidR="007836EA" w:rsidRPr="00637F7A" w:rsidRDefault="007836EA" w:rsidP="00843C6E">
            <w:pPr>
              <w:spacing w:line="240" w:lineRule="auto"/>
              <w:jc w:val="center"/>
            </w:pPr>
            <w:r w:rsidRPr="00637F7A">
              <w:t>8.06</w:t>
            </w:r>
            <w:r w:rsidRPr="00637F7A">
              <w:rPr>
                <w:vertAlign w:val="superscript"/>
              </w:rPr>
              <w:t>b</w:t>
            </w:r>
          </w:p>
        </w:tc>
        <w:tc>
          <w:tcPr>
            <w:tcW w:w="1264" w:type="dxa"/>
            <w:shd w:val="clear" w:color="auto" w:fill="auto"/>
          </w:tcPr>
          <w:p w14:paraId="18DFE7EF" w14:textId="77777777" w:rsidR="007836EA" w:rsidRPr="00637F7A" w:rsidRDefault="007836EA" w:rsidP="00843C6E">
            <w:pPr>
              <w:spacing w:line="240" w:lineRule="auto"/>
              <w:jc w:val="center"/>
            </w:pPr>
            <w:r w:rsidRPr="00637F7A">
              <w:t>15.77</w:t>
            </w:r>
            <w:r w:rsidRPr="00637F7A">
              <w:rPr>
                <w:vertAlign w:val="superscript"/>
              </w:rPr>
              <w:t>a</w:t>
            </w:r>
          </w:p>
        </w:tc>
        <w:tc>
          <w:tcPr>
            <w:tcW w:w="718" w:type="dxa"/>
            <w:shd w:val="clear" w:color="auto" w:fill="auto"/>
          </w:tcPr>
          <w:p w14:paraId="60D1779E" w14:textId="77777777" w:rsidR="007836EA" w:rsidRPr="00637F7A" w:rsidRDefault="007836EA" w:rsidP="00843C6E">
            <w:pPr>
              <w:spacing w:line="240" w:lineRule="auto"/>
              <w:jc w:val="center"/>
            </w:pPr>
            <w:r w:rsidRPr="00637F7A">
              <w:t>1.223</w:t>
            </w:r>
          </w:p>
        </w:tc>
        <w:tc>
          <w:tcPr>
            <w:tcW w:w="805" w:type="dxa"/>
            <w:shd w:val="clear" w:color="auto" w:fill="auto"/>
          </w:tcPr>
          <w:p w14:paraId="5EE6C04A" w14:textId="77777777" w:rsidR="007836EA" w:rsidRPr="00637F7A" w:rsidRDefault="007836EA" w:rsidP="00843C6E">
            <w:pPr>
              <w:spacing w:line="240" w:lineRule="auto"/>
              <w:jc w:val="center"/>
            </w:pPr>
            <w:r w:rsidRPr="00637F7A">
              <w:t>0.749</w:t>
            </w:r>
          </w:p>
        </w:tc>
        <w:tc>
          <w:tcPr>
            <w:tcW w:w="880" w:type="dxa"/>
            <w:shd w:val="clear" w:color="auto" w:fill="auto"/>
          </w:tcPr>
          <w:p w14:paraId="556BB332" w14:textId="77777777" w:rsidR="007836EA" w:rsidRPr="00637F7A" w:rsidRDefault="007836EA" w:rsidP="00843C6E">
            <w:pPr>
              <w:spacing w:line="240" w:lineRule="auto"/>
              <w:jc w:val="center"/>
            </w:pPr>
            <w:r w:rsidRPr="00637F7A">
              <w:t>&lt;0.001</w:t>
            </w:r>
          </w:p>
        </w:tc>
        <w:tc>
          <w:tcPr>
            <w:tcW w:w="0" w:type="auto"/>
          </w:tcPr>
          <w:p w14:paraId="1FC6569D" w14:textId="77777777" w:rsidR="007836EA" w:rsidRPr="00637F7A" w:rsidRDefault="007836EA" w:rsidP="00843C6E">
            <w:pPr>
              <w:spacing w:line="240" w:lineRule="auto"/>
              <w:jc w:val="center"/>
            </w:pPr>
            <w:r w:rsidRPr="00637F7A">
              <w:t>0.742</w:t>
            </w:r>
          </w:p>
        </w:tc>
      </w:tr>
      <w:tr w:rsidR="007836EA" w:rsidRPr="00637F7A" w14:paraId="57B5C7E9" w14:textId="77777777" w:rsidTr="00843C6E">
        <w:tc>
          <w:tcPr>
            <w:tcW w:w="0" w:type="auto"/>
            <w:gridSpan w:val="9"/>
            <w:shd w:val="clear" w:color="auto" w:fill="auto"/>
          </w:tcPr>
          <w:p w14:paraId="64A98DE7" w14:textId="77777777" w:rsidR="007836EA" w:rsidRPr="00637F7A" w:rsidRDefault="007836EA" w:rsidP="00843C6E">
            <w:pPr>
              <w:spacing w:line="240" w:lineRule="auto"/>
              <w:jc w:val="both"/>
              <w:rPr>
                <w:b/>
              </w:rPr>
            </w:pPr>
            <w:r w:rsidRPr="00637F7A">
              <w:rPr>
                <w:b/>
                <w:bCs/>
              </w:rPr>
              <w:t>Low feed and high carcass prices</w:t>
            </w:r>
          </w:p>
        </w:tc>
      </w:tr>
      <w:tr w:rsidR="007836EA" w:rsidRPr="00637F7A" w14:paraId="5BDB9085" w14:textId="77777777" w:rsidTr="00843C6E">
        <w:tc>
          <w:tcPr>
            <w:tcW w:w="1542" w:type="dxa"/>
            <w:tcBorders>
              <w:bottom w:val="single" w:sz="4" w:space="0" w:color="auto"/>
            </w:tcBorders>
            <w:shd w:val="clear" w:color="auto" w:fill="auto"/>
          </w:tcPr>
          <w:p w14:paraId="73C30C2F" w14:textId="77777777" w:rsidR="007836EA" w:rsidRPr="00637F7A" w:rsidRDefault="007836EA" w:rsidP="00843C6E">
            <w:pPr>
              <w:spacing w:line="240" w:lineRule="auto"/>
              <w:rPr>
                <w:bCs/>
              </w:rPr>
            </w:pPr>
            <w:r w:rsidRPr="00637F7A">
              <w:rPr>
                <w:bCs/>
              </w:rPr>
              <w:t>Margin-over-feed-cost (€/pig)</w:t>
            </w:r>
          </w:p>
        </w:tc>
        <w:tc>
          <w:tcPr>
            <w:tcW w:w="903" w:type="dxa"/>
            <w:shd w:val="clear" w:color="auto" w:fill="auto"/>
          </w:tcPr>
          <w:p w14:paraId="1CB75F69" w14:textId="77777777" w:rsidR="007836EA" w:rsidRPr="00637F7A" w:rsidRDefault="007836EA" w:rsidP="00843C6E">
            <w:pPr>
              <w:spacing w:line="240" w:lineRule="auto"/>
              <w:jc w:val="center"/>
            </w:pPr>
            <w:r w:rsidRPr="00637F7A">
              <w:t>65.03</w:t>
            </w:r>
            <w:r w:rsidRPr="00637F7A">
              <w:rPr>
                <w:vertAlign w:val="superscript"/>
              </w:rPr>
              <w:t>b</w:t>
            </w:r>
          </w:p>
        </w:tc>
        <w:tc>
          <w:tcPr>
            <w:tcW w:w="1079" w:type="dxa"/>
            <w:shd w:val="clear" w:color="auto" w:fill="auto"/>
          </w:tcPr>
          <w:p w14:paraId="41D40E32" w14:textId="77777777" w:rsidR="007836EA" w:rsidRPr="00637F7A" w:rsidRDefault="007836EA" w:rsidP="00843C6E">
            <w:pPr>
              <w:spacing w:line="240" w:lineRule="auto"/>
              <w:jc w:val="center"/>
            </w:pPr>
            <w:r w:rsidRPr="00637F7A">
              <w:t>72.00</w:t>
            </w:r>
            <w:r w:rsidRPr="00637F7A">
              <w:rPr>
                <w:vertAlign w:val="superscript"/>
              </w:rPr>
              <w:t>ab</w:t>
            </w:r>
          </w:p>
        </w:tc>
        <w:tc>
          <w:tcPr>
            <w:tcW w:w="1172" w:type="dxa"/>
            <w:shd w:val="clear" w:color="auto" w:fill="auto"/>
          </w:tcPr>
          <w:p w14:paraId="7F315FD7" w14:textId="77777777" w:rsidR="007836EA" w:rsidRPr="00637F7A" w:rsidRDefault="007836EA" w:rsidP="00843C6E">
            <w:pPr>
              <w:spacing w:line="240" w:lineRule="auto"/>
              <w:jc w:val="center"/>
            </w:pPr>
            <w:r w:rsidRPr="00637F7A">
              <w:t>66.87</w:t>
            </w:r>
            <w:r w:rsidRPr="00637F7A">
              <w:rPr>
                <w:vertAlign w:val="superscript"/>
              </w:rPr>
              <w:t>ab</w:t>
            </w:r>
          </w:p>
        </w:tc>
        <w:tc>
          <w:tcPr>
            <w:tcW w:w="1264" w:type="dxa"/>
            <w:shd w:val="clear" w:color="auto" w:fill="auto"/>
          </w:tcPr>
          <w:p w14:paraId="2436A67B" w14:textId="77777777" w:rsidR="007836EA" w:rsidRPr="00637F7A" w:rsidRDefault="007836EA" w:rsidP="00843C6E">
            <w:pPr>
              <w:spacing w:line="240" w:lineRule="auto"/>
              <w:jc w:val="center"/>
            </w:pPr>
            <w:r w:rsidRPr="00637F7A">
              <w:t>75.03</w:t>
            </w:r>
            <w:r w:rsidRPr="00637F7A">
              <w:rPr>
                <w:vertAlign w:val="superscript"/>
              </w:rPr>
              <w:t>a</w:t>
            </w:r>
          </w:p>
        </w:tc>
        <w:tc>
          <w:tcPr>
            <w:tcW w:w="718" w:type="dxa"/>
            <w:shd w:val="clear" w:color="auto" w:fill="auto"/>
          </w:tcPr>
          <w:p w14:paraId="5F9D7B66" w14:textId="77777777" w:rsidR="007836EA" w:rsidRPr="00637F7A" w:rsidRDefault="007836EA" w:rsidP="00843C6E">
            <w:pPr>
              <w:spacing w:line="240" w:lineRule="auto"/>
              <w:jc w:val="center"/>
            </w:pPr>
            <w:r w:rsidRPr="00637F7A">
              <w:t>3.230</w:t>
            </w:r>
          </w:p>
        </w:tc>
        <w:tc>
          <w:tcPr>
            <w:tcW w:w="805" w:type="dxa"/>
            <w:shd w:val="clear" w:color="auto" w:fill="auto"/>
          </w:tcPr>
          <w:p w14:paraId="3793D32B" w14:textId="77777777" w:rsidR="007836EA" w:rsidRPr="00637F7A" w:rsidRDefault="007836EA" w:rsidP="00843C6E">
            <w:pPr>
              <w:spacing w:line="240" w:lineRule="auto"/>
              <w:jc w:val="center"/>
            </w:pPr>
            <w:r w:rsidRPr="00637F7A">
              <w:t>0.463</w:t>
            </w:r>
          </w:p>
        </w:tc>
        <w:tc>
          <w:tcPr>
            <w:tcW w:w="880" w:type="dxa"/>
            <w:shd w:val="clear" w:color="auto" w:fill="auto"/>
          </w:tcPr>
          <w:p w14:paraId="3D18EDAA" w14:textId="77777777" w:rsidR="007836EA" w:rsidRPr="00637F7A" w:rsidRDefault="007836EA" w:rsidP="00843C6E">
            <w:pPr>
              <w:spacing w:line="240" w:lineRule="auto"/>
              <w:jc w:val="center"/>
            </w:pPr>
            <w:r w:rsidRPr="00637F7A">
              <w:t>0.032</w:t>
            </w:r>
          </w:p>
        </w:tc>
        <w:tc>
          <w:tcPr>
            <w:tcW w:w="0" w:type="auto"/>
          </w:tcPr>
          <w:p w14:paraId="006272D2" w14:textId="77777777" w:rsidR="007836EA" w:rsidRPr="00637F7A" w:rsidRDefault="007836EA" w:rsidP="00843C6E">
            <w:pPr>
              <w:spacing w:line="240" w:lineRule="auto"/>
              <w:jc w:val="center"/>
            </w:pPr>
            <w:r w:rsidRPr="00637F7A">
              <w:t>0.856</w:t>
            </w:r>
          </w:p>
        </w:tc>
      </w:tr>
      <w:tr w:rsidR="007836EA" w:rsidRPr="00637F7A" w14:paraId="7CC9F1CD" w14:textId="77777777" w:rsidTr="00843C6E">
        <w:tc>
          <w:tcPr>
            <w:tcW w:w="9360" w:type="dxa"/>
            <w:gridSpan w:val="9"/>
            <w:tcBorders>
              <w:top w:val="single" w:sz="4" w:space="0" w:color="auto"/>
              <w:bottom w:val="single" w:sz="4" w:space="0" w:color="auto"/>
            </w:tcBorders>
            <w:shd w:val="clear" w:color="auto" w:fill="auto"/>
          </w:tcPr>
          <w:p w14:paraId="11441AEF" w14:textId="77777777" w:rsidR="007836EA" w:rsidRPr="00637F7A" w:rsidRDefault="007836EA" w:rsidP="00843C6E">
            <w:pPr>
              <w:spacing w:line="240" w:lineRule="auto"/>
              <w:jc w:val="both"/>
            </w:pPr>
            <w:proofErr w:type="spellStart"/>
            <w:proofErr w:type="gramStart"/>
            <w:r w:rsidRPr="00637F7A">
              <w:rPr>
                <w:vertAlign w:val="superscript"/>
              </w:rPr>
              <w:t>a,</w:t>
            </w:r>
            <w:proofErr w:type="gramEnd"/>
            <w:r w:rsidRPr="00637F7A">
              <w:rPr>
                <w:vertAlign w:val="superscript"/>
              </w:rPr>
              <w:t>b</w:t>
            </w:r>
            <w:proofErr w:type="spellEnd"/>
            <w:r w:rsidRPr="00637F7A">
              <w:rPr>
                <w:vertAlign w:val="superscript"/>
              </w:rPr>
              <w:t xml:space="preserve"> </w:t>
            </w:r>
            <w:r w:rsidRPr="00637F7A">
              <w:t xml:space="preserve">Lines with different superscripts indicate significant differences (p&lt;0.05); </w:t>
            </w:r>
            <w:r w:rsidRPr="00637F7A">
              <w:rPr>
                <w:vertAlign w:val="superscript"/>
              </w:rPr>
              <w:t>1</w:t>
            </w:r>
            <w:r w:rsidRPr="00637F7A">
              <w:t xml:space="preserve">Feed prices for the most </w:t>
            </w:r>
            <w:proofErr w:type="spellStart"/>
            <w:r w:rsidRPr="00637F7A">
              <w:t>favorable</w:t>
            </w:r>
            <w:proofErr w:type="spellEnd"/>
            <w:r w:rsidRPr="00637F7A">
              <w:t xml:space="preserve"> scenario were 0.258 €/kg and 0.264 €/kg (+6 €/t) in the control and low-CP feeds, respectively. Prices of the control diet was set according to mean values of finishing feed in Spain during 2020; </w:t>
            </w:r>
            <w:r w:rsidRPr="00637F7A">
              <w:rPr>
                <w:vertAlign w:val="superscript"/>
              </w:rPr>
              <w:t>2</w:t>
            </w:r>
            <w:r w:rsidRPr="00637F7A">
              <w:t xml:space="preserve">Feed prices for the least </w:t>
            </w:r>
            <w:proofErr w:type="spellStart"/>
            <w:r w:rsidRPr="00637F7A">
              <w:t>favorable</w:t>
            </w:r>
            <w:proofErr w:type="spellEnd"/>
            <w:r w:rsidRPr="00637F7A">
              <w:t xml:space="preserve"> scenario were 0.428 €/kg and 0.454 €/kg (+26 €/t) in control and the low-CP feeds, respectively. The feed price of the control diet was set according to mean values of finishing feed in Spain in 2022</w:t>
            </w:r>
          </w:p>
        </w:tc>
      </w:tr>
    </w:tbl>
    <w:p w14:paraId="5B20D173" w14:textId="2F935175" w:rsidR="007836EA" w:rsidRPr="00637F7A" w:rsidRDefault="007836EA" w:rsidP="00E63A32">
      <w:pPr>
        <w:jc w:val="both"/>
        <w:rPr>
          <w:bCs/>
        </w:rPr>
      </w:pPr>
    </w:p>
    <w:p w14:paraId="41A8BA83" w14:textId="77777777" w:rsidR="007836EA" w:rsidRPr="00637F7A" w:rsidRDefault="007836EA" w:rsidP="00E63A32">
      <w:pPr>
        <w:jc w:val="both"/>
        <w:rPr>
          <w:bCs/>
        </w:rPr>
      </w:pPr>
    </w:p>
    <w:p w14:paraId="68E461EC" w14:textId="317E8356" w:rsidR="007B30E3" w:rsidRPr="00637F7A" w:rsidRDefault="007B30E3">
      <w:pPr>
        <w:rPr>
          <w:b/>
          <w:bCs/>
        </w:rPr>
      </w:pPr>
      <w:r w:rsidRPr="00637F7A">
        <w:rPr>
          <w:b/>
          <w:bCs/>
        </w:rPr>
        <w:lastRenderedPageBreak/>
        <w:t>Conclusions</w:t>
      </w:r>
    </w:p>
    <w:p w14:paraId="41A3C7EB" w14:textId="20441352" w:rsidR="007B30E3" w:rsidRPr="00637F7A" w:rsidRDefault="00E63A32" w:rsidP="00E63A32">
      <w:pPr>
        <w:jc w:val="both"/>
        <w:rPr>
          <w:bCs/>
        </w:rPr>
      </w:pPr>
      <w:r w:rsidRPr="00637F7A">
        <w:rPr>
          <w:bCs/>
        </w:rPr>
        <w:t xml:space="preserve">Reduced CP feeding strategy with AA supplementation is economically viable under the scenarios studied. Regardless of dietary CP level, sex was the major determinant of the economic margin-over-feed-cost, </w:t>
      </w:r>
      <w:proofErr w:type="gramStart"/>
      <w:r w:rsidRPr="00637F7A">
        <w:rPr>
          <w:bCs/>
        </w:rPr>
        <w:t>as a result</w:t>
      </w:r>
      <w:proofErr w:type="gramEnd"/>
      <w:r w:rsidRPr="00637F7A">
        <w:rPr>
          <w:bCs/>
        </w:rPr>
        <w:t xml:space="preserve"> of marked differences in carcass incomes.</w:t>
      </w:r>
    </w:p>
    <w:p w14:paraId="0ADB320F" w14:textId="43339EC9" w:rsidR="007B30E3" w:rsidRPr="00637F7A" w:rsidRDefault="007B30E3">
      <w:pPr>
        <w:rPr>
          <w:b/>
          <w:bCs/>
        </w:rPr>
      </w:pPr>
      <w:r w:rsidRPr="00637F7A">
        <w:rPr>
          <w:b/>
          <w:bCs/>
        </w:rPr>
        <w:t>References</w:t>
      </w:r>
    </w:p>
    <w:p w14:paraId="4F1E2795" w14:textId="77777777" w:rsidR="006E2D7A" w:rsidRPr="00637F7A" w:rsidRDefault="006E2D7A" w:rsidP="00E63A32">
      <w:pPr>
        <w:rPr>
          <w:bCs/>
        </w:rPr>
      </w:pPr>
      <w:r w:rsidRPr="00637F7A">
        <w:rPr>
          <w:bCs/>
        </w:rPr>
        <w:t xml:space="preserve">Almeida, A.M., Alvarez-Rodriguez, J. &amp; </w:t>
      </w:r>
      <w:proofErr w:type="spellStart"/>
      <w:r w:rsidRPr="00637F7A">
        <w:rPr>
          <w:bCs/>
        </w:rPr>
        <w:t>Latorre</w:t>
      </w:r>
      <w:proofErr w:type="spellEnd"/>
      <w:r w:rsidRPr="00637F7A">
        <w:rPr>
          <w:bCs/>
        </w:rPr>
        <w:t>, M.A. (2024b). Journal of Animal Science, 102(S3), 410.</w:t>
      </w:r>
    </w:p>
    <w:p w14:paraId="52E16FAC" w14:textId="77777777" w:rsidR="006E2D7A" w:rsidRPr="00637F7A" w:rsidRDefault="006E2D7A" w:rsidP="00E63A32">
      <w:pPr>
        <w:rPr>
          <w:bCs/>
        </w:rPr>
      </w:pPr>
      <w:r w:rsidRPr="00637F7A">
        <w:rPr>
          <w:bCs/>
        </w:rPr>
        <w:t xml:space="preserve">Almeida, A.M., </w:t>
      </w:r>
      <w:proofErr w:type="spellStart"/>
      <w:r w:rsidRPr="00637F7A">
        <w:rPr>
          <w:bCs/>
        </w:rPr>
        <w:t>Latorre</w:t>
      </w:r>
      <w:proofErr w:type="spellEnd"/>
      <w:r w:rsidRPr="00637F7A">
        <w:rPr>
          <w:bCs/>
        </w:rPr>
        <w:t>, M.A. &amp; Alvarez-Rodriguez, J. (2024a). Animals, 14, 3081.</w:t>
      </w:r>
    </w:p>
    <w:p w14:paraId="2D85EC95" w14:textId="77777777" w:rsidR="006E2D7A" w:rsidRPr="00637F7A" w:rsidRDefault="006E2D7A" w:rsidP="00E63A32">
      <w:pPr>
        <w:rPr>
          <w:bCs/>
        </w:rPr>
      </w:pPr>
      <w:r w:rsidRPr="00637F7A">
        <w:rPr>
          <w:bCs/>
        </w:rPr>
        <w:t xml:space="preserve">Almeida, A.M., Ripoll, G., </w:t>
      </w:r>
      <w:proofErr w:type="spellStart"/>
      <w:r w:rsidRPr="00637F7A">
        <w:rPr>
          <w:bCs/>
        </w:rPr>
        <w:t>Latorre</w:t>
      </w:r>
      <w:proofErr w:type="spellEnd"/>
      <w:r w:rsidRPr="00637F7A">
        <w:rPr>
          <w:bCs/>
        </w:rPr>
        <w:t>, M.A. &amp; Alvarez-Rodriguez, J. (2024c). Journal of Animal Science 102(S3), 411.</w:t>
      </w:r>
    </w:p>
    <w:p w14:paraId="74535A68" w14:textId="3CC047C2" w:rsidR="007B4303" w:rsidRDefault="007B4303" w:rsidP="00E63A32">
      <w:pPr>
        <w:rPr>
          <w:bCs/>
          <w:lang w:val="en-US"/>
        </w:rPr>
      </w:pPr>
    </w:p>
    <w:p w14:paraId="378DC09C" w14:textId="77777777" w:rsidR="007B4303" w:rsidRPr="00E63A32" w:rsidRDefault="007B4303" w:rsidP="00E63A32">
      <w:pPr>
        <w:rPr>
          <w:bCs/>
          <w:lang w:val="en-US"/>
        </w:rPr>
      </w:pPr>
    </w:p>
    <w:sectPr w:rsidR="007B4303" w:rsidRPr="00E63A32"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E3"/>
    <w:rsid w:val="00157388"/>
    <w:rsid w:val="00383DCD"/>
    <w:rsid w:val="00397193"/>
    <w:rsid w:val="004C393F"/>
    <w:rsid w:val="00625B14"/>
    <w:rsid w:val="00637F7A"/>
    <w:rsid w:val="006E2D7A"/>
    <w:rsid w:val="007836EA"/>
    <w:rsid w:val="007B30E3"/>
    <w:rsid w:val="007B4303"/>
    <w:rsid w:val="0088724B"/>
    <w:rsid w:val="00933E8C"/>
    <w:rsid w:val="00B52E4E"/>
    <w:rsid w:val="00C53AE2"/>
    <w:rsid w:val="00C95030"/>
    <w:rsid w:val="00CA1D37"/>
    <w:rsid w:val="00DD21B5"/>
    <w:rsid w:val="00E27EE6"/>
    <w:rsid w:val="00E63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5E808-FC05-475A-B0B9-5A062397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André</cp:lastModifiedBy>
  <cp:revision>4</cp:revision>
  <dcterms:created xsi:type="dcterms:W3CDTF">2024-12-19T11:14:00Z</dcterms:created>
  <dcterms:modified xsi:type="dcterms:W3CDTF">2024-12-19T11:21:00Z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