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4671E" w14:textId="77777777" w:rsidR="007B30E3" w:rsidRDefault="007B30E3" w:rsidP="00660FD8">
      <w:pPr>
        <w:jc w:val="both"/>
        <w:rPr>
          <w:b/>
          <w:bCs/>
          <w:sz w:val="32"/>
          <w:szCs w:val="32"/>
          <w:lang w:val="en-US"/>
        </w:rPr>
      </w:pPr>
      <w:bookmarkStart w:id="0" w:name="_GoBack"/>
    </w:p>
    <w:p w14:paraId="4437C79B" w14:textId="2D62BF00" w:rsidR="007B30E3" w:rsidRPr="00054D48" w:rsidRDefault="007B30E3" w:rsidP="00660FD8">
      <w:pPr>
        <w:jc w:val="both"/>
        <w:rPr>
          <w:b/>
          <w:bCs/>
          <w:lang w:val="en-US"/>
        </w:rPr>
      </w:pPr>
      <w:r w:rsidRPr="00054D48">
        <w:rPr>
          <w:b/>
          <w:bCs/>
          <w:lang w:val="en-US"/>
        </w:rPr>
        <w:t>Application</w:t>
      </w:r>
    </w:p>
    <w:p w14:paraId="306602B1" w14:textId="249A5EC4" w:rsidR="00054D48" w:rsidRPr="00054D48" w:rsidRDefault="00660FD8" w:rsidP="00660FD8">
      <w:pPr>
        <w:jc w:val="both"/>
        <w:rPr>
          <w:bCs/>
          <w:lang w:val="en-US"/>
        </w:rPr>
      </w:pPr>
      <w:r>
        <w:rPr>
          <w:bCs/>
          <w:lang w:val="en-US"/>
        </w:rPr>
        <w:t xml:space="preserve">This study demonstrates that using alternative forages such as forage brassicas has a role to play in lamb finishing systems. The results demonstrate the type of performance achievable when grazing during the winter months and how this compares to other systems.  </w:t>
      </w:r>
    </w:p>
    <w:p w14:paraId="5E9F33D1" w14:textId="5CDACFAB" w:rsidR="007B30E3" w:rsidRPr="00054D48" w:rsidRDefault="007B30E3" w:rsidP="00660FD8">
      <w:pPr>
        <w:jc w:val="both"/>
        <w:rPr>
          <w:b/>
          <w:bCs/>
          <w:lang w:val="en-US"/>
        </w:rPr>
      </w:pPr>
      <w:r w:rsidRPr="00054D48">
        <w:rPr>
          <w:b/>
          <w:bCs/>
          <w:lang w:val="en-US"/>
        </w:rPr>
        <w:t>Introduction</w:t>
      </w:r>
    </w:p>
    <w:p w14:paraId="167B5498" w14:textId="520303E1" w:rsidR="007B30E3" w:rsidRPr="00054D48" w:rsidRDefault="008B4FF9" w:rsidP="00660FD8">
      <w:pPr>
        <w:jc w:val="both"/>
        <w:rPr>
          <w:bCs/>
          <w:lang w:val="en-US"/>
        </w:rPr>
      </w:pPr>
      <w:r w:rsidRPr="00054D48">
        <w:rPr>
          <w:bCs/>
          <w:lang w:val="en-US"/>
        </w:rPr>
        <w:t xml:space="preserve">Scottish Blackface (SBF) lambs can grow up to 240 g/day and attain a carcass weight of </w:t>
      </w:r>
      <w:r w:rsidR="00660FD8">
        <w:rPr>
          <w:bCs/>
          <w:lang w:val="en-US"/>
        </w:rPr>
        <w:t>118-23</w:t>
      </w:r>
      <w:r w:rsidRPr="00054D48">
        <w:rPr>
          <w:bCs/>
          <w:lang w:val="en-US"/>
        </w:rPr>
        <w:t xml:space="preserve"> kg when offered ad-libitum concentrates while using terminal sires crossed with SBF ewes has also been shown to increase </w:t>
      </w:r>
      <w:r w:rsidR="00660FD8">
        <w:rPr>
          <w:bCs/>
          <w:lang w:val="en-US"/>
        </w:rPr>
        <w:t xml:space="preserve">lamb </w:t>
      </w:r>
      <w:r w:rsidRPr="00054D48">
        <w:rPr>
          <w:bCs/>
          <w:lang w:val="en-US"/>
        </w:rPr>
        <w:t xml:space="preserve">growth rates and </w:t>
      </w:r>
      <w:r w:rsidR="00660FD8">
        <w:rPr>
          <w:bCs/>
          <w:lang w:val="en-US"/>
        </w:rPr>
        <w:t xml:space="preserve">lamb </w:t>
      </w:r>
      <w:r w:rsidRPr="00054D48">
        <w:rPr>
          <w:bCs/>
          <w:lang w:val="en-US"/>
        </w:rPr>
        <w:t>carcass output in comparison to purebred SBF lambs (Claffey et al., 2018). However, ad-libitum concentrate systems are not always practical for some producers and not all hill ewes can be crossbred. Finishing these type</w:t>
      </w:r>
      <w:r w:rsidR="00660FD8">
        <w:rPr>
          <w:bCs/>
          <w:lang w:val="en-US"/>
        </w:rPr>
        <w:t xml:space="preserve"> of</w:t>
      </w:r>
      <w:r w:rsidRPr="00054D48">
        <w:rPr>
          <w:bCs/>
          <w:lang w:val="en-US"/>
        </w:rPr>
        <w:t xml:space="preserve"> lambs using forage based diets has the potential to increase the options for lamb finishers but there is a paucity of information on these finishing systems. The objectives of this experiment </w:t>
      </w:r>
      <w:r w:rsidR="00660FD8">
        <w:rPr>
          <w:bCs/>
          <w:lang w:val="en-US"/>
        </w:rPr>
        <w:t>was</w:t>
      </w:r>
      <w:r w:rsidRPr="00054D48">
        <w:rPr>
          <w:bCs/>
          <w:lang w:val="en-US"/>
        </w:rPr>
        <w:t xml:space="preserve"> to compare the performance of SBF lambs and Texel X SBF (TXSB) lambs when grazed on either perennial ryegrass based pastures, forage brassica crops or offered ad-libitum concentrates indoors.</w:t>
      </w:r>
    </w:p>
    <w:p w14:paraId="1F63B1C6" w14:textId="70D2D108" w:rsidR="007B30E3" w:rsidRPr="00054D48" w:rsidRDefault="007B30E3" w:rsidP="00660FD8">
      <w:pPr>
        <w:jc w:val="both"/>
        <w:rPr>
          <w:b/>
          <w:bCs/>
          <w:lang w:val="en-US"/>
        </w:rPr>
      </w:pPr>
      <w:r w:rsidRPr="00054D48">
        <w:rPr>
          <w:b/>
          <w:bCs/>
          <w:lang w:val="en-US"/>
        </w:rPr>
        <w:t>Materials and Methods</w:t>
      </w:r>
    </w:p>
    <w:p w14:paraId="31DE43A2" w14:textId="70E0DDBE" w:rsidR="007B30E3" w:rsidRPr="00054D48" w:rsidRDefault="008B4FF9" w:rsidP="00660FD8">
      <w:pPr>
        <w:jc w:val="both"/>
        <w:rPr>
          <w:bCs/>
          <w:lang w:val="en-US"/>
        </w:rPr>
      </w:pPr>
      <w:r w:rsidRPr="00054D48">
        <w:rPr>
          <w:bCs/>
          <w:lang w:val="en-US"/>
        </w:rPr>
        <w:t>This study was performed over three production cycles (October to February</w:t>
      </w:r>
      <w:r w:rsidR="00660FD8">
        <w:rPr>
          <w:bCs/>
          <w:lang w:val="en-US"/>
        </w:rPr>
        <w:t xml:space="preserve"> each year</w:t>
      </w:r>
      <w:r w:rsidRPr="00054D48">
        <w:rPr>
          <w:bCs/>
          <w:lang w:val="en-US"/>
        </w:rPr>
        <w:t>)</w:t>
      </w:r>
      <w:r w:rsidR="00660FD8">
        <w:rPr>
          <w:bCs/>
          <w:lang w:val="en-US"/>
        </w:rPr>
        <w:t xml:space="preserve"> and was</w:t>
      </w:r>
      <w:r w:rsidRPr="00054D48">
        <w:rPr>
          <w:bCs/>
          <w:lang w:val="en-US"/>
        </w:rPr>
        <w:t xml:space="preserve"> a 3x6 factorial design. Factors were lamb type and diet type. Lambs were blocked by live weight (within lamb type category) and balanced for source farm with 25 TXSB entire male, 25 SBF entire male and 25 SBF castrate male lambs randomly allocated to one of six diet types; ad-libitum concentrates, forage rape (FR), hybrid brassica (HB), kale (K), permanent pasture (PP) and perennial ryegrass re-seed (RS). Lamb live weight was recorded every 14 days until lambs were drafted for slaughter. Lambs were drafted for slaughter at ≥40 kg live weight</w:t>
      </w:r>
      <w:r w:rsidR="00302842">
        <w:rPr>
          <w:bCs/>
          <w:lang w:val="en-US"/>
        </w:rPr>
        <w:t xml:space="preserve"> with a target carcass weight &gt;18kg</w:t>
      </w:r>
      <w:r w:rsidRPr="00054D48">
        <w:rPr>
          <w:bCs/>
          <w:lang w:val="en-US"/>
        </w:rPr>
        <w:t>. Carcass conformation was scored using the EUROP grid system (E= excellent and P= poor) and carcass fat cover was scored using a one to five scoring system (1=low fat cover; 5 = high fat cover</w:t>
      </w:r>
      <w:r w:rsidR="00660FD8">
        <w:rPr>
          <w:bCs/>
          <w:lang w:val="en-US"/>
        </w:rPr>
        <w:t xml:space="preserve">; </w:t>
      </w:r>
      <w:r w:rsidRPr="00054D48">
        <w:rPr>
          <w:bCs/>
          <w:lang w:val="en-US"/>
        </w:rPr>
        <w:t>Hopkins, 2021) with a target fat score of three. Data residuals were examined for normality using the UNIVARIATE procedure of SAS (Version 9.4) and data was analysed using the MIXED procedure of SAS</w:t>
      </w:r>
      <w:r w:rsidR="00302842">
        <w:rPr>
          <w:bCs/>
          <w:lang w:val="en-US"/>
        </w:rPr>
        <w:t xml:space="preserve"> </w:t>
      </w:r>
      <w:r w:rsidR="00302842" w:rsidRPr="00054D48">
        <w:rPr>
          <w:bCs/>
          <w:lang w:val="en-US"/>
        </w:rPr>
        <w:t>(Version 9.4)</w:t>
      </w:r>
      <w:r w:rsidRPr="00054D48">
        <w:rPr>
          <w:bCs/>
          <w:lang w:val="en-US"/>
        </w:rPr>
        <w:t>. Individual lamb was the experimental unit for all animal parameters analysed and was included as a random effect.</w:t>
      </w:r>
      <w:r w:rsidR="00302842">
        <w:rPr>
          <w:bCs/>
          <w:lang w:val="en-US"/>
        </w:rPr>
        <w:t xml:space="preserve"> </w:t>
      </w:r>
      <w:r w:rsidR="00302842" w:rsidRPr="00302842">
        <w:rPr>
          <w:bCs/>
          <w:lang w:val="en-US"/>
        </w:rPr>
        <w:t>Lambs offered PP and RS are excluded from the post slaughter lamb performance</w:t>
      </w:r>
      <w:r w:rsidR="00302842">
        <w:rPr>
          <w:bCs/>
          <w:lang w:val="en-US"/>
        </w:rPr>
        <w:t xml:space="preserve"> analysis</w:t>
      </w:r>
      <w:r w:rsidR="00302842" w:rsidRPr="00302842">
        <w:rPr>
          <w:bCs/>
          <w:lang w:val="en-US"/>
        </w:rPr>
        <w:t xml:space="preserve">, as 6% and 14 % </w:t>
      </w:r>
      <w:r w:rsidR="00302842">
        <w:rPr>
          <w:bCs/>
          <w:lang w:val="en-US"/>
        </w:rPr>
        <w:t xml:space="preserve">respectively </w:t>
      </w:r>
      <w:r w:rsidR="00302842" w:rsidRPr="00302842">
        <w:rPr>
          <w:bCs/>
          <w:lang w:val="en-US"/>
        </w:rPr>
        <w:t>were drafted for slaughter over the three years creating an un-representable sample for the analysis.</w:t>
      </w:r>
    </w:p>
    <w:p w14:paraId="35CAF992" w14:textId="43ABAA1F" w:rsidR="007B30E3" w:rsidRPr="00054D48" w:rsidRDefault="007B30E3" w:rsidP="00660FD8">
      <w:pPr>
        <w:jc w:val="both"/>
        <w:rPr>
          <w:b/>
          <w:bCs/>
          <w:lang w:val="en-US"/>
        </w:rPr>
      </w:pPr>
      <w:r w:rsidRPr="00054D48">
        <w:rPr>
          <w:b/>
          <w:bCs/>
          <w:lang w:val="en-US"/>
        </w:rPr>
        <w:t>Results</w:t>
      </w:r>
    </w:p>
    <w:p w14:paraId="3D5C9672" w14:textId="0FEA1324" w:rsidR="007B30E3" w:rsidRPr="00054D48" w:rsidRDefault="00054D48" w:rsidP="00660FD8">
      <w:pPr>
        <w:jc w:val="both"/>
        <w:rPr>
          <w:bCs/>
          <w:lang w:val="en-US"/>
        </w:rPr>
      </w:pPr>
      <w:r w:rsidRPr="00054D48">
        <w:rPr>
          <w:bCs/>
          <w:lang w:val="en-US"/>
        </w:rPr>
        <w:t xml:space="preserve">As presented in Table 1. </w:t>
      </w:r>
      <w:r w:rsidR="00302842">
        <w:rPr>
          <w:bCs/>
          <w:lang w:val="en-US"/>
        </w:rPr>
        <w:t>TXSB</w:t>
      </w:r>
      <w:r w:rsidRPr="00054D48">
        <w:rPr>
          <w:bCs/>
          <w:lang w:val="en-US"/>
        </w:rPr>
        <w:t>, SBF entire male and SBF castrate male lambs all had higher average daily gains (ADG) when offered ALC in comparison to all other diet types (P &lt; 0.01). There was a lamb type by diet type interaction. Texel cross Scottish Blackface lambs achieved a higher ADG compared to either SBF entire male or SBF castrate male lambs offered ALC, FR, K, HB and RS (P &lt; 0.05). Scottish Blackface entire male lambs achieved a higher ADG compared to SBF castrate male lambs offered ALC, FR and PP (P &lt; 0.05). There was no difference in ADG between SBF entire male and SBF castrate male lambs offered HB, K and RS (P &gt; 0.05). Lambs offered ALC had higher slaughter weights and carcass weights compared to lambs offered FR, HB and K (P &lt; 0.01). Kill out percentages were similar among diet types, with no difference observed between lambs offered ALC, FR, HB and K (P &gt; 0.05). There was also no difference in carcass fat or conformation scores across all diet types (P &gt; 0.05).</w:t>
      </w:r>
    </w:p>
    <w:p w14:paraId="4335D610" w14:textId="7438CC50" w:rsidR="00302842" w:rsidRPr="00054D48" w:rsidRDefault="00302842" w:rsidP="00302842">
      <w:pPr>
        <w:jc w:val="both"/>
        <w:rPr>
          <w:b/>
        </w:rPr>
      </w:pPr>
      <w:r w:rsidRPr="00054D48">
        <w:rPr>
          <w:b/>
        </w:rPr>
        <w:lastRenderedPageBreak/>
        <w:t xml:space="preserve">Table 1. </w:t>
      </w:r>
      <w:r w:rsidRPr="00054D48">
        <w:t xml:space="preserve">Effect of treatment diet on average daily gain (g/day) of </w:t>
      </w:r>
      <w:r w:rsidR="00C44761" w:rsidRPr="00C44761">
        <w:t xml:space="preserve">TXSB, SBF entire male and SBF castrate male lambs </w:t>
      </w:r>
      <w:r w:rsidRPr="00054D48">
        <w:t>offered ALC, FR, HB, K, PP and RS</w:t>
      </w:r>
    </w:p>
    <w:tbl>
      <w:tblPr>
        <w:tblW w:w="9439" w:type="dxa"/>
        <w:tblCellMar>
          <w:left w:w="0" w:type="dxa"/>
          <w:right w:w="0" w:type="dxa"/>
        </w:tblCellMar>
        <w:tblLook w:val="04A0" w:firstRow="1" w:lastRow="0" w:firstColumn="1" w:lastColumn="0" w:noHBand="0" w:noVBand="1"/>
      </w:tblPr>
      <w:tblGrid>
        <w:gridCol w:w="1048"/>
        <w:gridCol w:w="1048"/>
        <w:gridCol w:w="1049"/>
        <w:gridCol w:w="1049"/>
        <w:gridCol w:w="1049"/>
        <w:gridCol w:w="1049"/>
        <w:gridCol w:w="1049"/>
        <w:gridCol w:w="1049"/>
        <w:gridCol w:w="1049"/>
      </w:tblGrid>
      <w:tr w:rsidR="00302842" w:rsidRPr="00054D48" w14:paraId="1501C86B" w14:textId="77777777" w:rsidTr="00302842">
        <w:trPr>
          <w:trHeight w:val="625"/>
        </w:trPr>
        <w:tc>
          <w:tcPr>
            <w:tcW w:w="104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361EF58" w14:textId="77777777" w:rsidR="00302842" w:rsidRPr="00054D48" w:rsidRDefault="00302842" w:rsidP="007C3454">
            <w:pPr>
              <w:spacing w:after="0" w:line="256" w:lineRule="auto"/>
              <w:jc w:val="both"/>
              <w:rPr>
                <w:rFonts w:eastAsia="Times New Roman" w:cs="Arial"/>
                <w:lang w:eastAsia="en-IE"/>
              </w:rPr>
            </w:pPr>
          </w:p>
        </w:tc>
        <w:tc>
          <w:tcPr>
            <w:tcW w:w="1048" w:type="dxa"/>
            <w:tcBorders>
              <w:top w:val="single" w:sz="8" w:space="0" w:color="000000"/>
              <w:left w:val="nil"/>
              <w:bottom w:val="single" w:sz="8" w:space="0" w:color="000000"/>
              <w:right w:val="nil"/>
            </w:tcBorders>
            <w:vAlign w:val="center"/>
          </w:tcPr>
          <w:p w14:paraId="5F27BA0A" w14:textId="77777777" w:rsidR="00302842" w:rsidRPr="00054D48" w:rsidRDefault="00302842" w:rsidP="00302842">
            <w:pPr>
              <w:spacing w:after="0" w:line="256" w:lineRule="auto"/>
              <w:jc w:val="center"/>
              <w:rPr>
                <w:rFonts w:eastAsia="Calibri" w:cs="Times New Roman"/>
                <w:bCs/>
                <w:color w:val="000000" w:themeColor="text1"/>
                <w:kern w:val="24"/>
                <w:lang w:eastAsia="en-IE"/>
              </w:rPr>
            </w:pPr>
            <w:r w:rsidRPr="00054D48">
              <w:rPr>
                <w:rFonts w:eastAsia="Calibri" w:cs="Times New Roman"/>
                <w:bCs/>
                <w:color w:val="000000" w:themeColor="text1"/>
                <w:kern w:val="24"/>
                <w:lang w:eastAsia="en-IE"/>
              </w:rPr>
              <w:t>ALC</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218FEE2"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FR</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3F6D122"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HB</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EC1E590"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K</w:t>
            </w:r>
          </w:p>
        </w:tc>
        <w:tc>
          <w:tcPr>
            <w:tcW w:w="1049" w:type="dxa"/>
            <w:tcBorders>
              <w:top w:val="single" w:sz="8" w:space="0" w:color="000000"/>
              <w:left w:val="nil"/>
              <w:bottom w:val="single" w:sz="8" w:space="0" w:color="000000"/>
              <w:right w:val="nil"/>
            </w:tcBorders>
            <w:vAlign w:val="center"/>
          </w:tcPr>
          <w:p w14:paraId="3F90817B" w14:textId="77777777" w:rsidR="00302842" w:rsidRPr="00054D48" w:rsidRDefault="00302842" w:rsidP="00302842">
            <w:pPr>
              <w:spacing w:after="0" w:line="256" w:lineRule="auto"/>
              <w:jc w:val="center"/>
              <w:rPr>
                <w:rFonts w:eastAsia="Calibri" w:cs="Times New Roman"/>
                <w:bCs/>
                <w:color w:val="000000" w:themeColor="text1"/>
                <w:kern w:val="24"/>
                <w:lang w:eastAsia="en-IE"/>
              </w:rPr>
            </w:pPr>
            <w:r w:rsidRPr="00054D48">
              <w:rPr>
                <w:rFonts w:eastAsia="Calibri" w:cs="Times New Roman"/>
                <w:bCs/>
                <w:color w:val="000000" w:themeColor="text1"/>
                <w:kern w:val="24"/>
                <w:lang w:eastAsia="en-IE"/>
              </w:rPr>
              <w:t>PP</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5C4200E"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RS</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00E80CA"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SEM</w:t>
            </w:r>
          </w:p>
        </w:tc>
        <w:tc>
          <w:tcPr>
            <w:tcW w:w="1049"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76FBF10"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bCs/>
                <w:color w:val="000000" w:themeColor="text1"/>
                <w:kern w:val="24"/>
                <w:lang w:eastAsia="en-IE"/>
              </w:rPr>
              <w:t>P-value</w:t>
            </w:r>
          </w:p>
        </w:tc>
      </w:tr>
      <w:tr w:rsidR="00302842" w:rsidRPr="00054D48" w14:paraId="5C356589" w14:textId="77777777" w:rsidTr="00302842">
        <w:trPr>
          <w:trHeight w:val="713"/>
        </w:trPr>
        <w:tc>
          <w:tcPr>
            <w:tcW w:w="104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072713D" w14:textId="77777777" w:rsidR="00302842" w:rsidRPr="00054D48" w:rsidRDefault="00302842" w:rsidP="007C3454">
            <w:pPr>
              <w:spacing w:after="0" w:line="256" w:lineRule="auto"/>
              <w:jc w:val="both"/>
              <w:rPr>
                <w:rFonts w:eastAsia="Times New Roman" w:cs="Arial"/>
                <w:lang w:eastAsia="en-IE"/>
              </w:rPr>
            </w:pPr>
            <w:r w:rsidRPr="00054D48">
              <w:rPr>
                <w:rFonts w:eastAsia="Calibri" w:cs="Times New Roman"/>
                <w:bCs/>
                <w:color w:val="000000" w:themeColor="text1"/>
                <w:kern w:val="24"/>
                <w:lang w:eastAsia="en-IE"/>
              </w:rPr>
              <w:t>All lambs</w:t>
            </w:r>
          </w:p>
        </w:tc>
        <w:tc>
          <w:tcPr>
            <w:tcW w:w="1048" w:type="dxa"/>
            <w:tcBorders>
              <w:top w:val="single" w:sz="8" w:space="0" w:color="000000"/>
              <w:left w:val="nil"/>
              <w:bottom w:val="nil"/>
              <w:right w:val="nil"/>
            </w:tcBorders>
            <w:vAlign w:val="center"/>
          </w:tcPr>
          <w:p w14:paraId="416EE5C3"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243.7</w:t>
            </w:r>
            <w:r w:rsidRPr="00054D48">
              <w:rPr>
                <w:rFonts w:eastAsia="Calibri" w:cs="Times New Roman"/>
                <w:color w:val="000000" w:themeColor="text1"/>
                <w:kern w:val="24"/>
                <w:vertAlign w:val="superscript"/>
                <w:lang w:eastAsia="en-IE"/>
              </w:rPr>
              <w:t>a</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567130F2"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129.5</w:t>
            </w:r>
            <w:r w:rsidRPr="00054D48">
              <w:rPr>
                <w:rFonts w:eastAsia="Calibri" w:cs="Times New Roman"/>
                <w:color w:val="000000" w:themeColor="text1"/>
                <w:kern w:val="24"/>
                <w:vertAlign w:val="superscript"/>
                <w:lang w:eastAsia="en-IE"/>
              </w:rPr>
              <w:t>b</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F6FA7AD"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132.6</w:t>
            </w:r>
            <w:r w:rsidRPr="00054D48">
              <w:rPr>
                <w:rFonts w:eastAsia="Calibri" w:cs="Times New Roman"/>
                <w:color w:val="000000" w:themeColor="text1"/>
                <w:kern w:val="24"/>
                <w:vertAlign w:val="superscript"/>
                <w:lang w:eastAsia="en-IE"/>
              </w:rPr>
              <w:t>b</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9808A0B"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126.2</w:t>
            </w:r>
            <w:r w:rsidRPr="00054D48">
              <w:rPr>
                <w:rFonts w:eastAsia="Calibri" w:cs="Times New Roman"/>
                <w:color w:val="000000" w:themeColor="text1"/>
                <w:kern w:val="24"/>
                <w:vertAlign w:val="superscript"/>
                <w:lang w:eastAsia="en-IE"/>
              </w:rPr>
              <w:t>b</w:t>
            </w:r>
          </w:p>
        </w:tc>
        <w:tc>
          <w:tcPr>
            <w:tcW w:w="1049" w:type="dxa"/>
            <w:tcBorders>
              <w:top w:val="single" w:sz="8" w:space="0" w:color="000000"/>
              <w:left w:val="nil"/>
              <w:bottom w:val="nil"/>
              <w:right w:val="nil"/>
            </w:tcBorders>
            <w:vAlign w:val="center"/>
          </w:tcPr>
          <w:p w14:paraId="233C7495"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36.8</w:t>
            </w:r>
            <w:r w:rsidRPr="00054D48">
              <w:rPr>
                <w:rFonts w:eastAsia="Calibri" w:cs="Times New Roman"/>
                <w:color w:val="000000" w:themeColor="text1"/>
                <w:kern w:val="24"/>
                <w:vertAlign w:val="superscript"/>
                <w:lang w:eastAsia="en-IE"/>
              </w:rPr>
              <w:t>d</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1512E86"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73.7</w:t>
            </w:r>
            <w:r w:rsidRPr="00054D48">
              <w:rPr>
                <w:rFonts w:eastAsia="Calibri" w:cs="Times New Roman"/>
                <w:color w:val="000000" w:themeColor="text1"/>
                <w:kern w:val="24"/>
                <w:vertAlign w:val="superscript"/>
                <w:lang w:eastAsia="en-IE"/>
              </w:rPr>
              <w:t>c</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272C5F1"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4.25</w:t>
            </w:r>
          </w:p>
        </w:tc>
        <w:tc>
          <w:tcPr>
            <w:tcW w:w="1049"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8205A50"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&lt; 0.01</w:t>
            </w:r>
          </w:p>
        </w:tc>
      </w:tr>
      <w:tr w:rsidR="00302842" w:rsidRPr="00054D48" w14:paraId="4CA05945" w14:textId="77777777" w:rsidTr="00302842">
        <w:trPr>
          <w:trHeight w:val="713"/>
        </w:trPr>
        <w:tc>
          <w:tcPr>
            <w:tcW w:w="1048" w:type="dxa"/>
            <w:tcBorders>
              <w:top w:val="nil"/>
              <w:left w:val="nil"/>
              <w:right w:val="nil"/>
            </w:tcBorders>
            <w:shd w:val="clear" w:color="auto" w:fill="auto"/>
            <w:tcMar>
              <w:top w:w="15" w:type="dxa"/>
              <w:left w:w="108" w:type="dxa"/>
              <w:bottom w:w="0" w:type="dxa"/>
              <w:right w:w="108" w:type="dxa"/>
            </w:tcMar>
            <w:vAlign w:val="center"/>
            <w:hideMark/>
          </w:tcPr>
          <w:p w14:paraId="07852BA1" w14:textId="77777777" w:rsidR="00302842" w:rsidRPr="00054D48" w:rsidRDefault="00302842" w:rsidP="007C3454">
            <w:pPr>
              <w:spacing w:after="0" w:line="256" w:lineRule="auto"/>
              <w:jc w:val="both"/>
              <w:rPr>
                <w:rFonts w:eastAsia="Times New Roman" w:cs="Arial"/>
                <w:lang w:eastAsia="en-IE"/>
              </w:rPr>
            </w:pPr>
            <w:r w:rsidRPr="00054D48">
              <w:rPr>
                <w:rFonts w:eastAsia="Calibri" w:cs="Times New Roman"/>
                <w:bCs/>
                <w:color w:val="000000" w:themeColor="text1"/>
                <w:kern w:val="24"/>
                <w:lang w:eastAsia="en-IE"/>
              </w:rPr>
              <w:t>SBF Entire</w:t>
            </w:r>
          </w:p>
        </w:tc>
        <w:tc>
          <w:tcPr>
            <w:tcW w:w="1048" w:type="dxa"/>
            <w:tcBorders>
              <w:top w:val="nil"/>
              <w:left w:val="nil"/>
              <w:right w:val="nil"/>
            </w:tcBorders>
            <w:vAlign w:val="center"/>
          </w:tcPr>
          <w:p w14:paraId="1AE77524"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241.7</w:t>
            </w:r>
            <w:r w:rsidRPr="00054D48">
              <w:rPr>
                <w:rFonts w:eastAsia="Calibri" w:cs="Times New Roman"/>
                <w:color w:val="000000" w:themeColor="text1"/>
                <w:kern w:val="24"/>
                <w:vertAlign w:val="superscript"/>
                <w:lang w:eastAsia="en-IE"/>
              </w:rPr>
              <w:t>a</w:t>
            </w:r>
          </w:p>
        </w:tc>
        <w:tc>
          <w:tcPr>
            <w:tcW w:w="1049" w:type="dxa"/>
            <w:tcBorders>
              <w:top w:val="nil"/>
              <w:left w:val="nil"/>
              <w:right w:val="nil"/>
            </w:tcBorders>
            <w:shd w:val="clear" w:color="auto" w:fill="auto"/>
            <w:tcMar>
              <w:top w:w="15" w:type="dxa"/>
              <w:left w:w="108" w:type="dxa"/>
              <w:bottom w:w="0" w:type="dxa"/>
              <w:right w:w="108" w:type="dxa"/>
            </w:tcMar>
            <w:vAlign w:val="center"/>
          </w:tcPr>
          <w:p w14:paraId="3C859BA7" w14:textId="77777777" w:rsidR="00302842" w:rsidRPr="00054D48" w:rsidRDefault="00302842" w:rsidP="00302842">
            <w:pPr>
              <w:spacing w:after="0" w:line="256" w:lineRule="auto"/>
              <w:jc w:val="center"/>
              <w:rPr>
                <w:rFonts w:eastAsia="Times New Roman" w:cs="Arial"/>
                <w:vertAlign w:val="superscript"/>
                <w:lang w:eastAsia="en-IE"/>
              </w:rPr>
            </w:pPr>
            <w:r w:rsidRPr="00054D48">
              <w:rPr>
                <w:rFonts w:eastAsia="Times New Roman" w:cs="Arial"/>
                <w:lang w:eastAsia="en-IE"/>
              </w:rPr>
              <w:t>130.8</w:t>
            </w:r>
            <w:r w:rsidRPr="00054D48">
              <w:rPr>
                <w:rFonts w:eastAsia="Times New Roman" w:cs="Arial"/>
                <w:vertAlign w:val="superscript"/>
                <w:lang w:eastAsia="en-IE"/>
              </w:rPr>
              <w:t>b</w:t>
            </w:r>
          </w:p>
        </w:tc>
        <w:tc>
          <w:tcPr>
            <w:tcW w:w="1049" w:type="dxa"/>
            <w:tcBorders>
              <w:top w:val="nil"/>
              <w:left w:val="nil"/>
              <w:right w:val="nil"/>
            </w:tcBorders>
            <w:shd w:val="clear" w:color="auto" w:fill="auto"/>
            <w:tcMar>
              <w:top w:w="15" w:type="dxa"/>
              <w:left w:w="108" w:type="dxa"/>
              <w:bottom w:w="0" w:type="dxa"/>
              <w:right w:w="108" w:type="dxa"/>
            </w:tcMar>
            <w:vAlign w:val="center"/>
          </w:tcPr>
          <w:p w14:paraId="6CB12AA2" w14:textId="77777777" w:rsidR="00302842" w:rsidRPr="00054D48" w:rsidRDefault="00302842" w:rsidP="00302842">
            <w:pPr>
              <w:spacing w:after="0" w:line="256" w:lineRule="auto"/>
              <w:jc w:val="center"/>
              <w:rPr>
                <w:rFonts w:eastAsia="Times New Roman" w:cs="Arial"/>
                <w:vertAlign w:val="superscript"/>
                <w:lang w:eastAsia="en-IE"/>
              </w:rPr>
            </w:pPr>
            <w:r w:rsidRPr="00054D48">
              <w:rPr>
                <w:rFonts w:eastAsia="Times New Roman" w:cs="Arial"/>
                <w:lang w:eastAsia="en-IE"/>
              </w:rPr>
              <w:t>127.8</w:t>
            </w:r>
            <w:r w:rsidRPr="00054D48">
              <w:rPr>
                <w:rFonts w:eastAsia="Times New Roman" w:cs="Arial"/>
                <w:vertAlign w:val="superscript"/>
                <w:lang w:eastAsia="en-IE"/>
              </w:rPr>
              <w:t>b</w:t>
            </w:r>
          </w:p>
        </w:tc>
        <w:tc>
          <w:tcPr>
            <w:tcW w:w="1049" w:type="dxa"/>
            <w:tcBorders>
              <w:top w:val="nil"/>
              <w:left w:val="nil"/>
              <w:right w:val="nil"/>
            </w:tcBorders>
            <w:shd w:val="clear" w:color="auto" w:fill="auto"/>
            <w:tcMar>
              <w:top w:w="15" w:type="dxa"/>
              <w:left w:w="108" w:type="dxa"/>
              <w:bottom w:w="0" w:type="dxa"/>
              <w:right w:w="108" w:type="dxa"/>
            </w:tcMar>
            <w:vAlign w:val="center"/>
          </w:tcPr>
          <w:p w14:paraId="63BD884E" w14:textId="77777777" w:rsidR="00302842" w:rsidRPr="00054D48" w:rsidRDefault="00302842" w:rsidP="00302842">
            <w:pPr>
              <w:spacing w:after="0" w:line="256" w:lineRule="auto"/>
              <w:jc w:val="center"/>
              <w:rPr>
                <w:rFonts w:eastAsia="Times New Roman" w:cs="Arial"/>
                <w:vertAlign w:val="superscript"/>
                <w:lang w:eastAsia="en-IE"/>
              </w:rPr>
            </w:pPr>
            <w:r w:rsidRPr="00054D48">
              <w:rPr>
                <w:rFonts w:eastAsia="Times New Roman" w:cs="Arial"/>
                <w:lang w:eastAsia="en-IE"/>
              </w:rPr>
              <w:t>122.5</w:t>
            </w:r>
            <w:r w:rsidRPr="00054D48">
              <w:rPr>
                <w:rFonts w:eastAsia="Times New Roman" w:cs="Arial"/>
                <w:vertAlign w:val="superscript"/>
                <w:lang w:eastAsia="en-IE"/>
              </w:rPr>
              <w:t>b</w:t>
            </w:r>
          </w:p>
        </w:tc>
        <w:tc>
          <w:tcPr>
            <w:tcW w:w="1049" w:type="dxa"/>
            <w:tcBorders>
              <w:top w:val="nil"/>
              <w:left w:val="nil"/>
              <w:right w:val="nil"/>
            </w:tcBorders>
            <w:vAlign w:val="center"/>
          </w:tcPr>
          <w:p w14:paraId="7922F11F" w14:textId="77777777" w:rsidR="00302842" w:rsidRPr="00054D48" w:rsidRDefault="00302842" w:rsidP="00302842">
            <w:pPr>
              <w:spacing w:after="0" w:line="256" w:lineRule="auto"/>
              <w:jc w:val="center"/>
              <w:rPr>
                <w:rFonts w:eastAsia="Times New Roman" w:cs="Arial"/>
                <w:lang w:eastAsia="en-IE"/>
              </w:rPr>
            </w:pPr>
            <w:r w:rsidRPr="00054D48">
              <w:rPr>
                <w:rFonts w:eastAsia="Times New Roman" w:cs="Arial"/>
                <w:lang w:eastAsia="en-IE"/>
              </w:rPr>
              <w:t>37.2</w:t>
            </w:r>
            <w:r w:rsidRPr="00054D48">
              <w:rPr>
                <w:rFonts w:eastAsia="Times New Roman" w:cs="Arial"/>
                <w:vertAlign w:val="superscript"/>
                <w:lang w:eastAsia="en-IE"/>
              </w:rPr>
              <w:t>d</w:t>
            </w:r>
          </w:p>
        </w:tc>
        <w:tc>
          <w:tcPr>
            <w:tcW w:w="1049" w:type="dxa"/>
            <w:tcBorders>
              <w:top w:val="nil"/>
              <w:left w:val="nil"/>
              <w:right w:val="nil"/>
            </w:tcBorders>
            <w:shd w:val="clear" w:color="auto" w:fill="auto"/>
            <w:tcMar>
              <w:top w:w="15" w:type="dxa"/>
              <w:left w:w="108" w:type="dxa"/>
              <w:bottom w:w="0" w:type="dxa"/>
              <w:right w:w="108" w:type="dxa"/>
            </w:tcMar>
            <w:vAlign w:val="center"/>
          </w:tcPr>
          <w:p w14:paraId="4C893BD4" w14:textId="77777777" w:rsidR="00302842" w:rsidRPr="00054D48" w:rsidRDefault="00302842" w:rsidP="00302842">
            <w:pPr>
              <w:spacing w:after="0" w:line="256" w:lineRule="auto"/>
              <w:jc w:val="center"/>
              <w:rPr>
                <w:rFonts w:eastAsia="Times New Roman" w:cs="Arial"/>
                <w:vertAlign w:val="superscript"/>
                <w:lang w:eastAsia="en-IE"/>
              </w:rPr>
            </w:pPr>
            <w:r w:rsidRPr="00054D48">
              <w:rPr>
                <w:rFonts w:eastAsia="Times New Roman" w:cs="Arial"/>
                <w:lang w:eastAsia="en-IE"/>
              </w:rPr>
              <w:t>67.0</w:t>
            </w:r>
            <w:r w:rsidRPr="00054D48">
              <w:rPr>
                <w:rFonts w:eastAsia="Times New Roman" w:cs="Arial"/>
                <w:vertAlign w:val="superscript"/>
                <w:lang w:eastAsia="en-IE"/>
              </w:rPr>
              <w:t>c</w:t>
            </w:r>
          </w:p>
        </w:tc>
        <w:tc>
          <w:tcPr>
            <w:tcW w:w="1049" w:type="dxa"/>
            <w:tcBorders>
              <w:top w:val="nil"/>
              <w:left w:val="nil"/>
              <w:right w:val="nil"/>
            </w:tcBorders>
            <w:shd w:val="clear" w:color="auto" w:fill="auto"/>
            <w:tcMar>
              <w:top w:w="15" w:type="dxa"/>
              <w:left w:w="108" w:type="dxa"/>
              <w:bottom w:w="0" w:type="dxa"/>
              <w:right w:w="108" w:type="dxa"/>
            </w:tcMar>
            <w:vAlign w:val="center"/>
          </w:tcPr>
          <w:p w14:paraId="47C920BD" w14:textId="77777777" w:rsidR="00302842" w:rsidRPr="00054D48" w:rsidRDefault="00302842" w:rsidP="00302842">
            <w:pPr>
              <w:spacing w:after="0" w:line="256" w:lineRule="auto"/>
              <w:jc w:val="center"/>
              <w:rPr>
                <w:rFonts w:eastAsia="Times New Roman" w:cs="Arial"/>
                <w:lang w:eastAsia="en-IE"/>
              </w:rPr>
            </w:pPr>
            <w:r w:rsidRPr="00054D48">
              <w:rPr>
                <w:rFonts w:eastAsia="Times New Roman" w:cs="Arial"/>
                <w:lang w:eastAsia="en-IE"/>
              </w:rPr>
              <w:t>6.57</w:t>
            </w:r>
          </w:p>
        </w:tc>
        <w:tc>
          <w:tcPr>
            <w:tcW w:w="1049" w:type="dxa"/>
            <w:tcBorders>
              <w:top w:val="nil"/>
              <w:left w:val="nil"/>
              <w:right w:val="nil"/>
            </w:tcBorders>
            <w:shd w:val="clear" w:color="auto" w:fill="auto"/>
            <w:tcMar>
              <w:top w:w="15" w:type="dxa"/>
              <w:left w:w="108" w:type="dxa"/>
              <w:bottom w:w="0" w:type="dxa"/>
              <w:right w:w="108" w:type="dxa"/>
            </w:tcMar>
            <w:vAlign w:val="center"/>
          </w:tcPr>
          <w:p w14:paraId="09F9BBA5"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&lt; 0.01</w:t>
            </w:r>
          </w:p>
        </w:tc>
      </w:tr>
      <w:tr w:rsidR="00302842" w:rsidRPr="00054D48" w14:paraId="703E2976" w14:textId="77777777" w:rsidTr="00302842">
        <w:trPr>
          <w:trHeight w:val="713"/>
        </w:trPr>
        <w:tc>
          <w:tcPr>
            <w:tcW w:w="1048" w:type="dxa"/>
            <w:tcBorders>
              <w:top w:val="nil"/>
              <w:left w:val="nil"/>
              <w:right w:val="nil"/>
            </w:tcBorders>
            <w:shd w:val="clear" w:color="auto" w:fill="auto"/>
            <w:tcMar>
              <w:top w:w="15" w:type="dxa"/>
              <w:left w:w="108" w:type="dxa"/>
              <w:bottom w:w="0" w:type="dxa"/>
              <w:right w:w="108" w:type="dxa"/>
            </w:tcMar>
            <w:vAlign w:val="center"/>
          </w:tcPr>
          <w:p w14:paraId="3E8D8BFA" w14:textId="77777777" w:rsidR="00302842" w:rsidRPr="00054D48" w:rsidRDefault="00302842" w:rsidP="007C3454">
            <w:pPr>
              <w:spacing w:after="0" w:line="256" w:lineRule="auto"/>
              <w:jc w:val="both"/>
              <w:rPr>
                <w:rFonts w:eastAsia="Calibri" w:cs="Times New Roman"/>
                <w:bCs/>
                <w:color w:val="000000" w:themeColor="text1"/>
                <w:kern w:val="24"/>
                <w:lang w:eastAsia="en-IE"/>
              </w:rPr>
            </w:pPr>
            <w:r w:rsidRPr="00054D48">
              <w:rPr>
                <w:rFonts w:eastAsia="Calibri" w:cs="Times New Roman"/>
                <w:bCs/>
                <w:color w:val="000000" w:themeColor="text1"/>
                <w:kern w:val="24"/>
                <w:lang w:eastAsia="en-IE"/>
              </w:rPr>
              <w:t>SBF Castrate</w:t>
            </w:r>
          </w:p>
        </w:tc>
        <w:tc>
          <w:tcPr>
            <w:tcW w:w="1048" w:type="dxa"/>
            <w:tcBorders>
              <w:top w:val="nil"/>
              <w:left w:val="nil"/>
              <w:right w:val="nil"/>
            </w:tcBorders>
            <w:vAlign w:val="center"/>
          </w:tcPr>
          <w:p w14:paraId="573FBC7A"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195.7</w:t>
            </w:r>
            <w:r w:rsidRPr="00054D48">
              <w:rPr>
                <w:rFonts w:eastAsia="Calibri" w:cs="Times New Roman"/>
                <w:color w:val="000000" w:themeColor="text1"/>
                <w:kern w:val="24"/>
                <w:vertAlign w:val="superscript"/>
                <w:lang w:eastAsia="en-IE"/>
              </w:rPr>
              <w:t>a</w:t>
            </w:r>
          </w:p>
        </w:tc>
        <w:tc>
          <w:tcPr>
            <w:tcW w:w="1049" w:type="dxa"/>
            <w:tcBorders>
              <w:top w:val="nil"/>
              <w:left w:val="nil"/>
              <w:right w:val="nil"/>
            </w:tcBorders>
            <w:shd w:val="clear" w:color="auto" w:fill="auto"/>
            <w:tcMar>
              <w:top w:w="15" w:type="dxa"/>
              <w:left w:w="108" w:type="dxa"/>
              <w:bottom w:w="0" w:type="dxa"/>
              <w:right w:w="108" w:type="dxa"/>
            </w:tcMar>
            <w:vAlign w:val="center"/>
          </w:tcPr>
          <w:p w14:paraId="432E792D"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103.2</w:t>
            </w:r>
            <w:r w:rsidRPr="00054D48">
              <w:rPr>
                <w:rFonts w:eastAsia="Calibri" w:cs="Times New Roman"/>
                <w:color w:val="000000" w:themeColor="text1"/>
                <w:kern w:val="24"/>
                <w:vertAlign w:val="superscript"/>
                <w:lang w:eastAsia="en-IE"/>
              </w:rPr>
              <w:t>b</w:t>
            </w:r>
          </w:p>
        </w:tc>
        <w:tc>
          <w:tcPr>
            <w:tcW w:w="1049" w:type="dxa"/>
            <w:tcBorders>
              <w:top w:val="nil"/>
              <w:left w:val="nil"/>
              <w:right w:val="nil"/>
            </w:tcBorders>
            <w:shd w:val="clear" w:color="auto" w:fill="auto"/>
            <w:tcMar>
              <w:top w:w="15" w:type="dxa"/>
              <w:left w:w="108" w:type="dxa"/>
              <w:bottom w:w="0" w:type="dxa"/>
              <w:right w:w="108" w:type="dxa"/>
            </w:tcMar>
            <w:vAlign w:val="center"/>
          </w:tcPr>
          <w:p w14:paraId="68EB798E"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109.4</w:t>
            </w:r>
            <w:r w:rsidRPr="00054D48">
              <w:rPr>
                <w:rFonts w:eastAsia="Calibri" w:cs="Times New Roman"/>
                <w:color w:val="000000" w:themeColor="text1"/>
                <w:kern w:val="24"/>
                <w:vertAlign w:val="superscript"/>
                <w:lang w:eastAsia="en-IE"/>
              </w:rPr>
              <w:t>b</w:t>
            </w:r>
          </w:p>
        </w:tc>
        <w:tc>
          <w:tcPr>
            <w:tcW w:w="1049" w:type="dxa"/>
            <w:tcBorders>
              <w:top w:val="nil"/>
              <w:left w:val="nil"/>
              <w:right w:val="nil"/>
            </w:tcBorders>
            <w:shd w:val="clear" w:color="auto" w:fill="auto"/>
            <w:tcMar>
              <w:top w:w="15" w:type="dxa"/>
              <w:left w:w="108" w:type="dxa"/>
              <w:bottom w:w="0" w:type="dxa"/>
              <w:right w:w="108" w:type="dxa"/>
            </w:tcMar>
            <w:vAlign w:val="center"/>
          </w:tcPr>
          <w:p w14:paraId="2CA31DFF"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114.0</w:t>
            </w:r>
            <w:r w:rsidRPr="00054D48">
              <w:rPr>
                <w:rFonts w:eastAsia="Calibri" w:cs="Times New Roman"/>
                <w:color w:val="000000" w:themeColor="text1"/>
                <w:kern w:val="24"/>
                <w:vertAlign w:val="superscript"/>
                <w:lang w:eastAsia="en-IE"/>
              </w:rPr>
              <w:t>b</w:t>
            </w:r>
          </w:p>
        </w:tc>
        <w:tc>
          <w:tcPr>
            <w:tcW w:w="1049" w:type="dxa"/>
            <w:tcBorders>
              <w:top w:val="nil"/>
              <w:left w:val="nil"/>
              <w:right w:val="nil"/>
            </w:tcBorders>
            <w:vAlign w:val="center"/>
          </w:tcPr>
          <w:p w14:paraId="08C27836"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16.8</w:t>
            </w:r>
            <w:r w:rsidRPr="00054D48">
              <w:rPr>
                <w:rFonts w:eastAsia="Calibri" w:cs="Times New Roman"/>
                <w:color w:val="000000" w:themeColor="text1"/>
                <w:kern w:val="24"/>
                <w:vertAlign w:val="superscript"/>
                <w:lang w:eastAsia="en-IE"/>
              </w:rPr>
              <w:t>d</w:t>
            </w:r>
          </w:p>
        </w:tc>
        <w:tc>
          <w:tcPr>
            <w:tcW w:w="1049" w:type="dxa"/>
            <w:tcBorders>
              <w:top w:val="nil"/>
              <w:left w:val="nil"/>
              <w:right w:val="nil"/>
            </w:tcBorders>
            <w:shd w:val="clear" w:color="auto" w:fill="auto"/>
            <w:tcMar>
              <w:top w:w="15" w:type="dxa"/>
              <w:left w:w="108" w:type="dxa"/>
              <w:bottom w:w="0" w:type="dxa"/>
              <w:right w:w="108" w:type="dxa"/>
            </w:tcMar>
            <w:vAlign w:val="center"/>
          </w:tcPr>
          <w:p w14:paraId="278A686A" w14:textId="77777777" w:rsidR="00302842" w:rsidRPr="00054D48" w:rsidRDefault="00302842" w:rsidP="00302842">
            <w:pPr>
              <w:spacing w:after="0" w:line="256" w:lineRule="auto"/>
              <w:jc w:val="center"/>
              <w:rPr>
                <w:rFonts w:eastAsia="Calibri" w:cs="Times New Roman"/>
                <w:color w:val="000000" w:themeColor="text1"/>
                <w:kern w:val="24"/>
                <w:vertAlign w:val="superscript"/>
                <w:lang w:eastAsia="en-IE"/>
              </w:rPr>
            </w:pPr>
            <w:r w:rsidRPr="00054D48">
              <w:rPr>
                <w:rFonts w:eastAsia="Calibri" w:cs="Times New Roman"/>
                <w:color w:val="000000" w:themeColor="text1"/>
                <w:kern w:val="24"/>
                <w:lang w:eastAsia="en-IE"/>
              </w:rPr>
              <w:t>54.8</w:t>
            </w:r>
            <w:r w:rsidRPr="00054D48">
              <w:rPr>
                <w:rFonts w:eastAsia="Calibri" w:cs="Times New Roman"/>
                <w:color w:val="000000" w:themeColor="text1"/>
                <w:kern w:val="24"/>
                <w:vertAlign w:val="superscript"/>
                <w:lang w:eastAsia="en-IE"/>
              </w:rPr>
              <w:t>c</w:t>
            </w:r>
          </w:p>
        </w:tc>
        <w:tc>
          <w:tcPr>
            <w:tcW w:w="1049" w:type="dxa"/>
            <w:tcBorders>
              <w:top w:val="nil"/>
              <w:left w:val="nil"/>
              <w:right w:val="nil"/>
            </w:tcBorders>
            <w:shd w:val="clear" w:color="auto" w:fill="auto"/>
            <w:tcMar>
              <w:top w:w="15" w:type="dxa"/>
              <w:left w:w="108" w:type="dxa"/>
              <w:bottom w:w="0" w:type="dxa"/>
              <w:right w:w="108" w:type="dxa"/>
            </w:tcMar>
            <w:vAlign w:val="center"/>
          </w:tcPr>
          <w:p w14:paraId="03D47836"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7.17</w:t>
            </w:r>
          </w:p>
        </w:tc>
        <w:tc>
          <w:tcPr>
            <w:tcW w:w="1049" w:type="dxa"/>
            <w:tcBorders>
              <w:top w:val="nil"/>
              <w:left w:val="nil"/>
              <w:right w:val="nil"/>
            </w:tcBorders>
            <w:shd w:val="clear" w:color="auto" w:fill="auto"/>
            <w:tcMar>
              <w:top w:w="15" w:type="dxa"/>
              <w:left w:w="108" w:type="dxa"/>
              <w:bottom w:w="0" w:type="dxa"/>
              <w:right w:w="108" w:type="dxa"/>
            </w:tcMar>
            <w:vAlign w:val="center"/>
          </w:tcPr>
          <w:p w14:paraId="091470F5"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&lt; 0.01</w:t>
            </w:r>
          </w:p>
        </w:tc>
      </w:tr>
      <w:tr w:rsidR="00302842" w:rsidRPr="00054D48" w14:paraId="501E3D1C" w14:textId="77777777" w:rsidTr="00302842">
        <w:trPr>
          <w:trHeight w:val="713"/>
        </w:trPr>
        <w:tc>
          <w:tcPr>
            <w:tcW w:w="1048"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1BC9987E" w14:textId="77777777" w:rsidR="00302842" w:rsidRPr="00054D48" w:rsidRDefault="00302842" w:rsidP="007C3454">
            <w:pPr>
              <w:spacing w:after="0" w:line="256" w:lineRule="auto"/>
              <w:jc w:val="both"/>
              <w:rPr>
                <w:rFonts w:eastAsia="Times New Roman" w:cs="Arial"/>
                <w:lang w:eastAsia="en-IE"/>
              </w:rPr>
            </w:pPr>
            <w:r w:rsidRPr="00054D48">
              <w:rPr>
                <w:rFonts w:eastAsia="Calibri" w:cs="Times New Roman"/>
                <w:bCs/>
                <w:color w:val="000000" w:themeColor="text1"/>
                <w:kern w:val="24"/>
                <w:lang w:eastAsia="en-IE"/>
              </w:rPr>
              <w:t>TXSB</w:t>
            </w:r>
          </w:p>
        </w:tc>
        <w:tc>
          <w:tcPr>
            <w:tcW w:w="1048" w:type="dxa"/>
            <w:tcBorders>
              <w:top w:val="nil"/>
              <w:left w:val="nil"/>
              <w:bottom w:val="single" w:sz="8" w:space="0" w:color="000000" w:themeColor="text1"/>
              <w:right w:val="nil"/>
            </w:tcBorders>
            <w:vAlign w:val="center"/>
          </w:tcPr>
          <w:p w14:paraId="1FEBE0BC"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292.4</w:t>
            </w:r>
            <w:r w:rsidRPr="00054D48">
              <w:rPr>
                <w:rFonts w:eastAsia="Calibri" w:cs="Times New Roman"/>
                <w:color w:val="000000" w:themeColor="text1"/>
                <w:kern w:val="24"/>
                <w:vertAlign w:val="superscript"/>
                <w:lang w:eastAsia="en-IE"/>
              </w:rPr>
              <w:t>a</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3719404C"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152.4</w:t>
            </w:r>
            <w:r w:rsidRPr="00054D48">
              <w:rPr>
                <w:rFonts w:eastAsia="Calibri" w:cs="Times New Roman"/>
                <w:color w:val="000000" w:themeColor="text1"/>
                <w:kern w:val="24"/>
                <w:vertAlign w:val="superscript"/>
                <w:lang w:eastAsia="en-IE"/>
              </w:rPr>
              <w:t>b</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5EC47FB2"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158.2</w:t>
            </w:r>
            <w:r w:rsidRPr="00054D48">
              <w:rPr>
                <w:rFonts w:eastAsia="Calibri" w:cs="Times New Roman"/>
                <w:color w:val="000000" w:themeColor="text1"/>
                <w:kern w:val="24"/>
                <w:vertAlign w:val="superscript"/>
                <w:lang w:eastAsia="en-IE"/>
              </w:rPr>
              <w:t>b</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3363B292"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144.5</w:t>
            </w:r>
            <w:r w:rsidRPr="00054D48">
              <w:rPr>
                <w:rFonts w:eastAsia="Calibri" w:cs="Times New Roman"/>
                <w:color w:val="000000" w:themeColor="text1"/>
                <w:kern w:val="24"/>
                <w:vertAlign w:val="superscript"/>
                <w:lang w:eastAsia="en-IE"/>
              </w:rPr>
              <w:t>b</w:t>
            </w:r>
          </w:p>
        </w:tc>
        <w:tc>
          <w:tcPr>
            <w:tcW w:w="1049" w:type="dxa"/>
            <w:tcBorders>
              <w:top w:val="nil"/>
              <w:left w:val="nil"/>
              <w:bottom w:val="single" w:sz="8" w:space="0" w:color="000000" w:themeColor="text1"/>
              <w:right w:val="nil"/>
            </w:tcBorders>
            <w:vAlign w:val="center"/>
          </w:tcPr>
          <w:p w14:paraId="12C65BE4" w14:textId="77777777" w:rsidR="00302842" w:rsidRPr="00054D48" w:rsidRDefault="00302842" w:rsidP="00302842">
            <w:pPr>
              <w:spacing w:after="0" w:line="256" w:lineRule="auto"/>
              <w:jc w:val="center"/>
              <w:rPr>
                <w:rFonts w:eastAsia="Calibri" w:cs="Times New Roman"/>
                <w:color w:val="000000" w:themeColor="text1"/>
                <w:kern w:val="24"/>
                <w:lang w:eastAsia="en-IE"/>
              </w:rPr>
            </w:pPr>
            <w:r w:rsidRPr="00054D48">
              <w:rPr>
                <w:rFonts w:eastAsia="Calibri" w:cs="Times New Roman"/>
                <w:color w:val="000000" w:themeColor="text1"/>
                <w:kern w:val="24"/>
                <w:lang w:eastAsia="en-IE"/>
              </w:rPr>
              <w:t>53.3</w:t>
            </w:r>
            <w:r w:rsidRPr="00054D48">
              <w:rPr>
                <w:rFonts w:eastAsia="Calibri" w:cs="Times New Roman"/>
                <w:color w:val="000000" w:themeColor="text1"/>
                <w:kern w:val="24"/>
                <w:vertAlign w:val="superscript"/>
                <w:lang w:eastAsia="en-IE"/>
              </w:rPr>
              <w:t>d</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5EBFECED"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95.0</w:t>
            </w:r>
            <w:r w:rsidRPr="00054D48">
              <w:rPr>
                <w:rFonts w:eastAsia="Calibri" w:cs="Times New Roman"/>
                <w:color w:val="000000" w:themeColor="text1"/>
                <w:kern w:val="24"/>
                <w:vertAlign w:val="superscript"/>
                <w:lang w:eastAsia="en-IE"/>
              </w:rPr>
              <w:t>c</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03F13BA9" w14:textId="77777777" w:rsidR="00302842" w:rsidRPr="00054D48" w:rsidRDefault="00302842" w:rsidP="00302842">
            <w:pPr>
              <w:spacing w:after="0" w:line="256" w:lineRule="auto"/>
              <w:jc w:val="center"/>
              <w:rPr>
                <w:rFonts w:eastAsia="Times New Roman" w:cs="Arial"/>
                <w:lang w:eastAsia="en-IE"/>
              </w:rPr>
            </w:pPr>
            <w:r w:rsidRPr="00054D48">
              <w:rPr>
                <w:rFonts w:eastAsia="Times New Roman" w:cs="Arial"/>
                <w:lang w:eastAsia="en-IE"/>
              </w:rPr>
              <w:t>7.12</w:t>
            </w:r>
          </w:p>
        </w:tc>
        <w:tc>
          <w:tcPr>
            <w:tcW w:w="1049" w:type="dxa"/>
            <w:tcBorders>
              <w:top w:val="nil"/>
              <w:left w:val="nil"/>
              <w:bottom w:val="single" w:sz="8" w:space="0" w:color="000000" w:themeColor="text1"/>
              <w:right w:val="nil"/>
            </w:tcBorders>
            <w:shd w:val="clear" w:color="auto" w:fill="auto"/>
            <w:tcMar>
              <w:top w:w="15" w:type="dxa"/>
              <w:left w:w="108" w:type="dxa"/>
              <w:bottom w:w="0" w:type="dxa"/>
              <w:right w:w="108" w:type="dxa"/>
            </w:tcMar>
            <w:vAlign w:val="center"/>
            <w:hideMark/>
          </w:tcPr>
          <w:p w14:paraId="588A63A9" w14:textId="77777777" w:rsidR="00302842" w:rsidRPr="00054D48" w:rsidRDefault="00302842" w:rsidP="00302842">
            <w:pPr>
              <w:spacing w:after="0" w:line="256" w:lineRule="auto"/>
              <w:jc w:val="center"/>
              <w:rPr>
                <w:rFonts w:eastAsia="Times New Roman" w:cs="Arial"/>
                <w:lang w:eastAsia="en-IE"/>
              </w:rPr>
            </w:pPr>
            <w:r w:rsidRPr="00054D48">
              <w:rPr>
                <w:rFonts w:eastAsia="Calibri" w:cs="Times New Roman"/>
                <w:color w:val="000000" w:themeColor="text1"/>
                <w:kern w:val="24"/>
                <w:lang w:eastAsia="en-IE"/>
              </w:rPr>
              <w:t>&lt; 0.01</w:t>
            </w:r>
          </w:p>
        </w:tc>
      </w:tr>
    </w:tbl>
    <w:p w14:paraId="331B3889" w14:textId="3282951F" w:rsidR="00302842" w:rsidRDefault="00302842" w:rsidP="00302842">
      <w:pPr>
        <w:jc w:val="both"/>
        <w:rPr>
          <w:rFonts w:cstheme="minorHAnsi"/>
        </w:rPr>
      </w:pPr>
      <w:r w:rsidRPr="00C44761">
        <w:rPr>
          <w:rFonts w:cstheme="minorHAnsi"/>
        </w:rPr>
        <w:t>a–d Means within a row with common superscripts do not differ (P &gt; 0.05)</w:t>
      </w:r>
    </w:p>
    <w:p w14:paraId="569FA02D" w14:textId="3C509CFD" w:rsidR="00C44761" w:rsidRPr="00C44761" w:rsidRDefault="00C44761" w:rsidP="00302842">
      <w:pPr>
        <w:jc w:val="both"/>
        <w:rPr>
          <w:rFonts w:cstheme="minorHAnsi"/>
        </w:rPr>
      </w:pPr>
      <w:r w:rsidRPr="00C44761">
        <w:rPr>
          <w:rFonts w:cstheme="minorHAnsi"/>
        </w:rPr>
        <w:t>TXSB = Texel x Scottish Blackface entire males, SBF E = Scottish Blackface entire males and SBF C = Scottish Blackface castrate males</w:t>
      </w:r>
    </w:p>
    <w:p w14:paraId="5AF32CD1" w14:textId="6B8AF5C7" w:rsidR="00302842" w:rsidRPr="00C44761" w:rsidRDefault="00C44761" w:rsidP="00660FD8">
      <w:pPr>
        <w:jc w:val="both"/>
        <w:rPr>
          <w:bCs/>
          <w:lang w:val="en-US"/>
        </w:rPr>
      </w:pPr>
      <w:r w:rsidRPr="00C44761">
        <w:rPr>
          <w:bCs/>
          <w:lang w:val="en-US"/>
        </w:rPr>
        <w:t>ALC = ad</w:t>
      </w:r>
      <w:r>
        <w:rPr>
          <w:bCs/>
          <w:lang w:val="en-US"/>
        </w:rPr>
        <w:t>-</w:t>
      </w:r>
      <w:r w:rsidRPr="00C44761">
        <w:rPr>
          <w:bCs/>
          <w:lang w:val="en-US"/>
        </w:rPr>
        <w:t>libitum concentrate, FR = forage rape, HB = hybrid brassica, K = kale, PP = permanent pasture, RS = reseed</w:t>
      </w:r>
    </w:p>
    <w:p w14:paraId="68E461EC" w14:textId="080FA32A" w:rsidR="007B30E3" w:rsidRPr="00054D48" w:rsidRDefault="007B30E3" w:rsidP="00660FD8">
      <w:pPr>
        <w:jc w:val="both"/>
        <w:rPr>
          <w:b/>
          <w:bCs/>
          <w:lang w:val="en-US"/>
        </w:rPr>
      </w:pPr>
      <w:r w:rsidRPr="00054D48">
        <w:rPr>
          <w:b/>
          <w:bCs/>
          <w:lang w:val="en-US"/>
        </w:rPr>
        <w:t>Conclusions</w:t>
      </w:r>
    </w:p>
    <w:p w14:paraId="41A3C7EB" w14:textId="6DC3368D" w:rsidR="007B30E3" w:rsidRPr="00054D48" w:rsidRDefault="008B4FF9" w:rsidP="00660FD8">
      <w:pPr>
        <w:jc w:val="both"/>
        <w:rPr>
          <w:bCs/>
          <w:lang w:val="en-US"/>
        </w:rPr>
      </w:pPr>
      <w:r w:rsidRPr="00054D48">
        <w:rPr>
          <w:bCs/>
          <w:lang w:val="en-US"/>
        </w:rPr>
        <w:t>The current study demonstrates that SBF and TXSB lambs perform best when offered ALC but forage brassica crops are a viable alternative. In contrast, perennial ryegrass swards alone were not suitable for finishing lambs in the autumn/winter period due to the decline in forage quality</w:t>
      </w:r>
      <w:r w:rsidR="00302842">
        <w:rPr>
          <w:bCs/>
          <w:lang w:val="en-US"/>
        </w:rPr>
        <w:t xml:space="preserve"> and subsequent effects on lamb performance</w:t>
      </w:r>
      <w:r w:rsidRPr="00054D48">
        <w:rPr>
          <w:bCs/>
          <w:lang w:val="en-US"/>
        </w:rPr>
        <w:t>. Lambs grazing forage brassica crops performed to a satisfactory level throughout the winter period which conveys the potential in using these crops in lamb finishing systems</w:t>
      </w:r>
    </w:p>
    <w:p w14:paraId="7ACBCE3D" w14:textId="77777777" w:rsidR="008B4FF9" w:rsidRPr="00054D48" w:rsidRDefault="008B4FF9" w:rsidP="00660FD8">
      <w:pPr>
        <w:jc w:val="both"/>
        <w:rPr>
          <w:b/>
          <w:bCs/>
          <w:lang w:val="en-US"/>
        </w:rPr>
      </w:pPr>
      <w:r w:rsidRPr="00054D48">
        <w:rPr>
          <w:b/>
          <w:bCs/>
          <w:lang w:val="en-US"/>
        </w:rPr>
        <w:t>References</w:t>
      </w:r>
    </w:p>
    <w:p w14:paraId="77B3F2B7" w14:textId="77777777" w:rsidR="008B4FF9" w:rsidRPr="00054D48" w:rsidRDefault="008B4FF9" w:rsidP="00660FD8">
      <w:pPr>
        <w:jc w:val="both"/>
        <w:rPr>
          <w:bCs/>
          <w:lang w:val="en-US"/>
        </w:rPr>
      </w:pPr>
      <w:r w:rsidRPr="00054D48">
        <w:rPr>
          <w:bCs/>
          <w:lang w:val="en-US"/>
        </w:rPr>
        <w:t>Claffey, N.A., Fahey, A.G., Gkarane, V., Moloney, A.P., Monahan, F.J. and Diskin, M.G., 2018. Effect of breed and castration on production and carcass traits of male lambs following an intensive finishing period. Translational Animal Science, 2(4), pp.407-418.</w:t>
      </w:r>
    </w:p>
    <w:p w14:paraId="4D7360B9" w14:textId="2059C547" w:rsidR="008B4FF9" w:rsidRPr="00054D48" w:rsidRDefault="008B4FF9" w:rsidP="00660FD8">
      <w:pPr>
        <w:jc w:val="both"/>
        <w:rPr>
          <w:bCs/>
          <w:lang w:val="en-US"/>
        </w:rPr>
      </w:pPr>
      <w:r w:rsidRPr="00054D48">
        <w:rPr>
          <w:bCs/>
          <w:lang w:val="en-US"/>
        </w:rPr>
        <w:t>Hopkins, A. 2021. Lamb classification [Online]. Available: https://achopkins.co.uk/lamb-classification/ [Accessed].</w:t>
      </w:r>
    </w:p>
    <w:p w14:paraId="2EF1F60F" w14:textId="77777777" w:rsidR="00054D48" w:rsidRPr="00054D48" w:rsidRDefault="00054D48" w:rsidP="00660FD8">
      <w:pPr>
        <w:jc w:val="both"/>
        <w:rPr>
          <w:bCs/>
          <w:lang w:val="en-US"/>
        </w:rPr>
      </w:pPr>
    </w:p>
    <w:bookmarkEnd w:id="0"/>
    <w:p w14:paraId="5E5277FD" w14:textId="77777777" w:rsidR="008B4FF9" w:rsidRPr="00054D48" w:rsidRDefault="008B4FF9" w:rsidP="00660FD8">
      <w:pPr>
        <w:jc w:val="both"/>
        <w:rPr>
          <w:b/>
          <w:bCs/>
          <w:lang w:val="en-US"/>
        </w:rPr>
      </w:pPr>
    </w:p>
    <w:sectPr w:rsidR="008B4FF9" w:rsidRPr="00054D48"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E3"/>
    <w:rsid w:val="00054D48"/>
    <w:rsid w:val="00302842"/>
    <w:rsid w:val="00383DCD"/>
    <w:rsid w:val="00397193"/>
    <w:rsid w:val="00625B14"/>
    <w:rsid w:val="00660FD8"/>
    <w:rsid w:val="007B30E3"/>
    <w:rsid w:val="008B4FF9"/>
    <w:rsid w:val="008D77DB"/>
    <w:rsid w:val="00933E8C"/>
    <w:rsid w:val="00B52E4E"/>
    <w:rsid w:val="00C44761"/>
    <w:rsid w:val="00C53AE2"/>
    <w:rsid w:val="00C95030"/>
    <w:rsid w:val="00DD21B5"/>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3370EE32BBB42A1A9A43F222B167D" ma:contentTypeVersion="11" ma:contentTypeDescription="Create a new document." ma:contentTypeScope="" ma:versionID="742bb7a14fb3ee041f4932738da198aa">
  <xsd:schema xmlns:xsd="http://www.w3.org/2001/XMLSchema" xmlns:xs="http://www.w3.org/2001/XMLSchema" xmlns:p="http://schemas.microsoft.com/office/2006/metadata/properties" xmlns:ns3="c1d697c0-fbdf-4d6e-b894-9da70c1d4590" targetNamespace="http://schemas.microsoft.com/office/2006/metadata/properties" ma:root="true" ma:fieldsID="3b4906ef9ec7e2641bc64a3b8b59c8e0" ns3:_="">
    <xsd:import namespace="c1d697c0-fbdf-4d6e-b894-9da70c1d459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97c0-fbdf-4d6e-b894-9da70c1d459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46A55-C161-49D3-A319-CA6440FB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97c0-fbdf-4d6e-b894-9da70c1d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E998D-96EF-4A0A-B53A-07C2AB504375}">
  <ds:schemaRefs>
    <ds:schemaRef ds:uri="http://purl.org/dc/dcmityp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c1d697c0-fbdf-4d6e-b894-9da70c1d4590"/>
    <ds:schemaRef ds:uri="http://www.w3.org/XML/1998/namespace"/>
  </ds:schemaRefs>
</ds:datastoreItem>
</file>

<file path=customXml/itemProps3.xml><?xml version="1.0" encoding="utf-8"?>
<ds:datastoreItem xmlns:ds="http://schemas.openxmlformats.org/officeDocument/2006/customXml" ds:itemID="{443D4927-B381-4278-8881-89C86CBE03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Francis Campion</cp:lastModifiedBy>
  <cp:revision>2</cp:revision>
  <dcterms:created xsi:type="dcterms:W3CDTF">2025-01-08T11:27:00Z</dcterms:created>
  <dcterms:modified xsi:type="dcterms:W3CDTF">2025-01-08T11:27:00Z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0x0101001DC3370EE32BBB42A1A9A43F222B167D</vt:lpwstr>
  </property>
</Properties>
</file>