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2C39" w14:textId="77777777" w:rsidR="00576C81" w:rsidRDefault="00576C81">
      <w:pPr>
        <w:pStyle w:val="BodyText"/>
        <w:rPr>
          <w:sz w:val="52"/>
        </w:rPr>
      </w:pPr>
    </w:p>
    <w:p w14:paraId="41A72C3A" w14:textId="77777777" w:rsidR="00576C81" w:rsidRDefault="00576C81">
      <w:pPr>
        <w:pStyle w:val="BodyText"/>
        <w:spacing w:before="47"/>
        <w:rPr>
          <w:sz w:val="52"/>
        </w:rPr>
      </w:pPr>
    </w:p>
    <w:p w14:paraId="41A72C3B" w14:textId="77777777" w:rsidR="00576C81" w:rsidRDefault="002A3942">
      <w:pPr>
        <w:pStyle w:val="Title"/>
      </w:pPr>
      <w:r>
        <w:t>An</w:t>
      </w:r>
      <w:r>
        <w:rPr>
          <w:spacing w:val="-7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 xml:space="preserve">of probiotic supplementation on the prevalence and severity of </w:t>
      </w:r>
      <w:r>
        <w:rPr>
          <w:i/>
        </w:rPr>
        <w:t xml:space="preserve">Cryptosporidium </w:t>
      </w:r>
      <w:r>
        <w:t>infections in young calves</w:t>
      </w:r>
    </w:p>
    <w:p w14:paraId="41A72C3C" w14:textId="77777777" w:rsidR="00576C81" w:rsidRDefault="00576C81">
      <w:pPr>
        <w:pStyle w:val="BodyText"/>
      </w:pPr>
    </w:p>
    <w:p w14:paraId="41A72C3D" w14:textId="77777777" w:rsidR="00576C81" w:rsidRDefault="00576C81">
      <w:pPr>
        <w:pStyle w:val="BodyText"/>
        <w:spacing w:before="243"/>
      </w:pPr>
    </w:p>
    <w:p w14:paraId="41A72C3E" w14:textId="77777777" w:rsidR="00576C81" w:rsidRDefault="002A3942">
      <w:pPr>
        <w:ind w:right="4140"/>
        <w:jc w:val="right"/>
        <w:rPr>
          <w:i/>
          <w:sz w:val="24"/>
        </w:rPr>
      </w:pPr>
      <w:r>
        <w:rPr>
          <w:i/>
          <w:spacing w:val="-5"/>
          <w:sz w:val="24"/>
        </w:rPr>
        <w:t>BY</w:t>
      </w:r>
    </w:p>
    <w:p w14:paraId="41A72C3F" w14:textId="77777777" w:rsidR="00576C81" w:rsidRDefault="00576C81">
      <w:pPr>
        <w:pStyle w:val="BodyText"/>
        <w:spacing w:before="256"/>
        <w:rPr>
          <w:i/>
        </w:rPr>
      </w:pPr>
    </w:p>
    <w:p w14:paraId="41A72C40" w14:textId="77777777" w:rsidR="00576C81" w:rsidRDefault="002A3942">
      <w:pPr>
        <w:ind w:left="224"/>
        <w:jc w:val="center"/>
        <w:rPr>
          <w:sz w:val="30"/>
        </w:rPr>
      </w:pPr>
      <w:r>
        <w:rPr>
          <w:sz w:val="30"/>
        </w:rPr>
        <w:t>May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Allan</w:t>
      </w:r>
    </w:p>
    <w:p w14:paraId="41A72C41" w14:textId="77777777" w:rsidR="00576C81" w:rsidRDefault="00576C81">
      <w:pPr>
        <w:pStyle w:val="BodyText"/>
        <w:rPr>
          <w:sz w:val="30"/>
        </w:rPr>
      </w:pPr>
    </w:p>
    <w:p w14:paraId="41A72C42" w14:textId="77777777" w:rsidR="00576C81" w:rsidRDefault="00576C81">
      <w:pPr>
        <w:pStyle w:val="BodyText"/>
        <w:rPr>
          <w:sz w:val="30"/>
        </w:rPr>
      </w:pPr>
    </w:p>
    <w:p w14:paraId="41A72C43" w14:textId="77777777" w:rsidR="00576C81" w:rsidRDefault="00576C81">
      <w:pPr>
        <w:pStyle w:val="BodyText"/>
        <w:rPr>
          <w:sz w:val="30"/>
        </w:rPr>
      </w:pPr>
    </w:p>
    <w:p w14:paraId="41A72C44" w14:textId="77777777" w:rsidR="00576C81" w:rsidRDefault="00576C81">
      <w:pPr>
        <w:pStyle w:val="BodyText"/>
        <w:rPr>
          <w:sz w:val="30"/>
        </w:rPr>
      </w:pPr>
    </w:p>
    <w:p w14:paraId="41A72C45" w14:textId="77777777" w:rsidR="00576C81" w:rsidRDefault="00576C81">
      <w:pPr>
        <w:pStyle w:val="BodyText"/>
        <w:rPr>
          <w:sz w:val="30"/>
        </w:rPr>
      </w:pPr>
    </w:p>
    <w:p w14:paraId="41A72C46" w14:textId="77777777" w:rsidR="00576C81" w:rsidRDefault="00576C81">
      <w:pPr>
        <w:pStyle w:val="BodyText"/>
        <w:rPr>
          <w:sz w:val="30"/>
        </w:rPr>
      </w:pPr>
    </w:p>
    <w:p w14:paraId="41A72C47" w14:textId="77777777" w:rsidR="00576C81" w:rsidRDefault="00576C81">
      <w:pPr>
        <w:pStyle w:val="BodyText"/>
        <w:rPr>
          <w:sz w:val="30"/>
        </w:rPr>
      </w:pPr>
    </w:p>
    <w:p w14:paraId="41A72C48" w14:textId="77777777" w:rsidR="00576C81" w:rsidRDefault="00576C81">
      <w:pPr>
        <w:pStyle w:val="BodyText"/>
        <w:spacing w:before="3"/>
        <w:rPr>
          <w:sz w:val="30"/>
        </w:rPr>
      </w:pPr>
    </w:p>
    <w:p w14:paraId="41A72C49" w14:textId="77777777" w:rsidR="00576C81" w:rsidRDefault="002A3942">
      <w:pPr>
        <w:spacing w:before="1" w:line="304" w:lineRule="auto"/>
        <w:ind w:left="2095" w:right="2093" w:hanging="4"/>
        <w:jc w:val="center"/>
      </w:pPr>
      <w:r>
        <w:t xml:space="preserve">in partial fulfilment of the requirement for the </w:t>
      </w:r>
      <w:proofErr w:type="spellStart"/>
      <w:r>
        <w:t>Honours</w:t>
      </w:r>
      <w:proofErr w:type="spellEnd"/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BSc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Science</w:t>
      </w:r>
    </w:p>
    <w:p w14:paraId="41A72C4A" w14:textId="77777777" w:rsidR="00576C81" w:rsidRDefault="00576C81">
      <w:pPr>
        <w:pStyle w:val="BodyText"/>
        <w:rPr>
          <w:sz w:val="22"/>
        </w:rPr>
      </w:pPr>
    </w:p>
    <w:p w14:paraId="41A72C4B" w14:textId="77777777" w:rsidR="00576C81" w:rsidRDefault="00576C81">
      <w:pPr>
        <w:pStyle w:val="BodyText"/>
        <w:spacing w:before="51"/>
        <w:rPr>
          <w:sz w:val="22"/>
        </w:rPr>
      </w:pPr>
    </w:p>
    <w:p w14:paraId="41A72C4C" w14:textId="77777777" w:rsidR="00576C81" w:rsidRDefault="002A3942">
      <w:pPr>
        <w:ind w:left="621" w:right="622"/>
        <w:jc w:val="center"/>
      </w:pPr>
      <w:r>
        <w:rPr>
          <w:spacing w:val="-5"/>
        </w:rPr>
        <w:t>at</w:t>
      </w:r>
    </w:p>
    <w:p w14:paraId="41A72C4D" w14:textId="77777777" w:rsidR="00576C81" w:rsidRDefault="002A3942">
      <w:pPr>
        <w:spacing w:before="2"/>
        <w:ind w:right="4070"/>
        <w:jc w:val="right"/>
        <w:rPr>
          <w:b/>
        </w:rPr>
      </w:pPr>
      <w:proofErr w:type="spellStart"/>
      <w:r>
        <w:rPr>
          <w:b/>
          <w:spacing w:val="-4"/>
        </w:rPr>
        <w:t>SRUC</w:t>
      </w:r>
      <w:proofErr w:type="spellEnd"/>
    </w:p>
    <w:p w14:paraId="41A72C4E" w14:textId="77777777" w:rsidR="00576C81" w:rsidRDefault="002A3942">
      <w:pPr>
        <w:spacing w:before="1" w:line="251" w:lineRule="exact"/>
        <w:ind w:left="621" w:right="622"/>
        <w:jc w:val="center"/>
      </w:pPr>
      <w:r>
        <w:rPr>
          <w:spacing w:val="-5"/>
        </w:rPr>
        <w:t>and</w:t>
      </w:r>
    </w:p>
    <w:p w14:paraId="41A72C4F" w14:textId="77777777" w:rsidR="00576C81" w:rsidRDefault="002A3942">
      <w:pPr>
        <w:spacing w:line="251" w:lineRule="exact"/>
        <w:ind w:left="622" w:right="622"/>
        <w:jc w:val="center"/>
        <w:rPr>
          <w:b/>
        </w:rPr>
      </w:pPr>
      <w:r>
        <w:rPr>
          <w:b/>
          <w:smallCaps/>
        </w:rPr>
        <w:t>The</w:t>
      </w:r>
      <w:r>
        <w:rPr>
          <w:b/>
          <w:smallCaps/>
          <w:spacing w:val="-4"/>
        </w:rPr>
        <w:t xml:space="preserve"> </w:t>
      </w:r>
      <w:r>
        <w:rPr>
          <w:b/>
          <w:smallCaps/>
        </w:rPr>
        <w:t>University</w:t>
      </w:r>
      <w:r>
        <w:rPr>
          <w:b/>
          <w:smallCaps/>
          <w:spacing w:val="-4"/>
        </w:rPr>
        <w:t xml:space="preserve"> </w:t>
      </w:r>
      <w:r>
        <w:rPr>
          <w:b/>
          <w:smallCaps/>
        </w:rPr>
        <w:t>of</w:t>
      </w:r>
      <w:r>
        <w:rPr>
          <w:b/>
          <w:smallCaps/>
          <w:spacing w:val="-3"/>
        </w:rPr>
        <w:t xml:space="preserve"> </w:t>
      </w:r>
      <w:r>
        <w:rPr>
          <w:b/>
          <w:smallCaps/>
          <w:spacing w:val="-2"/>
        </w:rPr>
        <w:t>Glasgow</w:t>
      </w:r>
    </w:p>
    <w:p w14:paraId="41A72C50" w14:textId="77777777" w:rsidR="00576C81" w:rsidRDefault="00576C81">
      <w:pPr>
        <w:pStyle w:val="BodyText"/>
        <w:rPr>
          <w:b/>
          <w:sz w:val="18"/>
        </w:rPr>
      </w:pPr>
    </w:p>
    <w:p w14:paraId="41A72C51" w14:textId="77777777" w:rsidR="00576C81" w:rsidRDefault="00576C81">
      <w:pPr>
        <w:pStyle w:val="BodyText"/>
        <w:spacing w:before="91"/>
        <w:rPr>
          <w:b/>
          <w:sz w:val="18"/>
        </w:rPr>
      </w:pPr>
    </w:p>
    <w:p w14:paraId="41A72C52" w14:textId="77777777" w:rsidR="00576C81" w:rsidRDefault="002A3942">
      <w:pPr>
        <w:ind w:left="621" w:right="622"/>
        <w:jc w:val="center"/>
      </w:pPr>
      <w:r>
        <w:t>March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41A72C53" w14:textId="77777777" w:rsidR="00576C81" w:rsidRDefault="00576C81">
      <w:pPr>
        <w:jc w:val="center"/>
        <w:sectPr w:rsidR="00576C81">
          <w:type w:val="continuous"/>
          <w:pgSz w:w="11910" w:h="16840"/>
          <w:pgMar w:top="1920" w:right="1580" w:bottom="280" w:left="1580" w:header="720" w:footer="720" w:gutter="0"/>
          <w:cols w:space="720"/>
        </w:sectPr>
      </w:pPr>
    </w:p>
    <w:p w14:paraId="41A72C54" w14:textId="77777777" w:rsidR="00576C81" w:rsidRDefault="002A3942">
      <w:pPr>
        <w:pStyle w:val="Heading1"/>
        <w:spacing w:before="63"/>
        <w:ind w:left="119"/>
      </w:pPr>
      <w:r>
        <w:rPr>
          <w:spacing w:val="-2"/>
        </w:rPr>
        <w:lastRenderedPageBreak/>
        <w:t>Abstract</w:t>
      </w:r>
    </w:p>
    <w:p w14:paraId="41A72C55" w14:textId="77777777" w:rsidR="00576C81" w:rsidRDefault="00576C81">
      <w:pPr>
        <w:pStyle w:val="BodyText"/>
        <w:spacing w:before="120"/>
        <w:rPr>
          <w:b/>
        </w:rPr>
      </w:pPr>
    </w:p>
    <w:p w14:paraId="41A72C56" w14:textId="77777777" w:rsidR="00576C81" w:rsidRDefault="002A3942">
      <w:pPr>
        <w:pStyle w:val="BodyText"/>
        <w:spacing w:line="480" w:lineRule="auto"/>
        <w:ind w:left="119" w:right="118"/>
        <w:jc w:val="both"/>
      </w:pPr>
      <w:r>
        <w:rPr>
          <w:i/>
        </w:rPr>
        <w:t xml:space="preserve">Cryptosporidiosis </w:t>
      </w:r>
      <w:r>
        <w:t>causes substantial health and economic issues for the livestock industry, particularly affecting</w:t>
      </w:r>
      <w:r>
        <w:rPr>
          <w:spacing w:val="-3"/>
        </w:rPr>
        <w:t xml:space="preserve"> </w:t>
      </w:r>
      <w:r>
        <w:t>newborn calves. This study investigates</w:t>
      </w:r>
      <w:r>
        <w:rPr>
          <w:spacing w:val="-4"/>
        </w:rPr>
        <w:t xml:space="preserve"> </w:t>
      </w:r>
      <w:r>
        <w:t>the effectiveness of</w:t>
      </w:r>
      <w:r>
        <w:rPr>
          <w:spacing w:val="-9"/>
        </w:rPr>
        <w:t xml:space="preserve"> </w:t>
      </w:r>
      <w:r>
        <w:t>probiotic</w:t>
      </w:r>
      <w:r>
        <w:rPr>
          <w:spacing w:val="-9"/>
        </w:rPr>
        <w:t xml:space="preserve"> </w:t>
      </w:r>
      <w:r>
        <w:t>supplementation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reducing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prevalence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severity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i/>
        </w:rPr>
        <w:t xml:space="preserve">Cryptosporidium </w:t>
      </w:r>
      <w:r>
        <w:t>infections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calves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setting.</w:t>
      </w:r>
      <w:r>
        <w:rPr>
          <w:spacing w:val="-4"/>
        </w:rPr>
        <w:t xml:space="preserve"> </w:t>
      </w:r>
      <w:r>
        <w:t>Probiotics,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 benefits</w:t>
      </w:r>
      <w:r>
        <w:rPr>
          <w:spacing w:val="80"/>
        </w:rPr>
        <w:t xml:space="preserve"> </w:t>
      </w:r>
      <w:r>
        <w:t>on</w:t>
      </w:r>
      <w:r>
        <w:rPr>
          <w:spacing w:val="80"/>
        </w:rPr>
        <w:t xml:space="preserve"> </w:t>
      </w:r>
      <w:r>
        <w:t>gastrointestinal</w:t>
      </w:r>
      <w:r>
        <w:rPr>
          <w:spacing w:val="80"/>
        </w:rPr>
        <w:t xml:space="preserve"> </w:t>
      </w:r>
      <w:r>
        <w:t>health,</w:t>
      </w:r>
      <w:r>
        <w:rPr>
          <w:spacing w:val="80"/>
        </w:rPr>
        <w:t xml:space="preserve"> </w:t>
      </w:r>
      <w:r>
        <w:t>have</w:t>
      </w:r>
      <w:r>
        <w:rPr>
          <w:spacing w:val="80"/>
        </w:rPr>
        <w:t xml:space="preserve"> </w:t>
      </w:r>
      <w:r>
        <w:t>been</w:t>
      </w:r>
      <w:r>
        <w:rPr>
          <w:spacing w:val="80"/>
        </w:rPr>
        <w:t xml:space="preserve"> </w:t>
      </w:r>
      <w:r>
        <w:t>suggested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therapeutic therapy</w:t>
      </w:r>
      <w:r>
        <w:rPr>
          <w:spacing w:val="-3"/>
        </w:rPr>
        <w:t xml:space="preserve"> </w:t>
      </w:r>
      <w:r>
        <w:t xml:space="preserve">against </w:t>
      </w:r>
      <w:r>
        <w:rPr>
          <w:i/>
        </w:rPr>
        <w:t xml:space="preserve">Cryptosporidium </w:t>
      </w:r>
      <w:r>
        <w:t xml:space="preserve">due to their impact on gut microbiota and immune </w:t>
      </w:r>
      <w:r>
        <w:rPr>
          <w:spacing w:val="-2"/>
        </w:rPr>
        <w:t>response.</w:t>
      </w:r>
    </w:p>
    <w:p w14:paraId="41A72C57" w14:textId="77777777" w:rsidR="00576C81" w:rsidRDefault="00576C81">
      <w:pPr>
        <w:pStyle w:val="BodyText"/>
      </w:pPr>
    </w:p>
    <w:p w14:paraId="41A72C58" w14:textId="77777777" w:rsidR="00576C81" w:rsidRDefault="00576C81">
      <w:pPr>
        <w:pStyle w:val="BodyText"/>
      </w:pPr>
    </w:p>
    <w:p w14:paraId="41A72C59" w14:textId="77777777" w:rsidR="00576C81" w:rsidRDefault="002A3942">
      <w:pPr>
        <w:pStyle w:val="BodyText"/>
        <w:spacing w:line="480" w:lineRule="auto"/>
        <w:ind w:left="119" w:right="118"/>
        <w:jc w:val="both"/>
      </w:pPr>
      <w:r>
        <w:t>The</w:t>
      </w:r>
      <w:r>
        <w:rPr>
          <w:spacing w:val="29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conducted</w:t>
      </w:r>
      <w:r>
        <w:rPr>
          <w:spacing w:val="29"/>
        </w:rPr>
        <w:t xml:space="preserve"> </w:t>
      </w:r>
      <w:r>
        <w:t>over</w:t>
      </w:r>
      <w:r>
        <w:rPr>
          <w:spacing w:val="29"/>
        </w:rPr>
        <w:t xml:space="preserve"> </w:t>
      </w:r>
      <w:r>
        <w:t>6</w:t>
      </w:r>
      <w:r>
        <w:rPr>
          <w:spacing w:val="29"/>
        </w:rPr>
        <w:t xml:space="preserve"> </w:t>
      </w:r>
      <w:r>
        <w:t>weeks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commercial</w:t>
      </w:r>
      <w:r>
        <w:rPr>
          <w:spacing w:val="29"/>
        </w:rPr>
        <w:t xml:space="preserve"> </w:t>
      </w:r>
      <w:r>
        <w:t>dairy</w:t>
      </w:r>
      <w:r>
        <w:rPr>
          <w:spacing w:val="-2"/>
        </w:rPr>
        <w:t xml:space="preserve"> </w:t>
      </w:r>
      <w:r>
        <w:t>farm,</w:t>
      </w:r>
      <w:r>
        <w:rPr>
          <w:spacing w:val="29"/>
        </w:rPr>
        <w:t xml:space="preserve"> </w:t>
      </w:r>
      <w:r>
        <w:t>involved 50</w:t>
      </w:r>
      <w:r>
        <w:rPr>
          <w:spacing w:val="-2"/>
        </w:rPr>
        <w:t xml:space="preserve"> </w:t>
      </w:r>
      <w:r>
        <w:t>calves systematically</w:t>
      </w:r>
      <w:r>
        <w:rPr>
          <w:spacing w:val="-2"/>
        </w:rPr>
        <w:t xml:space="preserve"> </w:t>
      </w:r>
      <w:r>
        <w:t>separated into treatment and control groups. Probiotic supplementation was administered to the treatment group following</w:t>
      </w:r>
      <w:r>
        <w:rPr>
          <w:spacing w:val="-3"/>
        </w:rPr>
        <w:t xml:space="preserve"> </w:t>
      </w:r>
      <w:r>
        <w:t>manufacturer guidelines.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collecting</w:t>
      </w:r>
      <w:r>
        <w:rPr>
          <w:spacing w:val="-15"/>
        </w:rPr>
        <w:t xml:space="preserve"> </w:t>
      </w:r>
      <w:r>
        <w:t>methodologies</w:t>
      </w:r>
      <w:r>
        <w:rPr>
          <w:spacing w:val="-15"/>
        </w:rPr>
        <w:t xml:space="preserve"> </w:t>
      </w:r>
      <w:r>
        <w:t>included</w:t>
      </w:r>
      <w:r>
        <w:rPr>
          <w:spacing w:val="-15"/>
        </w:rPr>
        <w:t xml:space="preserve"> </w:t>
      </w:r>
      <w:proofErr w:type="spellStart"/>
      <w:r>
        <w:t>faecal</w:t>
      </w:r>
      <w:proofErr w:type="spellEnd"/>
      <w:r>
        <w:rPr>
          <w:spacing w:val="-15"/>
        </w:rPr>
        <w:t xml:space="preserve"> </w:t>
      </w:r>
      <w:r>
        <w:t>sample</w:t>
      </w:r>
      <w:r>
        <w:rPr>
          <w:spacing w:val="-15"/>
        </w:rPr>
        <w:t xml:space="preserve"> </w:t>
      </w:r>
      <w:r>
        <w:t>testing,</w:t>
      </w:r>
      <w:r>
        <w:rPr>
          <w:spacing w:val="-15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confirm the presence of </w:t>
      </w:r>
      <w:r>
        <w:rPr>
          <w:i/>
        </w:rPr>
        <w:t>Cryptosporidium</w:t>
      </w:r>
      <w:r>
        <w:t xml:space="preserve">, as well as to confirm that </w:t>
      </w:r>
      <w:r>
        <w:rPr>
          <w:i/>
        </w:rPr>
        <w:t xml:space="preserve">Cryptosporidium </w:t>
      </w:r>
      <w:r>
        <w:t xml:space="preserve">was the causative agent of </w:t>
      </w:r>
      <w:proofErr w:type="spellStart"/>
      <w:r>
        <w:t>diarrhoea</w:t>
      </w:r>
      <w:proofErr w:type="spellEnd"/>
      <w:r>
        <w:t xml:space="preserve"> amongst the calves. Scour scoring, body weight measurements, and body</w:t>
      </w:r>
      <w:r>
        <w:rPr>
          <w:spacing w:val="-2"/>
        </w:rPr>
        <w:t xml:space="preserve"> </w:t>
      </w:r>
      <w:r>
        <w:t>te</w:t>
      </w:r>
      <w:r>
        <w:t>mperature were also monitored and recorded to compare the severity of symptoms amongst groups.</w:t>
      </w:r>
    </w:p>
    <w:p w14:paraId="41A72C5A" w14:textId="77777777" w:rsidR="00576C81" w:rsidRDefault="002A3942">
      <w:pPr>
        <w:pStyle w:val="BodyText"/>
        <w:spacing w:before="274" w:line="480" w:lineRule="auto"/>
        <w:ind w:left="119" w:right="118"/>
        <w:jc w:val="both"/>
      </w:pPr>
      <w:r>
        <w:t xml:space="preserve">Results indicated a significant decrease in </w:t>
      </w:r>
      <w:r>
        <w:rPr>
          <w:i/>
        </w:rPr>
        <w:t xml:space="preserve">Cryptosporidium </w:t>
      </w:r>
      <w:r>
        <w:t>prevalence in the treatment group, as well as significant impacts on milk consumption, temperature regulation and weight gain (p &lt; 0.05). Probiotic supplementation resulted in greater morning milk consumption</w:t>
      </w:r>
      <w:r>
        <w:rPr>
          <w:spacing w:val="-3"/>
        </w:rPr>
        <w:t xml:space="preserve"> </w:t>
      </w:r>
      <w:r>
        <w:t>(Estimate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0.327</w:t>
      </w:r>
      <w:r>
        <w:rPr>
          <w:spacing w:val="-3"/>
        </w:rPr>
        <w:t xml:space="preserve"> </w:t>
      </w:r>
      <w:proofErr w:type="spellStart"/>
      <w:r>
        <w:t>litres</w:t>
      </w:r>
      <w:proofErr w:type="spellEnd"/>
      <w:r>
        <w:t>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0.046</w:t>
      </w:r>
      <w:r>
        <w:rPr>
          <w:spacing w:val="-3"/>
        </w:rPr>
        <w:t xml:space="preserve"> </w:t>
      </w:r>
      <w:proofErr w:type="spellStart"/>
      <w:r>
        <w:t>litres</w:t>
      </w:r>
      <w:proofErr w:type="spellEnd"/>
      <w:r>
        <w:t>,</w:t>
      </w:r>
      <w:r>
        <w:rPr>
          <w:spacing w:val="-3"/>
        </w:rPr>
        <w:t xml:space="preserve"> </w:t>
      </w:r>
      <w:r>
        <w:t>t-value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7.145,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0.0001)</w:t>
      </w:r>
      <w:r>
        <w:rPr>
          <w:spacing w:val="-3"/>
        </w:rPr>
        <w:t xml:space="preserve"> </w:t>
      </w:r>
      <w:r>
        <w:t>and evening</w:t>
      </w:r>
      <w:r>
        <w:rPr>
          <w:spacing w:val="-2"/>
        </w:rPr>
        <w:t xml:space="preserve"> </w:t>
      </w:r>
      <w:r>
        <w:t>milk</w:t>
      </w:r>
      <w:r>
        <w:rPr>
          <w:spacing w:val="-2"/>
        </w:rPr>
        <w:t xml:space="preserve"> </w:t>
      </w:r>
      <w:r>
        <w:t>consumption</w:t>
      </w:r>
      <w:r>
        <w:rPr>
          <w:spacing w:val="-2"/>
        </w:rPr>
        <w:t xml:space="preserve"> </w:t>
      </w:r>
      <w:r>
        <w:t>(Estimate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0.1847</w:t>
      </w:r>
      <w:r>
        <w:rPr>
          <w:spacing w:val="-2"/>
        </w:rPr>
        <w:t xml:space="preserve"> </w:t>
      </w:r>
      <w:proofErr w:type="spellStart"/>
      <w:r>
        <w:t>litres</w:t>
      </w:r>
      <w:proofErr w:type="spellEnd"/>
      <w:r>
        <w:t>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0.0446</w:t>
      </w:r>
      <w:r>
        <w:rPr>
          <w:spacing w:val="-2"/>
        </w:rPr>
        <w:t xml:space="preserve"> </w:t>
      </w:r>
      <w:proofErr w:type="spellStart"/>
      <w:r>
        <w:t>litres</w:t>
      </w:r>
      <w:proofErr w:type="spellEnd"/>
      <w:r>
        <w:t>,</w:t>
      </w:r>
      <w:r>
        <w:rPr>
          <w:spacing w:val="-2"/>
        </w:rPr>
        <w:t xml:space="preserve"> </w:t>
      </w:r>
      <w:r>
        <w:t>t-value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4.139, p</w:t>
      </w:r>
      <w:r>
        <w:rPr>
          <w:spacing w:val="-13"/>
        </w:rPr>
        <w:t xml:space="preserve"> </w:t>
      </w:r>
      <w:r>
        <w:t>&lt;</w:t>
      </w:r>
      <w:r>
        <w:rPr>
          <w:spacing w:val="-13"/>
        </w:rPr>
        <w:t xml:space="preserve"> </w:t>
      </w:r>
      <w:r>
        <w:t>0.0001).</w:t>
      </w:r>
      <w:r>
        <w:rPr>
          <w:spacing w:val="-13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findings</w:t>
      </w:r>
      <w:r>
        <w:rPr>
          <w:spacing w:val="-13"/>
        </w:rPr>
        <w:t xml:space="preserve"> </w:t>
      </w:r>
      <w:r>
        <w:t>demonstrate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positive</w:t>
      </w:r>
      <w:r>
        <w:rPr>
          <w:spacing w:val="-13"/>
        </w:rPr>
        <w:t xml:space="preserve"> </w:t>
      </w:r>
      <w:r>
        <w:t>impact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probiotic</w:t>
      </w:r>
      <w:r>
        <w:rPr>
          <w:spacing w:val="-13"/>
        </w:rPr>
        <w:t xml:space="preserve"> </w:t>
      </w:r>
      <w:r>
        <w:t xml:space="preserve">supplementation on feeding </w:t>
      </w:r>
      <w:proofErr w:type="spellStart"/>
      <w:r>
        <w:t>behaviour</w:t>
      </w:r>
      <w:proofErr w:type="spellEnd"/>
      <w:r>
        <w:t>.</w:t>
      </w:r>
    </w:p>
    <w:p w14:paraId="41A72C5B" w14:textId="77777777" w:rsidR="00576C81" w:rsidRDefault="00576C81">
      <w:pPr>
        <w:spacing w:line="480" w:lineRule="auto"/>
        <w:jc w:val="both"/>
        <w:sectPr w:rsidR="00576C81">
          <w:footerReference w:type="default" r:id="rId6"/>
          <w:pgSz w:w="11910" w:h="16840"/>
          <w:pgMar w:top="1360" w:right="1580" w:bottom="960" w:left="1580" w:header="0" w:footer="777" w:gutter="0"/>
          <w:pgNumType w:start="2"/>
          <w:cols w:space="720"/>
        </w:sectPr>
      </w:pPr>
    </w:p>
    <w:p w14:paraId="41A72C5C" w14:textId="77777777" w:rsidR="00576C81" w:rsidRDefault="002A3942">
      <w:pPr>
        <w:pStyle w:val="BodyText"/>
        <w:spacing w:before="63" w:line="480" w:lineRule="auto"/>
        <w:ind w:left="119" w:right="118"/>
        <w:jc w:val="both"/>
      </w:pPr>
      <w:r>
        <w:lastRenderedPageBreak/>
        <w:t>Temperature regulation in treated calves was notably improved, as evidenced by lower temperatures compared to the control group (Estimate = -</w:t>
      </w:r>
      <w:proofErr w:type="spellStart"/>
      <w:r>
        <w:t>0.36°C</w:t>
      </w:r>
      <w:proofErr w:type="spellEnd"/>
      <w:r>
        <w:t xml:space="preserve">, SE = </w:t>
      </w:r>
      <w:proofErr w:type="spellStart"/>
      <w:r>
        <w:t>0.09°C</w:t>
      </w:r>
      <w:proofErr w:type="spellEnd"/>
      <w:r>
        <w:t>, p = 0.0052). Additionally, the analysis of scour scores revealed a significant effect of the treatment on reducing scour severity (Estimate = -1.83, z = -8.25, p &lt; 0.001). Despite variations in breed, sex, and pen, the probiotic supplementation consistently resulted in lower scour scores, indicating improved gastrointestinal health and reduced disease severity.</w:t>
      </w:r>
      <w:r>
        <w:rPr>
          <w:spacing w:val="-8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effects</w:t>
      </w:r>
      <w:r>
        <w:rPr>
          <w:spacing w:val="-8"/>
        </w:rPr>
        <w:t xml:space="preserve"> </w:t>
      </w:r>
      <w:r>
        <w:t>varied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age,</w:t>
      </w:r>
      <w:r>
        <w:rPr>
          <w:spacing w:val="-8"/>
        </w:rPr>
        <w:t xml:space="preserve"> </w:t>
      </w:r>
      <w:r>
        <w:t>suggesting</w:t>
      </w:r>
      <w:r>
        <w:rPr>
          <w:spacing w:val="-8"/>
        </w:rPr>
        <w:t xml:space="preserve"> </w:t>
      </w:r>
      <w:r>
        <w:t>dynamic</w:t>
      </w:r>
      <w:r>
        <w:rPr>
          <w:spacing w:val="-8"/>
        </w:rPr>
        <w:t xml:space="preserve"> </w:t>
      </w:r>
      <w:r>
        <w:t>responses</w:t>
      </w:r>
      <w:r>
        <w:rPr>
          <w:spacing w:val="-8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study period. Post-hoc comparisons identified significant temperature changes at ages 7, 8, 9, 10,</w:t>
      </w:r>
      <w:r>
        <w:rPr>
          <w:spacing w:val="-4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(p</w:t>
      </w:r>
      <w:r>
        <w:rPr>
          <w:spacing w:val="-4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0.05),</w:t>
      </w:r>
      <w:r>
        <w:rPr>
          <w:spacing w:val="-4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infection,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symptoms vary over time.</w:t>
      </w:r>
    </w:p>
    <w:p w14:paraId="41A72C5D" w14:textId="77777777" w:rsidR="00576C81" w:rsidRDefault="00576C81">
      <w:pPr>
        <w:pStyle w:val="BodyText"/>
      </w:pPr>
    </w:p>
    <w:p w14:paraId="41A72C5E" w14:textId="77777777" w:rsidR="00576C81" w:rsidRDefault="00576C81">
      <w:pPr>
        <w:pStyle w:val="BodyText"/>
      </w:pPr>
    </w:p>
    <w:p w14:paraId="41A72C5F" w14:textId="77777777" w:rsidR="00576C81" w:rsidRDefault="002A3942">
      <w:pPr>
        <w:pStyle w:val="BodyText"/>
        <w:spacing w:line="480" w:lineRule="auto"/>
        <w:ind w:left="119" w:right="117" w:hanging="1"/>
        <w:jc w:val="both"/>
      </w:pPr>
      <w:r>
        <w:t>This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probiotic</w:t>
      </w:r>
      <w:r>
        <w:rPr>
          <w:spacing w:val="-1"/>
        </w:rPr>
        <w:t xml:space="preserve"> </w:t>
      </w:r>
      <w:r>
        <w:t>supplementation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viable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 xml:space="preserve">for reducing </w:t>
      </w:r>
      <w:r>
        <w:rPr>
          <w:i/>
        </w:rPr>
        <w:t xml:space="preserve">Cryptosporidium </w:t>
      </w:r>
      <w:r>
        <w:t xml:space="preserve">infections in young calves, opening up new possibilities for improved livestock health and economic sustainability in the agricultural industry. Further research into probiotic mechanisms and long-term effects is needed to </w:t>
      </w:r>
      <w:proofErr w:type="spellStart"/>
      <w:r>
        <w:t>optimise</w:t>
      </w:r>
      <w:proofErr w:type="spellEnd"/>
      <w:r>
        <w:t xml:space="preserve"> their use in cattle management methods.</w:t>
      </w:r>
    </w:p>
    <w:p w14:paraId="41A72C60" w14:textId="77777777" w:rsidR="00576C81" w:rsidRDefault="00576C81">
      <w:pPr>
        <w:pStyle w:val="BodyText"/>
      </w:pPr>
    </w:p>
    <w:p w14:paraId="41A72C61" w14:textId="77777777" w:rsidR="00576C81" w:rsidRDefault="00576C81">
      <w:pPr>
        <w:pStyle w:val="BodyText"/>
      </w:pPr>
    </w:p>
    <w:p w14:paraId="41A72C62" w14:textId="77777777" w:rsidR="00576C81" w:rsidRDefault="002A3942">
      <w:pPr>
        <w:pStyle w:val="BodyText"/>
        <w:spacing w:before="1"/>
        <w:ind w:left="119"/>
        <w:jc w:val="both"/>
      </w:pPr>
      <w:r>
        <w:t xml:space="preserve">Word count: </w:t>
      </w:r>
      <w:r>
        <w:rPr>
          <w:spacing w:val="-4"/>
        </w:rPr>
        <w:t>8825</w:t>
      </w:r>
    </w:p>
    <w:sectPr w:rsidR="00576C81">
      <w:pgSz w:w="11910" w:h="16840"/>
      <w:pgMar w:top="1360" w:right="1580" w:bottom="960" w:left="15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2C68" w14:textId="77777777" w:rsidR="002A3942" w:rsidRDefault="002A3942">
      <w:r>
        <w:separator/>
      </w:r>
    </w:p>
  </w:endnote>
  <w:endnote w:type="continuationSeparator" w:id="0">
    <w:p w14:paraId="41A72C6A" w14:textId="77777777" w:rsidR="002A3942" w:rsidRDefault="002A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2C63" w14:textId="77777777" w:rsidR="00576C81" w:rsidRDefault="002A39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41A72C64" wp14:editId="41A72C65">
              <wp:simplePos x="0" y="0"/>
              <wp:positionH relativeFrom="page">
                <wp:posOffset>6365747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72C66" w14:textId="77777777" w:rsidR="00576C81" w:rsidRDefault="002A3942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72C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25pt;margin-top:792.05pt;width:13pt;height:15.3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0svFhuIAAAAP&#10;AQAADwAAAAAAAAAAAAAAAADsAwAAZHJzL2Rvd25yZXYueG1sUEsFBgAAAAAEAAQA8wAAAPsEAAAA&#10;AA==&#10;" filled="f" stroked="f">
              <v:textbox inset="0,0,0,0">
                <w:txbxContent>
                  <w:p w14:paraId="41A72C66" w14:textId="77777777" w:rsidR="00576C81" w:rsidRDefault="002A3942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2C64" w14:textId="77777777" w:rsidR="002A3942" w:rsidRDefault="002A3942">
      <w:r>
        <w:separator/>
      </w:r>
    </w:p>
  </w:footnote>
  <w:footnote w:type="continuationSeparator" w:id="0">
    <w:p w14:paraId="41A72C66" w14:textId="77777777" w:rsidR="002A3942" w:rsidRDefault="002A3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81"/>
    <w:rsid w:val="00215B1B"/>
    <w:rsid w:val="002A3942"/>
    <w:rsid w:val="0057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2C39"/>
  <w15:docId w15:val="{121C7A80-5721-4862-B484-04210FFE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98" w:right="622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Mitchell</dc:creator>
  <cp:lastModifiedBy>Maggie Mitchell</cp:lastModifiedBy>
  <cp:revision>2</cp:revision>
  <dcterms:created xsi:type="dcterms:W3CDTF">2025-02-25T08:04:00Z</dcterms:created>
  <dcterms:modified xsi:type="dcterms:W3CDTF">2025-02-25T08:04:00Z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macOS Version 11.6.6 (Build 20G624) Quartz PDFContext</vt:lpwstr>
  </property>
</Properties>
</file>