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C79B" w14:textId="7B2B26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7C9ECB3" w14:textId="06424224" w:rsidR="007B30E3" w:rsidRPr="00CC3E79" w:rsidRDefault="00CC3E79">
      <w:pPr>
        <w:rPr>
          <w:bCs/>
          <w:lang w:val="en-IE"/>
        </w:rPr>
      </w:pPr>
      <w:r w:rsidRPr="00CC3E79">
        <w:rPr>
          <w:bCs/>
          <w:lang w:val="en-IE"/>
        </w:rPr>
        <w:t xml:space="preserve">Ear necrosis is a </w:t>
      </w:r>
      <w:r w:rsidR="006F4EAE">
        <w:rPr>
          <w:bCs/>
          <w:lang w:val="en-IE"/>
        </w:rPr>
        <w:t xml:space="preserve">major </w:t>
      </w:r>
      <w:r w:rsidRPr="00CC3E79">
        <w:rPr>
          <w:bCs/>
          <w:lang w:val="en-IE"/>
        </w:rPr>
        <w:t xml:space="preserve">welfare concern in </w:t>
      </w:r>
      <w:r w:rsidR="006F4EAE">
        <w:rPr>
          <w:bCs/>
          <w:lang w:val="en-IE"/>
        </w:rPr>
        <w:t xml:space="preserve">Irish </w:t>
      </w:r>
      <w:r w:rsidRPr="00CC3E79">
        <w:rPr>
          <w:bCs/>
          <w:lang w:val="en-IE"/>
        </w:rPr>
        <w:t xml:space="preserve">pigs. However, little </w:t>
      </w:r>
      <w:proofErr w:type="gramStart"/>
      <w:r w:rsidRPr="00CC3E79">
        <w:rPr>
          <w:bCs/>
          <w:lang w:val="en-IE"/>
        </w:rPr>
        <w:t>is known</w:t>
      </w:r>
      <w:proofErr w:type="gramEnd"/>
      <w:r w:rsidRPr="00CC3E79">
        <w:rPr>
          <w:bCs/>
          <w:lang w:val="en-IE"/>
        </w:rPr>
        <w:t xml:space="preserve"> about </w:t>
      </w:r>
      <w:r w:rsidR="006F4EAE">
        <w:rPr>
          <w:bCs/>
          <w:lang w:val="en-IE"/>
        </w:rPr>
        <w:t xml:space="preserve">physiological alterations associated with the disease. </w:t>
      </w:r>
      <w:r w:rsidRPr="00CC3E79">
        <w:rPr>
          <w:bCs/>
          <w:lang w:val="en-IE"/>
        </w:rPr>
        <w:t xml:space="preserve">This study investigated the use of oral fluid biomarkers to determine systemic alterations </w:t>
      </w:r>
      <w:r w:rsidR="006F4EAE">
        <w:rPr>
          <w:bCs/>
          <w:lang w:val="en-IE"/>
        </w:rPr>
        <w:t xml:space="preserve">in markers of inflammation, stress and immune function </w:t>
      </w:r>
      <w:r w:rsidRPr="00CC3E79">
        <w:rPr>
          <w:bCs/>
          <w:lang w:val="en-IE"/>
        </w:rPr>
        <w:t>in pigs with ear necrosis.</w:t>
      </w:r>
    </w:p>
    <w:p w14:paraId="5E9F33D1" w14:textId="5CDACFA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3069D852" w:rsidR="007B30E3" w:rsidRPr="00CC3E79" w:rsidRDefault="00CC3E79">
      <w:pPr>
        <w:rPr>
          <w:bCs/>
          <w:lang w:val="en-US"/>
        </w:rPr>
      </w:pPr>
      <w:r w:rsidRPr="00CC3E79">
        <w:rPr>
          <w:bCs/>
          <w:lang w:val="en-US"/>
        </w:rPr>
        <w:t xml:space="preserve">Ear necrosis presents as scabbed and bleeding sections of the ear tip that vary in severity </w:t>
      </w:r>
      <w:r w:rsidR="006F4EAE">
        <w:rPr>
          <w:bCs/>
          <w:lang w:val="en-US"/>
        </w:rPr>
        <w:t xml:space="preserve">but which </w:t>
      </w:r>
      <w:r w:rsidRPr="00CC3E79">
        <w:rPr>
          <w:bCs/>
          <w:lang w:val="en-US"/>
        </w:rPr>
        <w:t xml:space="preserve">can progress </w:t>
      </w:r>
      <w:r w:rsidR="006F4EAE">
        <w:rPr>
          <w:bCs/>
          <w:lang w:val="en-US"/>
        </w:rPr>
        <w:t xml:space="preserve">to the stage </w:t>
      </w:r>
      <w:r w:rsidRPr="00CC3E79">
        <w:rPr>
          <w:bCs/>
          <w:lang w:val="en-US"/>
        </w:rPr>
        <w:t xml:space="preserve">that the ear </w:t>
      </w:r>
      <w:r w:rsidR="006F4EAE">
        <w:rPr>
          <w:bCs/>
          <w:lang w:val="en-US"/>
        </w:rPr>
        <w:t xml:space="preserve">structure is </w:t>
      </w:r>
      <w:r w:rsidRPr="00CC3E79">
        <w:rPr>
          <w:bCs/>
          <w:lang w:val="en-US"/>
        </w:rPr>
        <w:t>degrade</w:t>
      </w:r>
      <w:r w:rsidR="006F4EAE">
        <w:rPr>
          <w:bCs/>
          <w:lang w:val="en-US"/>
        </w:rPr>
        <w:t>d</w:t>
      </w:r>
      <w:r>
        <w:rPr>
          <w:bCs/>
          <w:lang w:val="en-US"/>
        </w:rPr>
        <w:t xml:space="preserve"> (Richardson et al., 1984)</w:t>
      </w:r>
      <w:r w:rsidRPr="00CC3E79">
        <w:rPr>
          <w:bCs/>
          <w:lang w:val="en-US"/>
        </w:rPr>
        <w:t xml:space="preserve">. </w:t>
      </w:r>
      <w:r w:rsidR="006F4EAE">
        <w:rPr>
          <w:bCs/>
          <w:lang w:val="en-US"/>
        </w:rPr>
        <w:t xml:space="preserve">Affected pigs clearly suffer from </w:t>
      </w:r>
      <w:r w:rsidR="008F187F">
        <w:rPr>
          <w:bCs/>
          <w:lang w:val="en-US"/>
        </w:rPr>
        <w:t xml:space="preserve">a health and </w:t>
      </w:r>
      <w:r w:rsidR="006F4EAE">
        <w:rPr>
          <w:bCs/>
          <w:lang w:val="en-US"/>
        </w:rPr>
        <w:t xml:space="preserve">welfare </w:t>
      </w:r>
      <w:r w:rsidR="008F187F">
        <w:rPr>
          <w:bCs/>
          <w:lang w:val="en-US"/>
        </w:rPr>
        <w:t xml:space="preserve">point of view </w:t>
      </w:r>
      <w:r w:rsidR="006F4EAE">
        <w:rPr>
          <w:bCs/>
          <w:lang w:val="en-US"/>
        </w:rPr>
        <w:t>but t</w:t>
      </w:r>
      <w:r w:rsidR="006F4EAE" w:rsidRPr="00CC3E79">
        <w:rPr>
          <w:bCs/>
          <w:lang w:val="en-US"/>
        </w:rPr>
        <w:t>he</w:t>
      </w:r>
      <w:r w:rsidR="006F4EAE">
        <w:rPr>
          <w:bCs/>
          <w:lang w:val="en-US"/>
        </w:rPr>
        <w:t>re is</w:t>
      </w:r>
      <w:r w:rsidR="006F4EAE" w:rsidRPr="00CC3E79">
        <w:rPr>
          <w:bCs/>
          <w:lang w:val="en-US"/>
        </w:rPr>
        <w:t xml:space="preserve"> limited </w:t>
      </w:r>
      <w:r w:rsidR="006F4EAE">
        <w:rPr>
          <w:bCs/>
          <w:lang w:val="en-US"/>
        </w:rPr>
        <w:t>information on the associated</w:t>
      </w:r>
      <w:r w:rsidR="008F187F">
        <w:rPr>
          <w:bCs/>
          <w:lang w:val="en-US"/>
        </w:rPr>
        <w:t xml:space="preserve"> physiological alterations and</w:t>
      </w:r>
      <w:r w:rsidR="006F4EAE">
        <w:rPr>
          <w:bCs/>
          <w:lang w:val="en-US"/>
        </w:rPr>
        <w:t xml:space="preserve"> implications for pig performance. Some</w:t>
      </w:r>
      <w:r w:rsidRPr="00CC3E79">
        <w:rPr>
          <w:bCs/>
          <w:lang w:val="en-US"/>
        </w:rPr>
        <w:t xml:space="preserve"> pigs may suffer from </w:t>
      </w:r>
      <w:r w:rsidR="006F4EAE">
        <w:rPr>
          <w:bCs/>
          <w:lang w:val="en-US"/>
        </w:rPr>
        <w:t xml:space="preserve">a failure to thrive </w:t>
      </w:r>
      <w:r w:rsidRPr="00CC3E79">
        <w:rPr>
          <w:bCs/>
          <w:lang w:val="en-US"/>
        </w:rPr>
        <w:t>and lameness</w:t>
      </w:r>
      <w:r>
        <w:rPr>
          <w:bCs/>
          <w:lang w:val="en-US"/>
        </w:rPr>
        <w:t xml:space="preserve"> (</w:t>
      </w:r>
      <w:proofErr w:type="spellStart"/>
      <w:proofErr w:type="gramStart"/>
      <w:r w:rsidR="00355676" w:rsidRPr="00355676">
        <w:rPr>
          <w:bCs/>
          <w:lang w:val="en-IE"/>
        </w:rPr>
        <w:t>Papatsiros</w:t>
      </w:r>
      <w:proofErr w:type="spellEnd"/>
      <w:r w:rsidR="00355676" w:rsidRPr="00355676">
        <w:rPr>
          <w:bCs/>
          <w:lang w:val="en-IE"/>
        </w:rPr>
        <w:t>.,</w:t>
      </w:r>
      <w:proofErr w:type="gramEnd"/>
      <w:r w:rsidR="00355676" w:rsidRPr="00355676">
        <w:rPr>
          <w:bCs/>
          <w:lang w:val="en-IE"/>
        </w:rPr>
        <w:t xml:space="preserve"> 2011</w:t>
      </w:r>
      <w:r>
        <w:rPr>
          <w:bCs/>
          <w:lang w:val="en-US"/>
        </w:rPr>
        <w:t>)</w:t>
      </w:r>
      <w:r w:rsidR="004533CF">
        <w:rPr>
          <w:bCs/>
          <w:lang w:val="en-US"/>
        </w:rPr>
        <w:t xml:space="preserve"> and</w:t>
      </w:r>
      <w:r w:rsidRPr="00CC3E79">
        <w:rPr>
          <w:bCs/>
          <w:lang w:val="en-US"/>
        </w:rPr>
        <w:t xml:space="preserve"> </w:t>
      </w:r>
      <w:r w:rsidR="006F4EAE">
        <w:rPr>
          <w:bCs/>
          <w:lang w:val="en-US"/>
        </w:rPr>
        <w:t xml:space="preserve">there is </w:t>
      </w:r>
      <w:r w:rsidRPr="00CC3E79">
        <w:rPr>
          <w:bCs/>
          <w:lang w:val="en-US"/>
        </w:rPr>
        <w:t>an association between ear necrosis in growing pigs and pericarditis at slaughter</w:t>
      </w:r>
      <w:r>
        <w:rPr>
          <w:bCs/>
          <w:lang w:val="en-US"/>
        </w:rPr>
        <w:t xml:space="preserve"> (Pessoa et al., 2021)</w:t>
      </w:r>
      <w:r w:rsidR="004533CF">
        <w:rPr>
          <w:bCs/>
          <w:lang w:val="en-US"/>
        </w:rPr>
        <w:t xml:space="preserve">. </w:t>
      </w:r>
      <w:r w:rsidR="006F4EAE">
        <w:rPr>
          <w:bCs/>
          <w:lang w:val="en-US"/>
        </w:rPr>
        <w:t>This</w:t>
      </w:r>
      <w:r w:rsidR="004533CF">
        <w:rPr>
          <w:bCs/>
          <w:lang w:val="en-US"/>
        </w:rPr>
        <w:t xml:space="preserve"> </w:t>
      </w:r>
      <w:r w:rsidR="00355676">
        <w:rPr>
          <w:bCs/>
          <w:lang w:val="en-US"/>
        </w:rPr>
        <w:t xml:space="preserve">could be due to pathogens entering the </w:t>
      </w:r>
      <w:r w:rsidR="006F4EAE">
        <w:rPr>
          <w:bCs/>
          <w:lang w:val="en-US"/>
        </w:rPr>
        <w:t xml:space="preserve">lesions on the ear </w:t>
      </w:r>
      <w:r w:rsidR="00355676">
        <w:rPr>
          <w:bCs/>
          <w:lang w:val="en-US"/>
        </w:rPr>
        <w:t xml:space="preserve">and causing secondary disease (Boyle et al., 2022). </w:t>
      </w:r>
      <w:r w:rsidRPr="00CC3E79">
        <w:rPr>
          <w:bCs/>
          <w:lang w:val="en-US"/>
        </w:rPr>
        <w:t>However, the mechanisms behind th</w:t>
      </w:r>
      <w:r w:rsidR="004533CF">
        <w:rPr>
          <w:bCs/>
          <w:lang w:val="en-US"/>
        </w:rPr>
        <w:t>ese relationships are unknown and i</w:t>
      </w:r>
      <w:r w:rsidRPr="00CC3E79">
        <w:rPr>
          <w:bCs/>
          <w:lang w:val="en-US"/>
        </w:rPr>
        <w:t xml:space="preserve">t </w:t>
      </w:r>
      <w:proofErr w:type="gramStart"/>
      <w:r w:rsidRPr="00CC3E79">
        <w:rPr>
          <w:bCs/>
          <w:lang w:val="en-US"/>
        </w:rPr>
        <w:t xml:space="preserve">is not fully </w:t>
      </w:r>
      <w:r w:rsidR="006F4EAE">
        <w:rPr>
          <w:bCs/>
          <w:lang w:val="en-US"/>
        </w:rPr>
        <w:t>established</w:t>
      </w:r>
      <w:proofErr w:type="gramEnd"/>
      <w:r w:rsidR="006F4EAE">
        <w:rPr>
          <w:bCs/>
          <w:lang w:val="en-US"/>
        </w:rPr>
        <w:t xml:space="preserve"> if </w:t>
      </w:r>
      <w:r w:rsidRPr="00CC3E79">
        <w:rPr>
          <w:bCs/>
          <w:lang w:val="en-US"/>
        </w:rPr>
        <w:t>ear necrosis affects the pig systemically. Oral fluid</w:t>
      </w:r>
      <w:r w:rsidR="004533CF">
        <w:rPr>
          <w:bCs/>
          <w:lang w:val="en-US"/>
        </w:rPr>
        <w:t xml:space="preserve">s </w:t>
      </w:r>
      <w:proofErr w:type="gramStart"/>
      <w:r w:rsidR="004533CF">
        <w:rPr>
          <w:bCs/>
          <w:lang w:val="en-US"/>
        </w:rPr>
        <w:t>can be</w:t>
      </w:r>
      <w:r w:rsidRPr="00CC3E79">
        <w:rPr>
          <w:bCs/>
          <w:lang w:val="en-US"/>
        </w:rPr>
        <w:t xml:space="preserve"> used</w:t>
      </w:r>
      <w:proofErr w:type="gramEnd"/>
      <w:r w:rsidRPr="00CC3E79">
        <w:rPr>
          <w:bCs/>
          <w:lang w:val="en-US"/>
        </w:rPr>
        <w:t xml:space="preserve"> as a non-invasive method to measure internal biomarkers and assess the health and</w:t>
      </w:r>
      <w:r w:rsidR="004533CF">
        <w:rPr>
          <w:bCs/>
          <w:lang w:val="en-US"/>
        </w:rPr>
        <w:t xml:space="preserve"> welfare of animals. T</w:t>
      </w:r>
      <w:r w:rsidRPr="00CC3E79">
        <w:rPr>
          <w:bCs/>
          <w:lang w:val="en-US"/>
        </w:rPr>
        <w:t>his study investigated the differences in oral fluid biomarkers for stress, inflammation, and immune activation between pig</w:t>
      </w:r>
      <w:r w:rsidR="00EB5479">
        <w:rPr>
          <w:bCs/>
          <w:lang w:val="en-US"/>
        </w:rPr>
        <w:t xml:space="preserve">s with and without ear necrosis. It </w:t>
      </w:r>
      <w:proofErr w:type="gramStart"/>
      <w:r w:rsidR="00EB5479">
        <w:rPr>
          <w:bCs/>
          <w:lang w:val="en-US"/>
        </w:rPr>
        <w:t>was hypothesized</w:t>
      </w:r>
      <w:proofErr w:type="gramEnd"/>
      <w:r w:rsidR="00EB5479">
        <w:rPr>
          <w:bCs/>
          <w:lang w:val="en-US"/>
        </w:rPr>
        <w:t xml:space="preserve"> that pigs with ear necrosis would have increased </w:t>
      </w:r>
      <w:r w:rsidR="00BD3331">
        <w:rPr>
          <w:bCs/>
          <w:lang w:val="en-US"/>
        </w:rPr>
        <w:t>biomarker levels</w:t>
      </w:r>
      <w:r w:rsidR="00EB5479">
        <w:rPr>
          <w:bCs/>
          <w:lang w:val="en-US"/>
        </w:rPr>
        <w:t xml:space="preserve"> than pigs without ear necrosis.</w:t>
      </w: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  <w:bookmarkStart w:id="0" w:name="_GoBack"/>
      <w:bookmarkEnd w:id="0"/>
    </w:p>
    <w:p w14:paraId="31DE43A2" w14:textId="37AD9797" w:rsidR="007B30E3" w:rsidRPr="00CC3E79" w:rsidRDefault="00CC3E79">
      <w:pPr>
        <w:rPr>
          <w:bCs/>
          <w:lang w:val="en-US"/>
        </w:rPr>
      </w:pPr>
      <w:r w:rsidRPr="00CC3E79">
        <w:rPr>
          <w:bCs/>
          <w:lang w:val="en-US"/>
        </w:rPr>
        <w:t xml:space="preserve">Oral fluid samples were collected from weaner pigs (N = 61) across two </w:t>
      </w:r>
      <w:r w:rsidR="004533CF">
        <w:rPr>
          <w:bCs/>
          <w:lang w:val="en-US"/>
        </w:rPr>
        <w:t xml:space="preserve">farrowing </w:t>
      </w:r>
      <w:r w:rsidRPr="00CC3E79">
        <w:rPr>
          <w:bCs/>
          <w:lang w:val="en-US"/>
        </w:rPr>
        <w:t>batches at 9 weeks of age. Sampled pigs were heal</w:t>
      </w:r>
      <w:r w:rsidR="004533CF">
        <w:rPr>
          <w:bCs/>
          <w:lang w:val="en-US"/>
        </w:rPr>
        <w:t xml:space="preserve">thy with no visual impairments other than </w:t>
      </w:r>
      <w:r w:rsidRPr="00CC3E79">
        <w:rPr>
          <w:bCs/>
          <w:lang w:val="en-US"/>
        </w:rPr>
        <w:t>the presence (n = 31) or absence (n = 30) of ear necrosis</w:t>
      </w:r>
      <w:r w:rsidR="004533CF">
        <w:rPr>
          <w:bCs/>
          <w:lang w:val="en-US"/>
        </w:rPr>
        <w:t>,</w:t>
      </w:r>
      <w:r w:rsidRPr="00CC3E79">
        <w:rPr>
          <w:bCs/>
          <w:lang w:val="en-US"/>
        </w:rPr>
        <w:t xml:space="preserve"> and </w:t>
      </w:r>
      <w:r w:rsidR="004533CF">
        <w:rPr>
          <w:bCs/>
          <w:lang w:val="en-US"/>
        </w:rPr>
        <w:t xml:space="preserve">were </w:t>
      </w:r>
      <w:r w:rsidRPr="00CC3E79">
        <w:rPr>
          <w:bCs/>
          <w:lang w:val="en-US"/>
        </w:rPr>
        <w:t xml:space="preserve">balanced by sex. Pigs were further </w:t>
      </w:r>
      <w:proofErr w:type="spellStart"/>
      <w:r w:rsidRPr="00CC3E79">
        <w:rPr>
          <w:bCs/>
          <w:lang w:val="en-US"/>
        </w:rPr>
        <w:t>categorised</w:t>
      </w:r>
      <w:proofErr w:type="spellEnd"/>
      <w:r w:rsidRPr="00CC3E79">
        <w:rPr>
          <w:bCs/>
          <w:lang w:val="en-US"/>
        </w:rPr>
        <w:t xml:space="preserve"> based on ear necrosis severity: mild (n = 8), moderate (n = 8), and severe (n = 15). Samples were </w:t>
      </w:r>
      <w:proofErr w:type="spellStart"/>
      <w:r w:rsidRPr="00CC3E79">
        <w:rPr>
          <w:bCs/>
          <w:lang w:val="en-US"/>
        </w:rPr>
        <w:t>analysed</w:t>
      </w:r>
      <w:proofErr w:type="spellEnd"/>
      <w:r w:rsidRPr="00CC3E79">
        <w:rPr>
          <w:bCs/>
          <w:lang w:val="en-US"/>
        </w:rPr>
        <w:t xml:space="preserve"> for the following biomarkers: cortisol, alpha-amylase, and </w:t>
      </w:r>
      <w:proofErr w:type="spellStart"/>
      <w:r w:rsidRPr="00CC3E79">
        <w:rPr>
          <w:bCs/>
          <w:lang w:val="en-US"/>
        </w:rPr>
        <w:t>butyrylcholinesterase</w:t>
      </w:r>
      <w:proofErr w:type="spellEnd"/>
      <w:r w:rsidRPr="00CC3E79">
        <w:rPr>
          <w:bCs/>
          <w:lang w:val="en-US"/>
        </w:rPr>
        <w:t xml:space="preserve"> as indicators of stress, </w:t>
      </w:r>
      <w:proofErr w:type="spellStart"/>
      <w:r w:rsidRPr="00CC3E79">
        <w:rPr>
          <w:bCs/>
          <w:lang w:val="en-US"/>
        </w:rPr>
        <w:t>haptoglobin</w:t>
      </w:r>
      <w:proofErr w:type="spellEnd"/>
      <w:r w:rsidRPr="00CC3E79">
        <w:rPr>
          <w:bCs/>
          <w:lang w:val="en-US"/>
        </w:rPr>
        <w:t xml:space="preserve"> as an indicator of inflammation, adenosine deaminase and ferritin as indicators of immune activation, and </w:t>
      </w:r>
      <w:proofErr w:type="spellStart"/>
      <w:r w:rsidRPr="00CC3E79">
        <w:rPr>
          <w:bCs/>
          <w:lang w:val="en-US"/>
        </w:rPr>
        <w:t>creatine</w:t>
      </w:r>
      <w:proofErr w:type="spellEnd"/>
      <w:r w:rsidRPr="00CC3E79">
        <w:rPr>
          <w:bCs/>
          <w:lang w:val="en-US"/>
        </w:rPr>
        <w:t xml:space="preserve"> kinase as an indicator of general </w:t>
      </w:r>
      <w:r w:rsidR="00ED7E7E">
        <w:rPr>
          <w:bCs/>
          <w:lang w:val="en-US"/>
        </w:rPr>
        <w:t xml:space="preserve">tissue </w:t>
      </w:r>
      <w:r w:rsidRPr="00CC3E79">
        <w:rPr>
          <w:bCs/>
          <w:lang w:val="en-US"/>
        </w:rPr>
        <w:t>damage. Ear necrosis category (none, mild, moderate, severe), and sex effects were investigated using separate linear models for each of the biomarkers. Pairwise comparisons between categories were determined using Tukey’s method.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3D5C9672" w14:textId="6014A37E" w:rsidR="007B30E3" w:rsidRPr="00CC3E79" w:rsidRDefault="00ED7E7E">
      <w:pPr>
        <w:rPr>
          <w:bCs/>
          <w:lang w:val="en-IE"/>
        </w:rPr>
      </w:pPr>
      <w:r>
        <w:rPr>
          <w:bCs/>
          <w:lang w:val="en-IE"/>
        </w:rPr>
        <w:t xml:space="preserve">Levels of all </w:t>
      </w:r>
      <w:r w:rsidR="00CC3E79" w:rsidRPr="00CC3E79">
        <w:rPr>
          <w:bCs/>
          <w:lang w:val="en-IE"/>
        </w:rPr>
        <w:t>biomarkers were similar between sexes (</w:t>
      </w:r>
      <w:r w:rsidR="00CC3E79" w:rsidRPr="00CC3E79">
        <w:rPr>
          <w:bCs/>
          <w:i/>
          <w:lang w:val="en-IE"/>
        </w:rPr>
        <w:t xml:space="preserve">P </w:t>
      </w:r>
      <w:r w:rsidR="00CC3E79" w:rsidRPr="00CC3E79">
        <w:rPr>
          <w:bCs/>
          <w:lang w:val="en-IE"/>
        </w:rPr>
        <w:t xml:space="preserve">&gt; .05). The only biomarker that was statistically different between EN categories was </w:t>
      </w:r>
      <w:proofErr w:type="spellStart"/>
      <w:r w:rsidR="00CC3E79" w:rsidRPr="00CC3E79">
        <w:rPr>
          <w:bCs/>
          <w:lang w:val="en-IE"/>
        </w:rPr>
        <w:t>haptoglobin</w:t>
      </w:r>
      <w:proofErr w:type="spellEnd"/>
      <w:r w:rsidR="00CC3E79" w:rsidRPr="00CC3E79">
        <w:rPr>
          <w:bCs/>
          <w:lang w:val="en-IE"/>
        </w:rPr>
        <w:t>. Since there were no differences between ‘none’ and ‘mild’ categories (</w:t>
      </w:r>
      <w:r w:rsidR="00CC3E79" w:rsidRPr="00CC3E79">
        <w:rPr>
          <w:bCs/>
          <w:i/>
          <w:lang w:val="en-IE"/>
        </w:rPr>
        <w:t>P</w:t>
      </w:r>
      <w:r w:rsidR="00CC3E79" w:rsidRPr="00CC3E79">
        <w:rPr>
          <w:bCs/>
          <w:lang w:val="en-IE"/>
        </w:rPr>
        <w:t xml:space="preserve"> &gt; .05), and ‘moderate’ and ‘severe’ categories (</w:t>
      </w:r>
      <w:r w:rsidR="00CC3E79" w:rsidRPr="00CC3E79">
        <w:rPr>
          <w:bCs/>
          <w:i/>
          <w:lang w:val="en-IE"/>
        </w:rPr>
        <w:t>P</w:t>
      </w:r>
      <w:r w:rsidR="00CC3E79" w:rsidRPr="00CC3E79">
        <w:rPr>
          <w:bCs/>
          <w:lang w:val="en-IE"/>
        </w:rPr>
        <w:t xml:space="preserve"> &gt; .05), the final model combined the</w:t>
      </w:r>
      <w:r w:rsidR="00F5205F">
        <w:rPr>
          <w:bCs/>
          <w:lang w:val="en-IE"/>
        </w:rPr>
        <w:t xml:space="preserve">se </w:t>
      </w:r>
      <w:r w:rsidR="008F187F">
        <w:rPr>
          <w:bCs/>
          <w:lang w:val="en-IE"/>
        </w:rPr>
        <w:t>categories</w:t>
      </w:r>
      <w:r w:rsidR="00CC3E79" w:rsidRPr="00CC3E79">
        <w:rPr>
          <w:bCs/>
          <w:lang w:val="en-IE"/>
        </w:rPr>
        <w:t xml:space="preserve">. </w:t>
      </w:r>
      <w:proofErr w:type="spellStart"/>
      <w:r w:rsidR="00CC3E79" w:rsidRPr="00CC3E79">
        <w:rPr>
          <w:bCs/>
          <w:lang w:val="en-IE"/>
        </w:rPr>
        <w:t>Haptoglobin</w:t>
      </w:r>
      <w:proofErr w:type="spellEnd"/>
      <w:r w:rsidR="00CC3E79" w:rsidRPr="00CC3E79">
        <w:rPr>
          <w:bCs/>
          <w:lang w:val="en-IE"/>
        </w:rPr>
        <w:t xml:space="preserve"> was higher in both moderate and severe (6353.4 ± 5234.93 ng/mL) pigs compared to pigs with mild and no EN (2193.7 ± 2322.69; F</w:t>
      </w:r>
      <w:r w:rsidR="00CC3E79" w:rsidRPr="00CC3E79">
        <w:rPr>
          <w:bCs/>
          <w:vertAlign w:val="subscript"/>
          <w:lang w:val="en-IE"/>
        </w:rPr>
        <w:t>1</w:t>
      </w:r>
      <w:proofErr w:type="gramStart"/>
      <w:r w:rsidR="00CC3E79" w:rsidRPr="00CC3E79">
        <w:rPr>
          <w:bCs/>
          <w:vertAlign w:val="subscript"/>
          <w:lang w:val="en-IE"/>
        </w:rPr>
        <w:t>,60</w:t>
      </w:r>
      <w:proofErr w:type="gramEnd"/>
      <w:r w:rsidR="00CC3E79" w:rsidRPr="00CC3E79">
        <w:rPr>
          <w:bCs/>
          <w:lang w:val="en-IE"/>
        </w:rPr>
        <w:t xml:space="preserve"> = 26.29, </w:t>
      </w:r>
      <w:r w:rsidR="00CC3E79" w:rsidRPr="00CC3E79">
        <w:rPr>
          <w:bCs/>
          <w:i/>
          <w:lang w:val="en-IE"/>
        </w:rPr>
        <w:t>P</w:t>
      </w:r>
      <w:r w:rsidR="00CC3E79" w:rsidRPr="00CC3E79">
        <w:rPr>
          <w:bCs/>
          <w:lang w:val="en-IE"/>
        </w:rPr>
        <w:t xml:space="preserve"> &lt; .0001). The other biomarkers showed no differences (</w:t>
      </w:r>
      <w:r w:rsidR="00CC3E79" w:rsidRPr="00CC3E79">
        <w:rPr>
          <w:bCs/>
          <w:i/>
          <w:lang w:val="en-IE"/>
        </w:rPr>
        <w:t>P</w:t>
      </w:r>
      <w:r w:rsidR="00CC3E79" w:rsidRPr="00CC3E79">
        <w:rPr>
          <w:bCs/>
          <w:lang w:val="en-IE"/>
        </w:rPr>
        <w:t xml:space="preserve"> &gt; .05).</w:t>
      </w:r>
    </w:p>
    <w:p w14:paraId="68E461EC" w14:textId="317E835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1A3C7EB" w14:textId="21D351DD" w:rsidR="007B30E3" w:rsidRPr="00CC3E79" w:rsidRDefault="00CC3E79">
      <w:pPr>
        <w:rPr>
          <w:bCs/>
          <w:lang w:val="en-US"/>
        </w:rPr>
      </w:pPr>
      <w:r w:rsidRPr="00CC3E79">
        <w:rPr>
          <w:bCs/>
          <w:lang w:val="en-US"/>
        </w:rPr>
        <w:t xml:space="preserve">These results </w:t>
      </w:r>
      <w:r w:rsidR="00F5205F">
        <w:rPr>
          <w:bCs/>
          <w:lang w:val="en-US"/>
        </w:rPr>
        <w:t xml:space="preserve">indicate that both </w:t>
      </w:r>
      <w:r w:rsidR="00F5205F" w:rsidRPr="00CC3E79">
        <w:rPr>
          <w:bCs/>
          <w:lang w:val="en-US"/>
        </w:rPr>
        <w:t xml:space="preserve">moderate and severe ear necrosis </w:t>
      </w:r>
      <w:r w:rsidR="00F5205F">
        <w:rPr>
          <w:bCs/>
          <w:lang w:val="en-US"/>
        </w:rPr>
        <w:t xml:space="preserve">is associated with </w:t>
      </w:r>
      <w:r w:rsidRPr="00CC3E79">
        <w:rPr>
          <w:bCs/>
          <w:lang w:val="en-US"/>
        </w:rPr>
        <w:t xml:space="preserve">an inflammatory response. Further research on whether these inflammatory alterations can lead to secondary health and welfare impairments </w:t>
      </w:r>
      <w:proofErr w:type="gramStart"/>
      <w:r w:rsidRPr="00CC3E79">
        <w:rPr>
          <w:bCs/>
          <w:lang w:val="en-US"/>
        </w:rPr>
        <w:t>is warranted</w:t>
      </w:r>
      <w:proofErr w:type="gramEnd"/>
      <w:r w:rsidRPr="00CC3E79">
        <w:rPr>
          <w:bCs/>
          <w:lang w:val="en-US"/>
        </w:rPr>
        <w:t xml:space="preserve">. A longitudinal study would also be of interest to determine the development and duration of the inflammatory response. </w:t>
      </w:r>
      <w:r w:rsidR="00ED7E7E">
        <w:rPr>
          <w:bCs/>
          <w:lang w:val="en-US"/>
        </w:rPr>
        <w:t xml:space="preserve">There was a large variation between pigs, thus </w:t>
      </w:r>
      <w:r w:rsidRPr="00CC3E79">
        <w:rPr>
          <w:bCs/>
          <w:lang w:val="en-US"/>
        </w:rPr>
        <w:t xml:space="preserve">further research </w:t>
      </w:r>
      <w:r w:rsidR="00ED7E7E">
        <w:rPr>
          <w:bCs/>
          <w:lang w:val="en-US"/>
        </w:rPr>
        <w:t>using</w:t>
      </w:r>
      <w:r w:rsidRPr="00CC3E79">
        <w:rPr>
          <w:bCs/>
          <w:lang w:val="en-US"/>
        </w:rPr>
        <w:t xml:space="preserve"> a larger sample size </w:t>
      </w:r>
      <w:r w:rsidRPr="00CC3E79">
        <w:rPr>
          <w:bCs/>
          <w:lang w:val="en-US"/>
        </w:rPr>
        <w:lastRenderedPageBreak/>
        <w:t xml:space="preserve">and additional/alternative biomarkers </w:t>
      </w:r>
      <w:proofErr w:type="gramStart"/>
      <w:r w:rsidRPr="00CC3E79">
        <w:rPr>
          <w:bCs/>
          <w:lang w:val="en-US"/>
        </w:rPr>
        <w:t>to more precisely identify</w:t>
      </w:r>
      <w:proofErr w:type="gramEnd"/>
      <w:r w:rsidRPr="00CC3E79">
        <w:rPr>
          <w:bCs/>
          <w:lang w:val="en-US"/>
        </w:rPr>
        <w:t xml:space="preserve"> sys</w:t>
      </w:r>
      <w:r w:rsidR="00ED7E7E">
        <w:rPr>
          <w:bCs/>
          <w:lang w:val="en-US"/>
        </w:rPr>
        <w:t>temic responses to ear necrosis is warranted.</w:t>
      </w:r>
    </w:p>
    <w:p w14:paraId="0ADB320F" w14:textId="1ADA610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78CA4C0D" w14:textId="586FAE23" w:rsidR="00435D58" w:rsidRDefault="00435D58">
      <w:pPr>
        <w:rPr>
          <w:bCs/>
        </w:rPr>
      </w:pPr>
      <w:r w:rsidRPr="00435D58">
        <w:rPr>
          <w:bCs/>
        </w:rPr>
        <w:t xml:space="preserve">Boyle, L. A., Edwards, S. A., </w:t>
      </w:r>
      <w:proofErr w:type="spellStart"/>
      <w:r w:rsidRPr="00435D58">
        <w:rPr>
          <w:bCs/>
        </w:rPr>
        <w:t>Bolhuis</w:t>
      </w:r>
      <w:proofErr w:type="spellEnd"/>
      <w:r w:rsidRPr="00435D58">
        <w:rPr>
          <w:bCs/>
        </w:rPr>
        <w:t>, J. E., Pol, F.,</w:t>
      </w:r>
      <w:r>
        <w:rPr>
          <w:bCs/>
        </w:rPr>
        <w:t xml:space="preserve"> </w:t>
      </w:r>
      <w:proofErr w:type="spellStart"/>
      <w:r>
        <w:rPr>
          <w:bCs/>
        </w:rPr>
        <w:t>Šemrov</w:t>
      </w:r>
      <w:proofErr w:type="spellEnd"/>
      <w:r>
        <w:rPr>
          <w:bCs/>
        </w:rPr>
        <w:t xml:space="preserve">, M. Z., </w:t>
      </w:r>
      <w:proofErr w:type="spellStart"/>
      <w:r>
        <w:rPr>
          <w:bCs/>
        </w:rPr>
        <w:t>Schütze</w:t>
      </w:r>
      <w:proofErr w:type="spellEnd"/>
      <w:r>
        <w:rPr>
          <w:bCs/>
        </w:rPr>
        <w:t xml:space="preserve">, S., </w:t>
      </w:r>
      <w:proofErr w:type="spellStart"/>
      <w:r>
        <w:rPr>
          <w:bCs/>
        </w:rPr>
        <w:t>Nordgreen</w:t>
      </w:r>
      <w:proofErr w:type="spellEnd"/>
      <w:r>
        <w:rPr>
          <w:bCs/>
        </w:rPr>
        <w:t xml:space="preserve">, J., </w:t>
      </w:r>
      <w:proofErr w:type="spellStart"/>
      <w:r>
        <w:rPr>
          <w:bCs/>
        </w:rPr>
        <w:t>Bozakova</w:t>
      </w:r>
      <w:proofErr w:type="spellEnd"/>
      <w:r>
        <w:rPr>
          <w:bCs/>
        </w:rPr>
        <w:t xml:space="preserve">, N., </w:t>
      </w:r>
      <w:proofErr w:type="spellStart"/>
      <w:r>
        <w:rPr>
          <w:bCs/>
        </w:rPr>
        <w:t>Sossidou</w:t>
      </w:r>
      <w:proofErr w:type="spellEnd"/>
      <w:r>
        <w:rPr>
          <w:bCs/>
        </w:rPr>
        <w:t>, E.,</w:t>
      </w:r>
      <w:r w:rsidRPr="00435D58">
        <w:rPr>
          <w:bCs/>
        </w:rPr>
        <w:t xml:space="preserve"> &amp; </w:t>
      </w:r>
      <w:proofErr w:type="spellStart"/>
      <w:r w:rsidRPr="00435D58">
        <w:rPr>
          <w:bCs/>
        </w:rPr>
        <w:t>Valros</w:t>
      </w:r>
      <w:proofErr w:type="spellEnd"/>
      <w:r w:rsidRPr="00435D58">
        <w:rPr>
          <w:bCs/>
        </w:rPr>
        <w:t xml:space="preserve">, A. (2022). The evidence for a causal link between disease and damaging </w:t>
      </w:r>
      <w:proofErr w:type="spellStart"/>
      <w:r w:rsidRPr="00435D58">
        <w:rPr>
          <w:bCs/>
        </w:rPr>
        <w:t>behavior</w:t>
      </w:r>
      <w:proofErr w:type="spellEnd"/>
      <w:r w:rsidRPr="00435D58">
        <w:rPr>
          <w:bCs/>
        </w:rPr>
        <w:t xml:space="preserve"> in pigs. </w:t>
      </w:r>
      <w:r w:rsidRPr="00435D58">
        <w:rPr>
          <w:bCs/>
          <w:i/>
          <w:iCs/>
        </w:rPr>
        <w:t>Frontiers in veterinary science</w:t>
      </w:r>
      <w:r w:rsidRPr="00435D58">
        <w:rPr>
          <w:bCs/>
        </w:rPr>
        <w:t>, </w:t>
      </w:r>
      <w:r w:rsidRPr="00435D58">
        <w:rPr>
          <w:bCs/>
          <w:i/>
          <w:iCs/>
        </w:rPr>
        <w:t>8</w:t>
      </w:r>
      <w:r w:rsidRPr="00435D58">
        <w:rPr>
          <w:bCs/>
        </w:rPr>
        <w:t>, 771682.</w:t>
      </w:r>
    </w:p>
    <w:p w14:paraId="4F78524D" w14:textId="6D58C437" w:rsidR="004E4656" w:rsidRDefault="004E4656">
      <w:pPr>
        <w:rPr>
          <w:bCs/>
        </w:rPr>
      </w:pPr>
      <w:proofErr w:type="spellStart"/>
      <w:r w:rsidRPr="004E4656">
        <w:rPr>
          <w:bCs/>
        </w:rPr>
        <w:t>Papatsiros</w:t>
      </w:r>
      <w:proofErr w:type="spellEnd"/>
      <w:r w:rsidRPr="004E4656">
        <w:rPr>
          <w:bCs/>
        </w:rPr>
        <w:t>, V. G. (2011). Exploration of the connection between porcine necrotic ear syndrome and PCV2 infection. </w:t>
      </w:r>
      <w:r w:rsidRPr="004E4656">
        <w:rPr>
          <w:bCs/>
          <w:i/>
          <w:iCs/>
        </w:rPr>
        <w:t xml:space="preserve">J </w:t>
      </w:r>
      <w:proofErr w:type="spellStart"/>
      <w:r w:rsidRPr="004E4656">
        <w:rPr>
          <w:bCs/>
          <w:i/>
          <w:iCs/>
        </w:rPr>
        <w:t>Anim</w:t>
      </w:r>
      <w:proofErr w:type="spellEnd"/>
      <w:r w:rsidRPr="004E4656">
        <w:rPr>
          <w:bCs/>
          <w:i/>
          <w:iCs/>
        </w:rPr>
        <w:t xml:space="preserve"> Vet </w:t>
      </w:r>
      <w:proofErr w:type="spellStart"/>
      <w:r w:rsidRPr="004E4656">
        <w:rPr>
          <w:bCs/>
          <w:i/>
          <w:iCs/>
        </w:rPr>
        <w:t>Adv</w:t>
      </w:r>
      <w:proofErr w:type="spellEnd"/>
      <w:r w:rsidRPr="004E4656">
        <w:rPr>
          <w:bCs/>
        </w:rPr>
        <w:t>, </w:t>
      </w:r>
      <w:r w:rsidRPr="004E4656">
        <w:rPr>
          <w:bCs/>
          <w:i/>
          <w:iCs/>
        </w:rPr>
        <w:t>10</w:t>
      </w:r>
      <w:r w:rsidRPr="004E4656">
        <w:rPr>
          <w:bCs/>
        </w:rPr>
        <w:t>(2), 185-187.</w:t>
      </w:r>
    </w:p>
    <w:p w14:paraId="1BA5A79E" w14:textId="231F36E4" w:rsidR="004E4656" w:rsidRDefault="004E4656">
      <w:pPr>
        <w:rPr>
          <w:bCs/>
        </w:rPr>
      </w:pPr>
      <w:r w:rsidRPr="004E4656">
        <w:rPr>
          <w:bCs/>
        </w:rPr>
        <w:t xml:space="preserve">Pessoa, J., </w:t>
      </w:r>
      <w:proofErr w:type="spellStart"/>
      <w:r w:rsidRPr="004E4656">
        <w:rPr>
          <w:bCs/>
        </w:rPr>
        <w:t>McAloon</w:t>
      </w:r>
      <w:proofErr w:type="spellEnd"/>
      <w:r w:rsidRPr="004E4656">
        <w:rPr>
          <w:bCs/>
        </w:rPr>
        <w:t xml:space="preserve">, C., Rodrigues da Costa, M., </w:t>
      </w:r>
      <w:proofErr w:type="spellStart"/>
      <w:r w:rsidRPr="004E4656">
        <w:rPr>
          <w:bCs/>
        </w:rPr>
        <w:t>García</w:t>
      </w:r>
      <w:proofErr w:type="spellEnd"/>
      <w:r w:rsidRPr="004E4656">
        <w:rPr>
          <w:bCs/>
        </w:rPr>
        <w:t xml:space="preserve"> Manzanilla, E., Norton, T., &amp; Boyle, L. (2021). Adding value to food chain information: using data on pig welfare and antimicrobial use on-farm to predict meat inspection outcomes. </w:t>
      </w:r>
      <w:r w:rsidRPr="004E4656">
        <w:rPr>
          <w:bCs/>
          <w:i/>
          <w:iCs/>
        </w:rPr>
        <w:t>Porcine Health Management</w:t>
      </w:r>
      <w:r w:rsidRPr="004E4656">
        <w:rPr>
          <w:bCs/>
        </w:rPr>
        <w:t>, </w:t>
      </w:r>
      <w:r w:rsidRPr="004E4656">
        <w:rPr>
          <w:bCs/>
          <w:i/>
          <w:iCs/>
        </w:rPr>
        <w:t>7</w:t>
      </w:r>
      <w:r w:rsidRPr="004E4656">
        <w:rPr>
          <w:bCs/>
        </w:rPr>
        <w:t>, 1-9.</w:t>
      </w:r>
    </w:p>
    <w:p w14:paraId="46C8D3F5" w14:textId="389CF75C" w:rsidR="005B7DC7" w:rsidRPr="005B7DC7" w:rsidRDefault="005B7DC7">
      <w:pPr>
        <w:rPr>
          <w:bCs/>
          <w:lang w:val="en-US"/>
        </w:rPr>
      </w:pPr>
      <w:r w:rsidRPr="005B7DC7">
        <w:rPr>
          <w:bCs/>
        </w:rPr>
        <w:t xml:space="preserve">Richardson, J. A., </w:t>
      </w:r>
      <w:proofErr w:type="spellStart"/>
      <w:r w:rsidRPr="005B7DC7">
        <w:rPr>
          <w:bCs/>
        </w:rPr>
        <w:t>Morter</w:t>
      </w:r>
      <w:proofErr w:type="spellEnd"/>
      <w:r w:rsidRPr="005B7DC7">
        <w:rPr>
          <w:bCs/>
        </w:rPr>
        <w:t>, R. L., Rebar, A. H., &amp; Olander, H. J. (1984). Lesions of porcine necrotic ear syndrome. </w:t>
      </w:r>
      <w:r w:rsidRPr="005B7DC7">
        <w:rPr>
          <w:bCs/>
          <w:i/>
          <w:iCs/>
        </w:rPr>
        <w:t>Veterinary pathology</w:t>
      </w:r>
      <w:r w:rsidRPr="005B7DC7">
        <w:rPr>
          <w:bCs/>
        </w:rPr>
        <w:t>, </w:t>
      </w:r>
      <w:r w:rsidRPr="005B7DC7">
        <w:rPr>
          <w:bCs/>
          <w:i/>
          <w:iCs/>
        </w:rPr>
        <w:t>21</w:t>
      </w:r>
      <w:r w:rsidRPr="005B7DC7">
        <w:rPr>
          <w:bCs/>
        </w:rPr>
        <w:t>(2), 152-157.</w:t>
      </w:r>
    </w:p>
    <w:sectPr w:rsidR="005B7DC7" w:rsidRPr="005B7DC7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3"/>
    <w:rsid w:val="00355676"/>
    <w:rsid w:val="00383DCD"/>
    <w:rsid w:val="00397193"/>
    <w:rsid w:val="00435D58"/>
    <w:rsid w:val="004533CF"/>
    <w:rsid w:val="004E4656"/>
    <w:rsid w:val="005B7DC7"/>
    <w:rsid w:val="00625B14"/>
    <w:rsid w:val="006F4EAE"/>
    <w:rsid w:val="007B30E3"/>
    <w:rsid w:val="008F187F"/>
    <w:rsid w:val="00933E8C"/>
    <w:rsid w:val="00AE0A47"/>
    <w:rsid w:val="00AF4693"/>
    <w:rsid w:val="00B14ACA"/>
    <w:rsid w:val="00B52E4E"/>
    <w:rsid w:val="00B80AF9"/>
    <w:rsid w:val="00BD3331"/>
    <w:rsid w:val="00C07FA4"/>
    <w:rsid w:val="00C53AE2"/>
    <w:rsid w:val="00C95030"/>
    <w:rsid w:val="00CC3E79"/>
    <w:rsid w:val="00DD21B5"/>
    <w:rsid w:val="00E27EE6"/>
    <w:rsid w:val="00EB5479"/>
    <w:rsid w:val="00ED7E7E"/>
    <w:rsid w:val="00F5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AE4B9AAEECF4EAD0A6640EC52C338" ma:contentTypeVersion="11" ma:contentTypeDescription="Create a new document." ma:contentTypeScope="" ma:versionID="be619c21e50a8478c0d0df3c5aee36b5">
  <xsd:schema xmlns:xsd="http://www.w3.org/2001/XMLSchema" xmlns:xs="http://www.w3.org/2001/XMLSchema" xmlns:p="http://schemas.microsoft.com/office/2006/metadata/properties" xmlns:ns3="ec32989c-1330-4a59-afed-f9f7248c63b9" targetNamespace="http://schemas.microsoft.com/office/2006/metadata/properties" ma:root="true" ma:fieldsID="a89283d342289ac93b7d010382c27169" ns3:_="">
    <xsd:import namespace="ec32989c-1330-4a59-afed-f9f7248c63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2989c-1330-4a59-afed-f9f7248c63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c32989c-1330-4a59-afed-f9f7248c63b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6F0D0-ED16-454A-BBE3-75D75AD61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2989c-1330-4a59-afed-f9f7248c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Lucy Markland (Walsh Scholar)</cp:lastModifiedBy>
  <cp:revision>4</cp:revision>
  <dcterms:created xsi:type="dcterms:W3CDTF">2025-01-07T16:09:00Z</dcterms:created>
  <dcterms:modified xsi:type="dcterms:W3CDTF">2025-01-07T16:40:00Z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0x010100DE8AE4B9AAEECF4EAD0A6640EC52C338</vt:lpwstr>
  </property>
</Properties>
</file>