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28C0" w14:textId="7B05E07E" w:rsidR="00382DAE" w:rsidRPr="00B622BB" w:rsidRDefault="00A00060" w:rsidP="00B622BB">
      <w:pPr>
        <w:pStyle w:val="Heading1"/>
        <w:spacing w:line="480" w:lineRule="auto"/>
        <w:jc w:val="center"/>
        <w:rPr>
          <w:b/>
          <w:bCs/>
          <w:color w:val="auto"/>
          <w:sz w:val="24"/>
          <w:szCs w:val="24"/>
        </w:rPr>
      </w:pPr>
      <w:r w:rsidRPr="00A00060">
        <w:rPr>
          <w:b/>
          <w:bCs/>
          <w:color w:val="auto"/>
          <w:sz w:val="24"/>
          <w:szCs w:val="24"/>
        </w:rPr>
        <w:t>Needle-free intradermal vaccination, an opportunity to improve commercial pig welfare.</w:t>
      </w:r>
    </w:p>
    <w:p w14:paraId="3FBC13FA" w14:textId="7F103E63" w:rsidR="00234597" w:rsidRPr="00643CFC" w:rsidRDefault="00816478" w:rsidP="00816478">
      <w:r w:rsidRPr="00D957D3">
        <w:rPr>
          <w:b/>
          <w:bCs/>
          <w:i/>
          <w:iCs/>
        </w:rPr>
        <w:t>Application:</w:t>
      </w:r>
      <w:r w:rsidR="002B7107">
        <w:rPr>
          <w:b/>
          <w:bCs/>
          <w:i/>
          <w:iCs/>
        </w:rPr>
        <w:t xml:space="preserve"> </w:t>
      </w:r>
      <w:r w:rsidR="002B7107" w:rsidRPr="00801EA3">
        <w:t>Promoting high quality</w:t>
      </w:r>
      <w:r w:rsidR="009B2CB1">
        <w:t xml:space="preserve"> </w:t>
      </w:r>
      <w:r w:rsidR="00153BF1" w:rsidRPr="00801EA3">
        <w:t xml:space="preserve">animal welfare </w:t>
      </w:r>
      <w:r w:rsidR="007E5B60" w:rsidRPr="00801EA3">
        <w:t>for UK commercial pigs</w:t>
      </w:r>
      <w:r w:rsidR="009B2CB1">
        <w:t>,</w:t>
      </w:r>
      <w:r w:rsidR="007E5B60" w:rsidRPr="00801EA3">
        <w:t xml:space="preserve"> using a needle free vaccination</w:t>
      </w:r>
      <w:r w:rsidR="007E5B60">
        <w:rPr>
          <w:b/>
          <w:bCs/>
          <w:i/>
          <w:iCs/>
        </w:rPr>
        <w:t xml:space="preserve"> </w:t>
      </w:r>
      <w:r w:rsidR="001E5B07">
        <w:t>device</w:t>
      </w:r>
      <w:r w:rsidR="00E8424F">
        <w:t>.</w:t>
      </w:r>
    </w:p>
    <w:p w14:paraId="270CEC23" w14:textId="2538B84B" w:rsidR="00D957D3" w:rsidRDefault="00816478" w:rsidP="00816478">
      <w:r w:rsidRPr="00D957D3">
        <w:rPr>
          <w:b/>
          <w:bCs/>
          <w:i/>
          <w:iCs/>
        </w:rPr>
        <w:t>Introduction:</w:t>
      </w:r>
      <w:r>
        <w:t xml:space="preserve"> Livestock welfare </w:t>
      </w:r>
      <w:r w:rsidR="009E2CC4">
        <w:t xml:space="preserve">has </w:t>
      </w:r>
      <w:r w:rsidR="004F6B5A">
        <w:t>been placed at the forefront of both consumers and farm</w:t>
      </w:r>
      <w:r w:rsidR="00E937D2">
        <w:t>er</w:t>
      </w:r>
      <w:r w:rsidR="004F6B5A">
        <w:t xml:space="preserve">s </w:t>
      </w:r>
      <w:r w:rsidR="00E937D2">
        <w:t>which has</w:t>
      </w:r>
      <w:r w:rsidR="00780A99">
        <w:t xml:space="preserve"> </w:t>
      </w:r>
      <w:r w:rsidR="00E937D2">
        <w:t xml:space="preserve">increased the demands to promote </w:t>
      </w:r>
      <w:r w:rsidR="00780A99">
        <w:t>positive welfare</w:t>
      </w:r>
      <w:r w:rsidR="00E937D2">
        <w:t>. This</w:t>
      </w:r>
      <w:r w:rsidR="00780A99">
        <w:t xml:space="preserve"> </w:t>
      </w:r>
      <w:r>
        <w:t xml:space="preserve">has driven the need </w:t>
      </w:r>
      <w:r w:rsidR="000362DD">
        <w:t>to</w:t>
      </w:r>
      <w:r>
        <w:t xml:space="preserve"> research strategies to improve animal welfare.</w:t>
      </w:r>
      <w:r w:rsidR="001417B4">
        <w:t xml:space="preserve"> </w:t>
      </w:r>
      <w:r w:rsidR="002C54D7">
        <w:t>Currently the</w:t>
      </w:r>
      <w:r w:rsidR="0060599A">
        <w:t xml:space="preserve"> UK has over 10,000 pig holdings</w:t>
      </w:r>
      <w:r w:rsidR="00C77E8F">
        <w:t xml:space="preserve">, </w:t>
      </w:r>
      <w:r w:rsidR="000362DD">
        <w:t>with</w:t>
      </w:r>
      <w:r w:rsidR="009F2BC1">
        <w:t xml:space="preserve"> piglets </w:t>
      </w:r>
      <w:r w:rsidR="000362DD">
        <w:t>being</w:t>
      </w:r>
      <w:r w:rsidR="00F95A8C">
        <w:t xml:space="preserve"> vaccinated during production</w:t>
      </w:r>
      <w:r w:rsidR="006C0D8F">
        <w:t xml:space="preserve"> to prevent disease.</w:t>
      </w:r>
      <w:r w:rsidR="009F2BC1">
        <w:t xml:space="preserve"> Effective</w:t>
      </w:r>
      <w:r w:rsidR="00C77E8F">
        <w:t xml:space="preserve"> vaccinations are required for challenging pathogens, p</w:t>
      </w:r>
      <w:r>
        <w:t xml:space="preserve">orcine circovirus type 2 (PCV2) and </w:t>
      </w:r>
      <w:r w:rsidR="00F95A8C" w:rsidRPr="00F95A8C">
        <w:rPr>
          <w:i/>
          <w:iCs/>
        </w:rPr>
        <w:t xml:space="preserve">Mycoplasma </w:t>
      </w:r>
      <w:proofErr w:type="spellStart"/>
      <w:r w:rsidR="00F95A8C" w:rsidRPr="00F95A8C">
        <w:rPr>
          <w:i/>
          <w:iCs/>
        </w:rPr>
        <w:t>hyopneumoniae</w:t>
      </w:r>
      <w:proofErr w:type="spellEnd"/>
      <w:r w:rsidR="00DE5A32" w:rsidRPr="00DE5A32">
        <w:t xml:space="preserve"> </w:t>
      </w:r>
      <w:r w:rsidR="00177136">
        <w:t xml:space="preserve">that </w:t>
      </w:r>
      <w:r w:rsidR="00F12E33">
        <w:t>impact the</w:t>
      </w:r>
      <w:r w:rsidR="00386ADB">
        <w:t xml:space="preserve"> </w:t>
      </w:r>
      <w:r w:rsidR="001D3D54">
        <w:t>health</w:t>
      </w:r>
      <w:r w:rsidR="00E4175F">
        <w:t xml:space="preserve"> of pigs</w:t>
      </w:r>
      <w:r w:rsidR="00386ADB">
        <w:t>, the fattening phase</w:t>
      </w:r>
      <w:r w:rsidR="00E4175F">
        <w:t xml:space="preserve"> </w:t>
      </w:r>
      <w:r w:rsidR="001D3D54">
        <w:t xml:space="preserve">and </w:t>
      </w:r>
      <w:r w:rsidR="00C42BA5">
        <w:t xml:space="preserve">cause </w:t>
      </w:r>
      <w:r w:rsidR="00742399">
        <w:t>economic losses</w:t>
      </w:r>
      <w:r w:rsidR="00401C20">
        <w:t xml:space="preserve"> </w:t>
      </w:r>
      <w:r w:rsidR="006D134B">
        <w:fldChar w:fldCharType="begin"/>
      </w:r>
      <w:r w:rsidR="006D134B">
        <w:instrText xml:space="preserve"> ADDIN ZOTERO_ITEM CSL_CITATION {"citationID":"qh2jNJdI","properties":{"formattedCitation":"(L\\uc0\\u243{}pez-Lorenzo {\\i{}et al.}, 2021)","plainCitation":"(López-Lorenzo et al., 2021)","noteIndex":0},"citationItems":[{"id":16,"uris":["http://zotero.org/users/local/FDIuaAcL/items/5NY6E7HA"],"itemData":{"id":16,"type":"article-journal","abstract":"Porcine Circovirus Type 2 (PCV2) and Mycoplasma hyopneumoniae are economically important pathogens in swine farms. Vaccination is the main preventive measure for both infections. In order to test two ready-to-use bivalent vaccines, 646 piglets from a herd actively infected with both pathogens were stratified according to the sow parity number and randomly assigned to three groups: A and B were vaccinated with two different vaccines, respectively, while C remained as the unvaccinated control. Vaccine efficacy was assessed based on the weight, average daily weight gain (ADWG), degree of lung lesions, presence of PCV2 viremia by qPCR and presence of PCV2 and M. hyopneumoniae antibody levels by ELISA. Our data revealed that the sow parity did not influence the vaccine outcomes. Good results for most of the analyzed parameters were observed in both vaccinated groups. ADGW and final weight were higher and lung lesions were less evident in both vaccinated groups than in the control one, but only Group A showed a significant improvement. PCV2 viremia was not detected in Group A, but it did appear in Group B coinciding with its peak in Group C. Finally, both the PCV2 and M. hyopneumoniae serological patterns differed depending on the employed vaccine.","container-title":"Animals","DOI":"10.3390/ani11061553","ISSN":"2076-2615","issue":"6","journalAbbreviation":"Animals","language":"en","page":"1553","source":"DOI.org (Crossref)","title":"Efficacy of Two Commercial Ready-To-Use PCV2 and Mycoplasma hyopneumoniae Vaccines under Field Conditions","volume":"11","author":[{"family":"López-Lorenzo","given":"Gonzalo"},{"family":"Prieto","given":"Alberto"},{"family":"López-Novo","given":"Cynthia"},{"family":"Díaz","given":"Pablo"},{"family":"López","given":"Ceferino Manuel"},{"family":"Morrondo","given":"Patrocinio"},{"family":"Fernández","given":"Gonzalo"},{"family":"Díaz-Cao","given":"José Manuel"}],"issued":{"date-parts":[["2021",5,26]]}}}],"schema":"https://github.com/citation-style-language/schema/raw/master/csl-citation.json"} </w:instrText>
      </w:r>
      <w:r w:rsidR="006D134B">
        <w:fldChar w:fldCharType="separate"/>
      </w:r>
      <w:r w:rsidR="006D134B" w:rsidRPr="006D134B">
        <w:rPr>
          <w:rFonts w:ascii="Calibri" w:hAnsi="Calibri" w:cs="Calibri"/>
          <w:szCs w:val="24"/>
        </w:rPr>
        <w:t xml:space="preserve">(López-Lorenzo </w:t>
      </w:r>
      <w:r w:rsidR="006D134B" w:rsidRPr="006D134B">
        <w:rPr>
          <w:rFonts w:ascii="Calibri" w:hAnsi="Calibri" w:cs="Calibri"/>
          <w:i/>
          <w:iCs/>
          <w:szCs w:val="24"/>
        </w:rPr>
        <w:t>et a</w:t>
      </w:r>
      <w:r w:rsidR="00590279">
        <w:rPr>
          <w:rFonts w:ascii="Calibri" w:hAnsi="Calibri" w:cs="Calibri"/>
          <w:i/>
          <w:iCs/>
          <w:szCs w:val="24"/>
        </w:rPr>
        <w:t>l</w:t>
      </w:r>
      <w:r w:rsidR="006D134B" w:rsidRPr="006D134B">
        <w:rPr>
          <w:rFonts w:ascii="Calibri" w:hAnsi="Calibri" w:cs="Calibri"/>
          <w:szCs w:val="24"/>
        </w:rPr>
        <w:t>, 2021)</w:t>
      </w:r>
      <w:r w:rsidR="006D134B">
        <w:fldChar w:fldCharType="end"/>
      </w:r>
      <w:r w:rsidR="00401C20">
        <w:t>.</w:t>
      </w:r>
      <w:r w:rsidR="006D134B">
        <w:t xml:space="preserve"> Vaccinations are</w:t>
      </w:r>
      <w:r w:rsidR="00DE5A32">
        <w:t xml:space="preserve"> commonly </w:t>
      </w:r>
      <w:r w:rsidR="006D134B">
        <w:t xml:space="preserve">delivered </w:t>
      </w:r>
      <w:r w:rsidR="00DE5A32">
        <w:t xml:space="preserve">by intramuscular injections which present </w:t>
      </w:r>
      <w:r w:rsidR="00C05D9B">
        <w:t>multiple</w:t>
      </w:r>
      <w:r w:rsidR="00DE5A32">
        <w:t xml:space="preserve"> welfare concerns.</w:t>
      </w:r>
      <w:r w:rsidR="00C05D9B">
        <w:t xml:space="preserve"> </w:t>
      </w:r>
      <w:r w:rsidR="00586C4A">
        <w:t>I</w:t>
      </w:r>
      <w:r w:rsidR="00DF0386">
        <w:t>ntramuscular needle</w:t>
      </w:r>
      <w:r w:rsidR="00586C4A">
        <w:t xml:space="preserve"> vaccinations are associated with pain, especially from the reuse of needles,</w:t>
      </w:r>
      <w:r w:rsidR="00C05082">
        <w:t xml:space="preserve"> </w:t>
      </w:r>
      <w:r w:rsidR="001663BE">
        <w:t xml:space="preserve">spread of disease and </w:t>
      </w:r>
      <w:r w:rsidR="006F2BDA">
        <w:t>public health issues</w:t>
      </w:r>
      <w:r w:rsidR="006C459A">
        <w:t>.</w:t>
      </w:r>
      <w:r w:rsidR="00DD0789">
        <w:t xml:space="preserve"> An alternative method is intradermal vaccination which can be achieved using needle-free devices that have been reported to reduce the negative effects imposed by needle syringes </w:t>
      </w:r>
      <w:r w:rsidR="00DD0789">
        <w:fldChar w:fldCharType="begin"/>
      </w:r>
      <w:r w:rsidR="00DD0789">
        <w:instrText xml:space="preserve"> ADDIN ZOTERO_ITEM CSL_CITATION {"citationID":"YxuNDLOV","properties":{"formattedCitation":"(C\\uc0\\u243{}-Rives, Chen and Moore, 2023)","plainCitation":"(Có-Rives, Chen and Moore, 2023)","noteIndex":0},"citationItems":[{"id":13,"uris":["http://zotero.org/users/local/AXXp9vjj/items/ADUWG3ET"],"itemData":{"id":13,"type":"article-journal","abstract":"The advantages of skin-based vaccination include induction of strong immunity, dose-sparing, and ease of administration. Several technologies for skin-based immunisation in humans are being developed to maximise these key advantages. This route is more conventionally used in veterinary medicine. Skin-based vaccination of pigs is of high relevance due to their anatomical, physiological, and immunological similarities to humans, as well as being a source of zoonotic diseases and their livestock value. We conducted a systematic mapping review, focusing on vaccine-induced immunity and safety after the skin immunisation of pigs. Veterinary vaccines, specifically anti-viral vaccines, predominated in the literature. The safe and potent skin administration to pigs of adjuvanted vaccines, particularly emulsions, are frequently documented. Multiple methods of skin immunisation exist; however, there is a lack of consistent terminology and accurate descriptions of the route and device. Antibody responses, compared to other immune correlates, are most frequently reported. There is a lack of research on the underlying mechanisms of action and breadth of responses. Nevertheless, encouraging results, both in safety and immunogenicity, were observed after skin vaccination that were often comparable to or superior the intramuscular route. Further research in this area will underlie the development of enhanced skin vaccine strategies for pigs, other animals and humans.","container-title":"Vaccines","DOI":"10.3390/vaccines11020450","ISSN":"2076-393X","issue":"2","journalAbbreviation":"Vaccines","language":"en","page":"450","source":"DOI.org (Crossref)","title":"Skin-Based Vaccination: A Systematic Mapping Review of the Types of Vaccines and Methods Used and Immunity and Protection Elicited in Pigs","title-short":"Skin-Based Vaccination","volume":"11","author":[{"family":"Có-Rives","given":"Inés"},{"family":"Chen","given":"Ann Ying-An"},{"family":"Moore","given":"Anne C."}],"issued":{"date-parts":[["2023",2,16]]}}}],"schema":"https://github.com/citation-style-language/schema/raw/master/csl-citation.json"} </w:instrText>
      </w:r>
      <w:r w:rsidR="00DD0789">
        <w:fldChar w:fldCharType="separate"/>
      </w:r>
      <w:r w:rsidR="00DD0789" w:rsidRPr="0066461F">
        <w:rPr>
          <w:rFonts w:ascii="Calibri" w:hAnsi="Calibri" w:cs="Calibri"/>
          <w:szCs w:val="24"/>
        </w:rPr>
        <w:t>(Có-Rives</w:t>
      </w:r>
      <w:r w:rsidR="00755AD2">
        <w:rPr>
          <w:rFonts w:ascii="Calibri" w:hAnsi="Calibri" w:cs="Calibri"/>
          <w:szCs w:val="24"/>
        </w:rPr>
        <w:t xml:space="preserve"> </w:t>
      </w:r>
      <w:r w:rsidR="00755AD2" w:rsidRPr="00755AD2">
        <w:rPr>
          <w:rFonts w:ascii="Calibri" w:hAnsi="Calibri" w:cs="Calibri"/>
          <w:i/>
          <w:iCs/>
          <w:szCs w:val="24"/>
        </w:rPr>
        <w:t>et al</w:t>
      </w:r>
      <w:r w:rsidR="00755AD2">
        <w:rPr>
          <w:rFonts w:ascii="Calibri" w:hAnsi="Calibri" w:cs="Calibri"/>
          <w:szCs w:val="24"/>
        </w:rPr>
        <w:t>, 2023</w:t>
      </w:r>
      <w:r w:rsidR="00DD0789" w:rsidRPr="0066461F">
        <w:rPr>
          <w:rFonts w:ascii="Calibri" w:hAnsi="Calibri" w:cs="Calibri"/>
          <w:szCs w:val="24"/>
        </w:rPr>
        <w:t>)</w:t>
      </w:r>
      <w:r w:rsidR="00DD0789">
        <w:fldChar w:fldCharType="end"/>
      </w:r>
      <w:r w:rsidR="004D525E">
        <w:t xml:space="preserve">. </w:t>
      </w:r>
      <w:r w:rsidR="00CE42DE">
        <w:t>Previous studies have demonstrated</w:t>
      </w:r>
      <w:r w:rsidR="00693F77">
        <w:t xml:space="preserve"> vaccines delivered </w:t>
      </w:r>
      <w:r w:rsidR="0028010B">
        <w:t xml:space="preserve">using </w:t>
      </w:r>
      <w:r w:rsidR="00E9321D">
        <w:t>needle-free devices</w:t>
      </w:r>
      <w:r w:rsidR="0028010B">
        <w:t xml:space="preserve"> stimulate both a humoral and cell-mediated immune response</w:t>
      </w:r>
      <w:r w:rsidR="00E24507">
        <w:t xml:space="preserve"> and </w:t>
      </w:r>
      <w:r w:rsidR="007C7B14">
        <w:t xml:space="preserve">improve piglet welfare </w:t>
      </w:r>
      <w:r w:rsidR="00277BD7">
        <w:t>(</w:t>
      </w:r>
      <w:r w:rsidR="001C5571">
        <w:t xml:space="preserve">Temple et al, </w:t>
      </w:r>
      <w:r w:rsidR="00194467">
        <w:t>20</w:t>
      </w:r>
      <w:r w:rsidR="00137019">
        <w:t>20</w:t>
      </w:r>
      <w:r w:rsidR="00194467">
        <w:t xml:space="preserve">; </w:t>
      </w:r>
      <w:r w:rsidR="00137019">
        <w:t xml:space="preserve">Dalmau </w:t>
      </w:r>
      <w:r w:rsidR="00137019" w:rsidRPr="00137019">
        <w:rPr>
          <w:i/>
          <w:iCs/>
        </w:rPr>
        <w:t>et al</w:t>
      </w:r>
      <w:r w:rsidR="00137019">
        <w:t>, 2021</w:t>
      </w:r>
      <w:r w:rsidR="00224D92">
        <w:t>)</w:t>
      </w:r>
      <w:r w:rsidR="00113DAB">
        <w:t>.</w:t>
      </w:r>
      <w:r w:rsidR="00A65546">
        <w:t xml:space="preserve"> </w:t>
      </w:r>
      <w:r w:rsidR="00063777" w:rsidRPr="00063777">
        <w:t xml:space="preserve">This </w:t>
      </w:r>
      <w:r w:rsidR="00104926">
        <w:t>study aimed</w:t>
      </w:r>
      <w:r w:rsidR="00063777" w:rsidRPr="00063777">
        <w:t xml:space="preserve"> to explore the welfare</w:t>
      </w:r>
      <w:r w:rsidR="00A65546">
        <w:t xml:space="preserve"> </w:t>
      </w:r>
      <w:r w:rsidR="00063777" w:rsidRPr="00063777">
        <w:t xml:space="preserve">benefits of a previously unreported </w:t>
      </w:r>
      <w:r w:rsidR="00A65546">
        <w:t>intradermal needle-free vaccination</w:t>
      </w:r>
      <w:r w:rsidR="00063777" w:rsidRPr="00063777">
        <w:t xml:space="preserve"> on a commercial UK pig unit.</w:t>
      </w:r>
    </w:p>
    <w:p w14:paraId="3355BC7E" w14:textId="290AB80E" w:rsidR="00D957D3" w:rsidRPr="005033D9" w:rsidRDefault="00D957D3" w:rsidP="00816478">
      <w:r w:rsidRPr="00D957D3">
        <w:rPr>
          <w:b/>
          <w:bCs/>
          <w:i/>
          <w:iCs/>
        </w:rPr>
        <w:t xml:space="preserve">Materials and Methods: </w:t>
      </w:r>
      <w:r w:rsidR="0093783F" w:rsidRPr="00435079">
        <w:t>Piglets (</w:t>
      </w:r>
      <w:r w:rsidR="0022332F">
        <w:t xml:space="preserve">181) </w:t>
      </w:r>
      <w:r w:rsidR="00760383">
        <w:t>were</w:t>
      </w:r>
      <w:r w:rsidR="00234AA6">
        <w:t xml:space="preserve"> split into two experimental groups</w:t>
      </w:r>
      <w:r w:rsidR="00E0269A">
        <w:t xml:space="preserve"> across two trials</w:t>
      </w:r>
      <w:r w:rsidR="00234AA6">
        <w:t xml:space="preserve"> (</w:t>
      </w:r>
      <w:proofErr w:type="spellStart"/>
      <w:r w:rsidR="00234AA6">
        <w:t>i</w:t>
      </w:r>
      <w:proofErr w:type="spellEnd"/>
      <w:r w:rsidR="00234AA6">
        <w:t xml:space="preserve">) </w:t>
      </w:r>
      <w:r w:rsidR="00545EE2">
        <w:t xml:space="preserve">intramuscular </w:t>
      </w:r>
      <w:r w:rsidR="00395C34">
        <w:t>(n=</w:t>
      </w:r>
      <w:r w:rsidR="00E44DB3">
        <w:t>91)</w:t>
      </w:r>
      <w:r w:rsidR="003A04F8">
        <w:t>;</w:t>
      </w:r>
      <w:r w:rsidR="00000E7A">
        <w:t xml:space="preserve"> receiving </w:t>
      </w:r>
      <w:proofErr w:type="spellStart"/>
      <w:r w:rsidR="00850435">
        <w:t>Ingelvac</w:t>
      </w:r>
      <w:proofErr w:type="spellEnd"/>
      <w:r w:rsidR="00850435">
        <w:t xml:space="preserve"> </w:t>
      </w:r>
      <w:proofErr w:type="spellStart"/>
      <w:r w:rsidR="00850435">
        <w:t>CircoFLEX</w:t>
      </w:r>
      <w:proofErr w:type="spellEnd"/>
      <w:r w:rsidR="00850435" w:rsidRPr="275D9E5A">
        <w:t>®</w:t>
      </w:r>
      <w:r w:rsidR="00B90019">
        <w:t xml:space="preserve"> (ii) </w:t>
      </w:r>
      <w:r w:rsidR="00E36255">
        <w:t>I</w:t>
      </w:r>
      <w:r w:rsidR="00545EE2">
        <w:t>ntradermal</w:t>
      </w:r>
      <w:r w:rsidR="00A82E0F">
        <w:t xml:space="preserve"> (</w:t>
      </w:r>
      <w:r w:rsidR="00F10229">
        <w:t>n=</w:t>
      </w:r>
      <w:r w:rsidR="00A82E0F">
        <w:t>90)</w:t>
      </w:r>
      <w:r w:rsidR="007F2C6C">
        <w:t xml:space="preserve">; receiving </w:t>
      </w:r>
      <w:proofErr w:type="spellStart"/>
      <w:r w:rsidR="007F2C6C">
        <w:t>Mhyosphere</w:t>
      </w:r>
      <w:proofErr w:type="spellEnd"/>
      <w:r w:rsidR="007F2C6C" w:rsidRPr="275D9E5A">
        <w:t>®</w:t>
      </w:r>
      <w:r w:rsidR="00036126">
        <w:t xml:space="preserve"> with </w:t>
      </w:r>
      <w:r w:rsidR="00B34284">
        <w:t xml:space="preserve">a </w:t>
      </w:r>
      <w:r w:rsidR="00BB6B6A">
        <w:t xml:space="preserve">needle-free </w:t>
      </w:r>
      <w:r w:rsidR="00B34284">
        <w:t>device</w:t>
      </w:r>
      <w:r w:rsidR="00036126">
        <w:t xml:space="preserve"> </w:t>
      </w:r>
      <w:proofErr w:type="spellStart"/>
      <w:r w:rsidR="00036126">
        <w:t>Hipradermic</w:t>
      </w:r>
      <w:proofErr w:type="spellEnd"/>
      <w:r w:rsidR="00036126">
        <w:t xml:space="preserve"> 3.0.</w:t>
      </w:r>
      <w:r w:rsidR="00B349B7">
        <w:t xml:space="preserve"> </w:t>
      </w:r>
      <w:r w:rsidR="00C60AC9">
        <w:t xml:space="preserve">Piglet </w:t>
      </w:r>
      <w:r w:rsidR="00AF47CC">
        <w:t>behaviours</w:t>
      </w:r>
      <w:r w:rsidR="008733B0">
        <w:t xml:space="preserve"> were observed</w:t>
      </w:r>
      <w:r w:rsidR="00B92CD9">
        <w:t xml:space="preserve"> at 1h or 24h post vaccination</w:t>
      </w:r>
      <w:r w:rsidR="00440EC3">
        <w:t xml:space="preserve"> (n=600)</w:t>
      </w:r>
      <w:r w:rsidR="008733B0">
        <w:t xml:space="preserve"> </w:t>
      </w:r>
      <w:r w:rsidR="00C60AC9">
        <w:t>using</w:t>
      </w:r>
      <w:r w:rsidR="008733B0">
        <w:t xml:space="preserve"> scan sampling, </w:t>
      </w:r>
      <w:r w:rsidR="00C60AC9">
        <w:t xml:space="preserve">to assess </w:t>
      </w:r>
      <w:r w:rsidR="00440EC3">
        <w:t>piglet welfare</w:t>
      </w:r>
      <w:r w:rsidR="00917B24">
        <w:t>. All observations were recorded using a CCTV system,</w:t>
      </w:r>
      <w:r w:rsidR="0042259D">
        <w:t xml:space="preserve"> using cameras placed above the experimental pens. </w:t>
      </w:r>
      <w:r w:rsidR="001140C0">
        <w:t>Vocalisations of pig</w:t>
      </w:r>
      <w:r w:rsidR="00B76F65">
        <w:t xml:space="preserve">lets during the point of vaccinations were recorded by observers. </w:t>
      </w:r>
      <w:r w:rsidR="00D57A6D">
        <w:t>P</w:t>
      </w:r>
      <w:r w:rsidR="00C91F40">
        <w:t>iglet</w:t>
      </w:r>
      <w:r w:rsidR="006C1C40">
        <w:t xml:space="preserve"> weights were recorded </w:t>
      </w:r>
      <w:r w:rsidR="007C6B08">
        <w:t>on the day of vaccination</w:t>
      </w:r>
      <w:r w:rsidR="00947F77">
        <w:t xml:space="preserve"> and</w:t>
      </w:r>
      <w:r w:rsidR="007C6B08">
        <w:t xml:space="preserve"> </w:t>
      </w:r>
      <w:r w:rsidR="00D57A6D">
        <w:t>one-week</w:t>
      </w:r>
      <w:r w:rsidR="00947F77">
        <w:t xml:space="preserve"> post-vaccination (</w:t>
      </w:r>
      <w:r w:rsidR="007C6B08">
        <w:t xml:space="preserve">piglets approx. </w:t>
      </w:r>
      <w:r w:rsidR="00947F77">
        <w:t>5 weeks old</w:t>
      </w:r>
      <w:r w:rsidR="001E58D4">
        <w:t>)</w:t>
      </w:r>
      <w:r w:rsidR="00D57A6D">
        <w:t xml:space="preserve"> to assess growth</w:t>
      </w:r>
      <w:r w:rsidR="001E58D4">
        <w:t xml:space="preserve">. </w:t>
      </w:r>
      <w:r w:rsidR="00855EEE">
        <w:t xml:space="preserve">Data </w:t>
      </w:r>
      <w:r w:rsidR="00937F36">
        <w:t>was analysed</w:t>
      </w:r>
      <w:r w:rsidR="00A06BA0">
        <w:t xml:space="preserve"> </w:t>
      </w:r>
      <w:r w:rsidR="00937F36">
        <w:t>using GenStat 22</w:t>
      </w:r>
      <w:r w:rsidR="00937F36" w:rsidRPr="006402DD">
        <w:rPr>
          <w:vertAlign w:val="superscript"/>
        </w:rPr>
        <w:t>nd</w:t>
      </w:r>
      <w:r w:rsidR="00937F36">
        <w:t xml:space="preserve"> edition (</w:t>
      </w:r>
      <w:proofErr w:type="spellStart"/>
      <w:r w:rsidR="00937F36">
        <w:t>VSNi</w:t>
      </w:r>
      <w:proofErr w:type="spellEnd"/>
      <w:r w:rsidR="00937F36">
        <w:t>)</w:t>
      </w:r>
      <w:r w:rsidR="003125B7">
        <w:t xml:space="preserve"> to examine </w:t>
      </w:r>
      <w:r w:rsidR="00A06BA0">
        <w:t>behaviours (Two-</w:t>
      </w:r>
      <w:r w:rsidR="00D2162E">
        <w:t>wa</w:t>
      </w:r>
      <w:r w:rsidR="00B23836">
        <w:t>y ANOVA), weights (T</w:t>
      </w:r>
      <w:r w:rsidR="00AF7148">
        <w:t>-tests) and vocalisations (Chi-square)</w:t>
      </w:r>
      <w:r w:rsidR="00D57A6D">
        <w:t>.</w:t>
      </w:r>
    </w:p>
    <w:p w14:paraId="25EB5DDC" w14:textId="6A33531D" w:rsidR="00D45A4A" w:rsidRDefault="00D957D3" w:rsidP="00816478">
      <w:r>
        <w:rPr>
          <w:b/>
          <w:bCs/>
          <w:i/>
          <w:iCs/>
        </w:rPr>
        <w:t>Results:</w:t>
      </w:r>
      <w:r w:rsidR="00D81FF0">
        <w:rPr>
          <w:b/>
          <w:bCs/>
          <w:i/>
          <w:iCs/>
        </w:rPr>
        <w:t xml:space="preserve"> </w:t>
      </w:r>
      <w:r w:rsidR="0069034B">
        <w:t xml:space="preserve">Piglets </w:t>
      </w:r>
      <w:r w:rsidR="00252BAA">
        <w:t xml:space="preserve">vaccinated </w:t>
      </w:r>
      <w:r w:rsidR="00AA1248">
        <w:t xml:space="preserve">using either the </w:t>
      </w:r>
      <w:r w:rsidR="00BB6B6A">
        <w:t>intramuscularly</w:t>
      </w:r>
      <w:r w:rsidR="00AA1248">
        <w:t xml:space="preserve"> or </w:t>
      </w:r>
      <w:r w:rsidR="00BB6B6A">
        <w:t xml:space="preserve">intradermally </w:t>
      </w:r>
      <w:r w:rsidR="00AA1248">
        <w:t xml:space="preserve">route </w:t>
      </w:r>
      <w:r w:rsidR="00B92CD9">
        <w:t xml:space="preserve">showed no statistically significant difference between the behaviours </w:t>
      </w:r>
      <w:r w:rsidR="000C2FBB">
        <w:t>observed</w:t>
      </w:r>
      <w:r w:rsidR="00D31C17">
        <w:t xml:space="preserve"> (Table 1)</w:t>
      </w:r>
      <w:r w:rsidR="000C2FBB">
        <w:t>.</w:t>
      </w:r>
      <w:r w:rsidR="00B63AB7">
        <w:t xml:space="preserve"> A higher percentage of</w:t>
      </w:r>
      <w:r w:rsidR="002E3A6E">
        <w:t xml:space="preserve"> </w:t>
      </w:r>
      <w:r w:rsidR="00B63AB7">
        <w:t>p</w:t>
      </w:r>
      <w:r w:rsidR="00DB21B8">
        <w:t xml:space="preserve">iglets in the </w:t>
      </w:r>
      <w:r w:rsidR="003564F9">
        <w:t>intradermal</w:t>
      </w:r>
      <w:r w:rsidR="00DB21B8">
        <w:t xml:space="preserve"> </w:t>
      </w:r>
      <w:r w:rsidR="003564F9">
        <w:t>vaccination group</w:t>
      </w:r>
      <w:r w:rsidR="00CC2F2F">
        <w:t xml:space="preserve">, were </w:t>
      </w:r>
      <w:r w:rsidR="00C949A5">
        <w:t>standing or sitting</w:t>
      </w:r>
      <w:r w:rsidR="0054725A">
        <w:t xml:space="preserve"> versus those vaccinated </w:t>
      </w:r>
      <w:r w:rsidR="00BB6B6A">
        <w:t>intramuscularly</w:t>
      </w:r>
      <w:r w:rsidR="0054725A">
        <w:t xml:space="preserve"> at both 1h and 24h post vaccination. </w:t>
      </w:r>
      <w:r w:rsidR="00FD0EA4">
        <w:t>Piglets were observed spending more time drinking and feeding 24 hrs compared to 1 hr post-vaccination (P&lt;0.001).</w:t>
      </w:r>
      <w:r w:rsidR="002C5582">
        <w:t xml:space="preserve"> </w:t>
      </w:r>
      <w:r w:rsidR="00E44208">
        <w:t xml:space="preserve">Piglets vaccinated via the </w:t>
      </w:r>
      <w:r w:rsidR="003564F9">
        <w:t>intramuscular</w:t>
      </w:r>
      <w:r w:rsidR="00E44208">
        <w:t xml:space="preserve"> route</w:t>
      </w:r>
      <w:r w:rsidR="000631A8">
        <w:t xml:space="preserve"> (51.1%)</w:t>
      </w:r>
      <w:r w:rsidR="00051904">
        <w:t xml:space="preserve"> </w:t>
      </w:r>
      <w:r w:rsidR="00F53C30">
        <w:t>vocalised</w:t>
      </w:r>
      <w:r w:rsidR="00AE2BEB">
        <w:t xml:space="preserve"> more</w:t>
      </w:r>
      <w:r w:rsidR="00F53C30">
        <w:t xml:space="preserve"> compared to </w:t>
      </w:r>
      <w:r w:rsidR="00E55368">
        <w:t xml:space="preserve">the </w:t>
      </w:r>
      <w:r w:rsidR="003564F9">
        <w:t>intradermal</w:t>
      </w:r>
      <w:r w:rsidR="00E55368">
        <w:t xml:space="preserve"> route </w:t>
      </w:r>
      <w:r w:rsidR="000631A8">
        <w:t>(</w:t>
      </w:r>
      <w:r w:rsidR="0090594E">
        <w:t>43.8%), although this difference was non-significant (p=0.329)</w:t>
      </w:r>
      <w:r w:rsidR="00C10046">
        <w:t xml:space="preserve">. Pre-vaccination </w:t>
      </w:r>
      <w:r w:rsidR="00A3435E">
        <w:t>weights were similar</w:t>
      </w:r>
      <w:r w:rsidR="00204D20">
        <w:t xml:space="preserve"> across the two </w:t>
      </w:r>
      <w:r w:rsidR="003811CD">
        <w:t>treatments</w:t>
      </w:r>
      <w:r w:rsidR="00D45A4A">
        <w:t>; intradermal</w:t>
      </w:r>
      <w:r w:rsidR="003811CD">
        <w:t xml:space="preserve"> </w:t>
      </w:r>
      <w:r w:rsidR="00D45A4A">
        <w:t>(</w:t>
      </w:r>
      <w:r w:rsidR="00D74679">
        <w:t xml:space="preserve">7.71 </w:t>
      </w:r>
      <w:r w:rsidR="00D74679">
        <w:rPr>
          <w:rFonts w:cstheme="minorHAnsi"/>
        </w:rPr>
        <w:t xml:space="preserve">± </w:t>
      </w:r>
      <w:r w:rsidR="00D74679">
        <w:t>1.64 kg</w:t>
      </w:r>
      <w:r w:rsidR="00D45A4A">
        <w:t>)</w:t>
      </w:r>
      <w:r w:rsidR="00D74679">
        <w:t xml:space="preserve"> and </w:t>
      </w:r>
      <w:r w:rsidR="00D45A4A">
        <w:t>intramuscular (</w:t>
      </w:r>
      <w:r w:rsidR="00D74679">
        <w:t xml:space="preserve">7.39 </w:t>
      </w:r>
      <w:r w:rsidR="00D74679">
        <w:rPr>
          <w:rFonts w:cstheme="minorHAnsi"/>
        </w:rPr>
        <w:t>±</w:t>
      </w:r>
      <w:r w:rsidR="00D74679">
        <w:t xml:space="preserve"> 1.79 kg)</w:t>
      </w:r>
      <w:r w:rsidR="00204D20">
        <w:t xml:space="preserve">, and </w:t>
      </w:r>
      <w:r w:rsidR="00FE27E8">
        <w:t xml:space="preserve">post-vaccination </w:t>
      </w:r>
      <w:r w:rsidR="00D107D3">
        <w:t>intradermally vaccinated</w:t>
      </w:r>
      <w:r w:rsidR="00FE27E8">
        <w:t xml:space="preserve"> piglets </w:t>
      </w:r>
      <w:r w:rsidR="00DC015B">
        <w:t xml:space="preserve">were heavier </w:t>
      </w:r>
      <w:r w:rsidR="000F3EF1">
        <w:t xml:space="preserve">(8.49 </w:t>
      </w:r>
      <w:r w:rsidR="000F3EF1">
        <w:rPr>
          <w:rFonts w:cstheme="minorHAnsi"/>
        </w:rPr>
        <w:t xml:space="preserve">± </w:t>
      </w:r>
      <w:r w:rsidR="000F3EF1">
        <w:t xml:space="preserve">1.79 kg) </w:t>
      </w:r>
      <w:r w:rsidR="00DC015B">
        <w:t xml:space="preserve">compared to </w:t>
      </w:r>
      <w:r w:rsidR="00D107D3">
        <w:t>intramuscular</w:t>
      </w:r>
      <w:r w:rsidR="00DC015B">
        <w:t xml:space="preserve"> piglets </w:t>
      </w:r>
      <w:r w:rsidR="00C225B8">
        <w:t xml:space="preserve">(7.58 </w:t>
      </w:r>
      <w:r w:rsidR="00C225B8">
        <w:rPr>
          <w:rFonts w:cstheme="minorHAnsi"/>
        </w:rPr>
        <w:t xml:space="preserve">± </w:t>
      </w:r>
      <w:r w:rsidR="00C225B8">
        <w:t>1.79 kg).</w:t>
      </w:r>
      <w:r w:rsidR="00F42EF5">
        <w:t xml:space="preserve"> </w:t>
      </w:r>
    </w:p>
    <w:p w14:paraId="4A394DC8" w14:textId="3CD95DB1" w:rsidR="00D957D3" w:rsidRDefault="00D957D3" w:rsidP="00816478">
      <w:r>
        <w:rPr>
          <w:b/>
          <w:bCs/>
          <w:i/>
          <w:iCs/>
        </w:rPr>
        <w:t>Conclusion:</w:t>
      </w:r>
      <w:r w:rsidR="008C517A">
        <w:rPr>
          <w:b/>
          <w:bCs/>
          <w:i/>
          <w:iCs/>
        </w:rPr>
        <w:t xml:space="preserve"> </w:t>
      </w:r>
      <w:r w:rsidR="008C517A" w:rsidRPr="0036677C">
        <w:t>Th</w:t>
      </w:r>
      <w:r w:rsidR="00BF7B9E" w:rsidRPr="0036677C">
        <w:t xml:space="preserve">e use of </w:t>
      </w:r>
      <w:r w:rsidR="00197894">
        <w:t xml:space="preserve">a </w:t>
      </w:r>
      <w:r w:rsidR="00BB6B6A">
        <w:t>needle-free device</w:t>
      </w:r>
      <w:r w:rsidR="00197894">
        <w:t xml:space="preserve"> </w:t>
      </w:r>
      <w:r w:rsidR="004562C2">
        <w:t xml:space="preserve">to deliver a vaccine </w:t>
      </w:r>
      <w:r w:rsidR="008A41E3">
        <w:t xml:space="preserve">through </w:t>
      </w:r>
      <w:proofErr w:type="gramStart"/>
      <w:r w:rsidR="00F42EF5">
        <w:t>a</w:t>
      </w:r>
      <w:proofErr w:type="gramEnd"/>
      <w:r w:rsidR="00F42EF5">
        <w:t xml:space="preserve"> </w:t>
      </w:r>
      <w:r w:rsidR="00BB6B6A">
        <w:t>intradermal</w:t>
      </w:r>
      <w:r w:rsidR="008A41E3">
        <w:t xml:space="preserve"> route</w:t>
      </w:r>
      <w:r w:rsidR="004562C2">
        <w:t xml:space="preserve"> </w:t>
      </w:r>
      <w:r w:rsidR="00BF7B9E" w:rsidRPr="0036677C">
        <w:t xml:space="preserve">did not reveal </w:t>
      </w:r>
      <w:r w:rsidR="004562C2" w:rsidRPr="0036677C">
        <w:t>adverse effects</w:t>
      </w:r>
      <w:r w:rsidR="004562C2">
        <w:t xml:space="preserve"> on piglet welfare</w:t>
      </w:r>
      <w:r w:rsidR="008A41E3">
        <w:t xml:space="preserve">. </w:t>
      </w:r>
      <w:r w:rsidR="004A5853">
        <w:t>Piglets in the intradermal group demonstrated an increase in weight that may be associated with avoiding invasive and stressful procedure.</w:t>
      </w:r>
      <w:r w:rsidR="00F42EF5">
        <w:t xml:space="preserve"> </w:t>
      </w:r>
      <w:r w:rsidR="008A41E3">
        <w:t>These findings</w:t>
      </w:r>
      <w:r w:rsidR="004562C2">
        <w:t xml:space="preserve"> support</w:t>
      </w:r>
      <w:r w:rsidR="008A41E3">
        <w:t xml:space="preserve"> </w:t>
      </w:r>
      <w:r w:rsidR="004562C2">
        <w:t xml:space="preserve">the </w:t>
      </w:r>
      <w:r w:rsidR="00CF01D8">
        <w:t xml:space="preserve">literature that </w:t>
      </w:r>
      <w:r w:rsidR="00A2095C">
        <w:t xml:space="preserve">needle-free devices </w:t>
      </w:r>
      <w:r w:rsidR="00CF01D8">
        <w:t xml:space="preserve">offer an </w:t>
      </w:r>
      <w:r w:rsidR="00105834">
        <w:t xml:space="preserve">alternative that </w:t>
      </w:r>
      <w:r w:rsidR="00735690">
        <w:t xml:space="preserve">provides advantages over </w:t>
      </w:r>
      <w:r w:rsidR="0092483E">
        <w:t>needle-based</w:t>
      </w:r>
      <w:r w:rsidR="00735690">
        <w:t xml:space="preserve"> delivery methods of vaccines.</w:t>
      </w:r>
      <w:r w:rsidR="00105834">
        <w:t xml:space="preserve"> </w:t>
      </w:r>
    </w:p>
    <w:p w14:paraId="24F32047" w14:textId="173CB96E" w:rsidR="004C043F" w:rsidRDefault="004C043F" w:rsidP="00816478">
      <w:r w:rsidRPr="00F74FD3">
        <w:rPr>
          <w:b/>
          <w:bCs/>
          <w:i/>
          <w:iCs/>
        </w:rPr>
        <w:lastRenderedPageBreak/>
        <w:t>Acknowledgement</w:t>
      </w:r>
      <w:r w:rsidR="00F74FD3" w:rsidRPr="00F74FD3">
        <w:rPr>
          <w:b/>
          <w:bCs/>
          <w:i/>
          <w:iCs/>
        </w:rPr>
        <w:t>:</w:t>
      </w:r>
      <w:r w:rsidR="00464824">
        <w:rPr>
          <w:b/>
          <w:bCs/>
          <w:i/>
          <w:iCs/>
        </w:rPr>
        <w:t xml:space="preserve"> </w:t>
      </w:r>
      <w:r w:rsidR="00032B50">
        <w:t xml:space="preserve">The authors are thankful to HIPRA </w:t>
      </w:r>
      <w:r w:rsidR="00495E74">
        <w:t xml:space="preserve">for their support </w:t>
      </w:r>
      <w:r w:rsidR="00D1002A">
        <w:t xml:space="preserve">especially Jonathan </w:t>
      </w:r>
      <w:proofErr w:type="spellStart"/>
      <w:r w:rsidR="00D1002A">
        <w:t>Mckechnie</w:t>
      </w:r>
      <w:proofErr w:type="spellEnd"/>
      <w:r w:rsidR="00D1002A">
        <w:t xml:space="preserve"> </w:t>
      </w:r>
      <w:r w:rsidR="00495E74">
        <w:t>and provision of the device</w:t>
      </w:r>
      <w:r w:rsidR="00D634DA">
        <w:t>. F</w:t>
      </w:r>
      <w:r w:rsidR="00495E74">
        <w:t xml:space="preserve">unding received from Research England. </w:t>
      </w:r>
    </w:p>
    <w:p w14:paraId="58638FEC" w14:textId="05D6105F" w:rsidR="00013881" w:rsidRDefault="00013881" w:rsidP="00816478">
      <w:pPr>
        <w:rPr>
          <w:b/>
          <w:bCs/>
          <w:i/>
          <w:iCs/>
        </w:rPr>
      </w:pPr>
      <w:r w:rsidRPr="00013881">
        <w:rPr>
          <w:b/>
          <w:bCs/>
          <w:i/>
          <w:iCs/>
        </w:rPr>
        <w:t>References:</w:t>
      </w:r>
    </w:p>
    <w:p w14:paraId="4EE7D8C4" w14:textId="5C4713F4" w:rsidR="00B64EAF" w:rsidRDefault="009D46DB" w:rsidP="00816478">
      <w:proofErr w:type="spellStart"/>
      <w:r w:rsidRPr="00473E59">
        <w:t>Có</w:t>
      </w:r>
      <w:proofErr w:type="spellEnd"/>
      <w:r w:rsidRPr="00473E59">
        <w:t>-Rives</w:t>
      </w:r>
      <w:r w:rsidR="00D42583" w:rsidRPr="00473E59">
        <w:t>, I.,</w:t>
      </w:r>
      <w:r w:rsidR="004754C0" w:rsidRPr="00473E59">
        <w:t xml:space="preserve"> Chen, A.Y-A. 202</w:t>
      </w:r>
      <w:r w:rsidR="00EF5236" w:rsidRPr="00473E59">
        <w:t>3. Vaccines</w:t>
      </w:r>
      <w:r w:rsidR="0049486A" w:rsidRPr="00473E59">
        <w:t>, 11 (2)</w:t>
      </w:r>
      <w:r w:rsidR="00221D13" w:rsidRPr="00473E59">
        <w:t>, 450</w:t>
      </w:r>
    </w:p>
    <w:p w14:paraId="07E25C10" w14:textId="4BF7D493" w:rsidR="00B64EAF" w:rsidRDefault="002077D0" w:rsidP="00816478">
      <w:r w:rsidRPr="00A01A69">
        <w:t>Dalmau</w:t>
      </w:r>
      <w:r w:rsidR="00E36632" w:rsidRPr="00A01A69">
        <w:t>,</w:t>
      </w:r>
      <w:r w:rsidRPr="00A01A69">
        <w:t xml:space="preserve"> A., Sánchez-Matamoros</w:t>
      </w:r>
      <w:r w:rsidR="00E36632" w:rsidRPr="00A01A69">
        <w:t>,</w:t>
      </w:r>
      <w:r w:rsidRPr="00A01A69">
        <w:t xml:space="preserve"> A., Molina</w:t>
      </w:r>
      <w:r w:rsidR="00E36632" w:rsidRPr="00A01A69">
        <w:t>,</w:t>
      </w:r>
      <w:r w:rsidRPr="00A01A69">
        <w:t xml:space="preserve"> J</w:t>
      </w:r>
      <w:r w:rsidR="00E36632" w:rsidRPr="00A01A69">
        <w:t>.</w:t>
      </w:r>
      <w:r w:rsidRPr="00A01A69">
        <w:t>M</w:t>
      </w:r>
      <w:r w:rsidR="00E36632" w:rsidRPr="00A01A69">
        <w:t>.</w:t>
      </w:r>
      <w:r w:rsidRPr="00A01A69">
        <w:t xml:space="preserve">, </w:t>
      </w:r>
      <w:proofErr w:type="spellStart"/>
      <w:r w:rsidRPr="00A01A69">
        <w:t>Xercavins</w:t>
      </w:r>
      <w:proofErr w:type="spellEnd"/>
      <w:r w:rsidR="00E36632" w:rsidRPr="00A01A69">
        <w:t>,</w:t>
      </w:r>
      <w:r w:rsidRPr="00A01A69">
        <w:t xml:space="preserve"> A</w:t>
      </w:r>
      <w:r w:rsidR="00E36632" w:rsidRPr="00A01A69">
        <w:t>.</w:t>
      </w:r>
      <w:r w:rsidRPr="00A01A69">
        <w:t xml:space="preserve">, </w:t>
      </w:r>
      <w:proofErr w:type="spellStart"/>
      <w:r w:rsidRPr="00A01A69">
        <w:t>Varvaró</w:t>
      </w:r>
      <w:proofErr w:type="spellEnd"/>
      <w:r w:rsidRPr="00A01A69">
        <w:t>-Porter</w:t>
      </w:r>
      <w:r w:rsidR="00E36632" w:rsidRPr="00A01A69">
        <w:t>,</w:t>
      </w:r>
      <w:r w:rsidRPr="00A01A69">
        <w:t xml:space="preserve"> A</w:t>
      </w:r>
      <w:r w:rsidR="00E36632" w:rsidRPr="00A01A69">
        <w:t>.</w:t>
      </w:r>
      <w:r w:rsidRPr="00A01A69">
        <w:t>, Muñoz</w:t>
      </w:r>
      <w:r w:rsidR="00E36632" w:rsidRPr="00A01A69">
        <w:t>,</w:t>
      </w:r>
      <w:r w:rsidRPr="00A01A69">
        <w:t xml:space="preserve"> I</w:t>
      </w:r>
      <w:r w:rsidR="00E36632" w:rsidRPr="00A01A69">
        <w:t>.</w:t>
      </w:r>
      <w:r w:rsidRPr="00A01A69">
        <w:t>, Moles</w:t>
      </w:r>
      <w:r w:rsidR="00A01A69" w:rsidRPr="00A01A69">
        <w:t>,</w:t>
      </w:r>
      <w:r w:rsidRPr="00A01A69">
        <w:t xml:space="preserve"> X</w:t>
      </w:r>
      <w:r w:rsidR="00A01A69" w:rsidRPr="00A01A69">
        <w:t>.</w:t>
      </w:r>
      <w:r w:rsidRPr="00A01A69">
        <w:t xml:space="preserve">, </w:t>
      </w:r>
      <w:proofErr w:type="spellStart"/>
      <w:r w:rsidRPr="00A01A69">
        <w:t>Baulida</w:t>
      </w:r>
      <w:proofErr w:type="spellEnd"/>
      <w:r w:rsidR="00A01A69" w:rsidRPr="00A01A69">
        <w:t>,</w:t>
      </w:r>
      <w:r w:rsidRPr="00A01A69">
        <w:t xml:space="preserve"> B</w:t>
      </w:r>
      <w:r w:rsidR="00A01A69" w:rsidRPr="00A01A69">
        <w:t>.</w:t>
      </w:r>
      <w:r w:rsidRPr="00A01A69">
        <w:t xml:space="preserve">, </w:t>
      </w:r>
      <w:proofErr w:type="spellStart"/>
      <w:r w:rsidRPr="00A01A69">
        <w:t>Fàbrega</w:t>
      </w:r>
      <w:proofErr w:type="spellEnd"/>
      <w:r w:rsidR="00A01A69" w:rsidRPr="00A01A69">
        <w:t>,</w:t>
      </w:r>
      <w:r w:rsidRPr="00A01A69">
        <w:t xml:space="preserve"> E</w:t>
      </w:r>
      <w:r w:rsidR="00A01A69" w:rsidRPr="00A01A69">
        <w:t>.</w:t>
      </w:r>
      <w:r w:rsidRPr="00A01A69">
        <w:t>, Velarde</w:t>
      </w:r>
      <w:r w:rsidR="00A01A69" w:rsidRPr="00A01A69">
        <w:t>,</w:t>
      </w:r>
      <w:r w:rsidRPr="00A01A69">
        <w:t xml:space="preserve"> A</w:t>
      </w:r>
      <w:r w:rsidR="00A01A69" w:rsidRPr="00A01A69">
        <w:t>.</w:t>
      </w:r>
      <w:r w:rsidRPr="00A01A69">
        <w:t xml:space="preserve">, </w:t>
      </w:r>
      <w:proofErr w:type="spellStart"/>
      <w:r w:rsidRPr="00A01A69">
        <w:t>Pallisera</w:t>
      </w:r>
      <w:proofErr w:type="spellEnd"/>
      <w:r w:rsidR="00A01A69" w:rsidRPr="00A01A69">
        <w:t>,</w:t>
      </w:r>
      <w:r w:rsidRPr="00A01A69">
        <w:t xml:space="preserve"> J</w:t>
      </w:r>
      <w:r w:rsidR="00A01A69" w:rsidRPr="00A01A69">
        <w:t>.</w:t>
      </w:r>
      <w:r w:rsidRPr="00A01A69">
        <w:t xml:space="preserve">, </w:t>
      </w:r>
      <w:proofErr w:type="spellStart"/>
      <w:r w:rsidRPr="00A01A69">
        <w:t>Puigredon</w:t>
      </w:r>
      <w:proofErr w:type="spellEnd"/>
      <w:r w:rsidR="00A01A69" w:rsidRPr="00A01A69">
        <w:t>,</w:t>
      </w:r>
      <w:r w:rsidRPr="00A01A69">
        <w:t xml:space="preserve"> A</w:t>
      </w:r>
      <w:r w:rsidR="00A01A69" w:rsidRPr="00A01A69">
        <w:t>.</w:t>
      </w:r>
      <w:r w:rsidRPr="00A01A69">
        <w:t>, Contreras-</w:t>
      </w:r>
      <w:proofErr w:type="spellStart"/>
      <w:r w:rsidRPr="00A01A69">
        <w:t>Jodar</w:t>
      </w:r>
      <w:proofErr w:type="spellEnd"/>
      <w:r w:rsidR="00A01A69" w:rsidRPr="00A01A69">
        <w:t>,</w:t>
      </w:r>
      <w:r w:rsidRPr="00A01A69">
        <w:t xml:space="preserve"> A</w:t>
      </w:r>
      <w:r w:rsidR="00A01A69" w:rsidRPr="00A01A69">
        <w:t>.</w:t>
      </w:r>
      <w:r w:rsidR="006178F8">
        <w:t xml:space="preserve"> 2021. Frontiers in veterinary science, 8, 715260.</w:t>
      </w:r>
    </w:p>
    <w:p w14:paraId="32C4CDDA" w14:textId="7F8CAF39" w:rsidR="006178F8" w:rsidRDefault="00D154FF" w:rsidP="00816478">
      <w:r w:rsidRPr="00D154FF">
        <w:t xml:space="preserve">López-Lorenzo, G., Prieto, A., López-Novo, C., Díaz, P., López, C. M., </w:t>
      </w:r>
      <w:proofErr w:type="spellStart"/>
      <w:r w:rsidRPr="00D154FF">
        <w:t>Morrondo</w:t>
      </w:r>
      <w:proofErr w:type="spellEnd"/>
      <w:r w:rsidRPr="00D154FF">
        <w:t>, P., Fernández, G., &amp; Díaz-Cao, J. M.</w:t>
      </w:r>
      <w:r w:rsidR="00B762DA">
        <w:t xml:space="preserve"> 2021. Animals,</w:t>
      </w:r>
      <w:r w:rsidR="007147C8">
        <w:t xml:space="preserve"> 11 (6), 1553. </w:t>
      </w:r>
    </w:p>
    <w:p w14:paraId="3985F59D" w14:textId="2BC43054" w:rsidR="007147C8" w:rsidRPr="00D154FF" w:rsidRDefault="007335E3" w:rsidP="00052FCA">
      <w:r>
        <w:rPr>
          <w:noProof/>
        </w:rPr>
        <w:drawing>
          <wp:anchor distT="0" distB="0" distL="114300" distR="114300" simplePos="0" relativeHeight="251663360" behindDoc="0" locked="0" layoutInCell="1" allowOverlap="1" wp14:anchorId="1D734FF1" wp14:editId="156129CC">
            <wp:simplePos x="0" y="0"/>
            <wp:positionH relativeFrom="margin">
              <wp:posOffset>180975</wp:posOffset>
            </wp:positionH>
            <wp:positionV relativeFrom="paragraph">
              <wp:posOffset>1038860</wp:posOffset>
            </wp:positionV>
            <wp:extent cx="5210175" cy="2967355"/>
            <wp:effectExtent l="0" t="0" r="9525"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11111"/>
                    <a:stretch/>
                  </pic:blipFill>
                  <pic:spPr bwMode="auto">
                    <a:xfrm>
                      <a:off x="0" y="0"/>
                      <a:ext cx="5210175" cy="2967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3947" w:rsidRPr="00A01A69">
        <w:rPr>
          <w:noProof/>
        </w:rPr>
        <mc:AlternateContent>
          <mc:Choice Requires="wpg">
            <w:drawing>
              <wp:anchor distT="0" distB="0" distL="114300" distR="114300" simplePos="0" relativeHeight="251662336" behindDoc="0" locked="0" layoutInCell="1" allowOverlap="1" wp14:anchorId="4C513C0A" wp14:editId="1A2F5197">
                <wp:simplePos x="0" y="0"/>
                <wp:positionH relativeFrom="margin">
                  <wp:align>right</wp:align>
                </wp:positionH>
                <wp:positionV relativeFrom="paragraph">
                  <wp:posOffset>534670</wp:posOffset>
                </wp:positionV>
                <wp:extent cx="5699815" cy="3883025"/>
                <wp:effectExtent l="0" t="0" r="0" b="3175"/>
                <wp:wrapNone/>
                <wp:docPr id="4" name="Group 4"/>
                <wp:cNvGraphicFramePr/>
                <a:graphic xmlns:a="http://schemas.openxmlformats.org/drawingml/2006/main">
                  <a:graphicData uri="http://schemas.microsoft.com/office/word/2010/wordprocessingGroup">
                    <wpg:wgp>
                      <wpg:cNvGrpSpPr/>
                      <wpg:grpSpPr>
                        <a:xfrm>
                          <a:off x="0" y="0"/>
                          <a:ext cx="5699815" cy="3883025"/>
                          <a:chOff x="0" y="0"/>
                          <a:chExt cx="5246551" cy="3883035"/>
                        </a:xfrm>
                      </wpg:grpSpPr>
                      <wps:wsp>
                        <wps:cNvPr id="217" name="Text Box 2"/>
                        <wps:cNvSpPr txBox="1">
                          <a:spLocks noChangeArrowheads="1"/>
                        </wps:cNvSpPr>
                        <wps:spPr bwMode="auto">
                          <a:xfrm>
                            <a:off x="21771" y="0"/>
                            <a:ext cx="5224780" cy="570230"/>
                          </a:xfrm>
                          <a:prstGeom prst="rect">
                            <a:avLst/>
                          </a:prstGeom>
                          <a:solidFill>
                            <a:srgbClr val="FFFFFF"/>
                          </a:solidFill>
                          <a:ln w="9525">
                            <a:noFill/>
                            <a:miter lim="800000"/>
                            <a:headEnd/>
                            <a:tailEnd/>
                          </a:ln>
                        </wps:spPr>
                        <wps:txbx>
                          <w:txbxContent>
                            <w:p w14:paraId="12729900" w14:textId="4267B397" w:rsidR="00B64EAF" w:rsidRDefault="00B64EAF">
                              <w:r w:rsidRPr="00DB24E4">
                                <w:rPr>
                                  <w:b/>
                                  <w:bCs/>
                                </w:rPr>
                                <w:t>Table 1.</w:t>
                              </w:r>
                              <w:r w:rsidR="00DB24E4">
                                <w:t xml:space="preserve"> Behaviours of piglets at two time points post-vaccination with either an Intradermal (ID) or Intramuscular (IM) vaccine.</w:t>
                              </w:r>
                            </w:p>
                          </w:txbxContent>
                        </wps:txbx>
                        <wps:bodyPr rot="0" vert="horz" wrap="square" lIns="91440" tIns="45720" rIns="91440" bIns="45720" anchor="t" anchorCtr="0">
                          <a:noAutofit/>
                        </wps:bodyPr>
                      </wps:wsp>
                      <wps:wsp>
                        <wps:cNvPr id="3" name="Text Box 2"/>
                        <wps:cNvSpPr txBox="1">
                          <a:spLocks noChangeArrowheads="1"/>
                        </wps:cNvSpPr>
                        <wps:spPr bwMode="auto">
                          <a:xfrm>
                            <a:off x="0" y="3472191"/>
                            <a:ext cx="5224779" cy="410844"/>
                          </a:xfrm>
                          <a:prstGeom prst="rect">
                            <a:avLst/>
                          </a:prstGeom>
                          <a:solidFill>
                            <a:srgbClr val="FFFFFF"/>
                          </a:solidFill>
                          <a:ln w="9525">
                            <a:noFill/>
                            <a:miter lim="800000"/>
                            <a:headEnd/>
                            <a:tailEnd/>
                          </a:ln>
                        </wps:spPr>
                        <wps:txbx>
                          <w:txbxContent>
                            <w:p w14:paraId="7E13AFA3" w14:textId="77777777" w:rsidR="00EC5614" w:rsidRPr="00EC5614" w:rsidRDefault="00EC5614" w:rsidP="00EC5614">
                              <w:pPr>
                                <w:tabs>
                                  <w:tab w:val="left" w:pos="0"/>
                                  <w:tab w:val="right" w:pos="3159"/>
                                  <w:tab w:val="right" w:pos="4563"/>
                                  <w:tab w:val="right" w:pos="5967"/>
                                  <w:tab w:val="right" w:pos="7371"/>
                                </w:tabs>
                                <w:autoSpaceDE w:val="0"/>
                                <w:autoSpaceDN w:val="0"/>
                                <w:adjustRightInd w:val="0"/>
                                <w:spacing w:after="0" w:line="240" w:lineRule="auto"/>
                                <w:rPr>
                                  <w:rFonts w:cstheme="minorHAnsi"/>
                                  <w:color w:val="000000"/>
                                  <w:sz w:val="20"/>
                                  <w:szCs w:val="20"/>
                                </w:rPr>
                              </w:pPr>
                              <w:r w:rsidRPr="00EC5614">
                                <w:rPr>
                                  <w:rFonts w:cstheme="minorHAnsi"/>
                                  <w:color w:val="000000"/>
                                  <w:sz w:val="20"/>
                                  <w:szCs w:val="20"/>
                                  <w:vertAlign w:val="superscript"/>
                                </w:rPr>
                                <w:t>1</w:t>
                              </w:r>
                              <w:r w:rsidRPr="00EC5614">
                                <w:rPr>
                                  <w:rFonts w:cstheme="minorHAnsi"/>
                                  <w:color w:val="000000"/>
                                  <w:sz w:val="20"/>
                                  <w:szCs w:val="20"/>
                                </w:rPr>
                                <w:t>SED = Standard Error of Difference</w:t>
                              </w:r>
                            </w:p>
                            <w:p w14:paraId="61E440AE" w14:textId="292D3730" w:rsidR="00C428AF" w:rsidRPr="00EC5614" w:rsidRDefault="00EC5614" w:rsidP="00EC5614">
                              <w:pPr>
                                <w:tabs>
                                  <w:tab w:val="left" w:pos="0"/>
                                  <w:tab w:val="right" w:pos="3159"/>
                                  <w:tab w:val="right" w:pos="4563"/>
                                  <w:tab w:val="right" w:pos="5967"/>
                                  <w:tab w:val="right" w:pos="7371"/>
                                </w:tabs>
                                <w:autoSpaceDE w:val="0"/>
                                <w:autoSpaceDN w:val="0"/>
                                <w:adjustRightInd w:val="0"/>
                                <w:spacing w:after="0" w:line="240" w:lineRule="auto"/>
                                <w:rPr>
                                  <w:rFonts w:cstheme="minorHAnsi"/>
                                  <w:color w:val="000000"/>
                                  <w:sz w:val="20"/>
                                  <w:szCs w:val="20"/>
                                </w:rPr>
                              </w:pPr>
                              <w:r w:rsidRPr="00EC5614">
                                <w:rPr>
                                  <w:rFonts w:cstheme="minorHAnsi"/>
                                  <w:color w:val="000000"/>
                                  <w:sz w:val="20"/>
                                  <w:szCs w:val="20"/>
                                </w:rPr>
                                <w:t xml:space="preserve">*** indicates significance at </w:t>
                              </w:r>
                              <w:r w:rsidRPr="00EC5614">
                                <w:rPr>
                                  <w:rFonts w:cstheme="minorHAnsi"/>
                                  <w:i/>
                                  <w:iCs/>
                                  <w:color w:val="000000"/>
                                  <w:sz w:val="20"/>
                                  <w:szCs w:val="20"/>
                                </w:rPr>
                                <w:t>P</w:t>
                              </w:r>
                              <w:r w:rsidRPr="00EC5614">
                                <w:rPr>
                                  <w:rFonts w:cstheme="minorHAnsi"/>
                                  <w:color w:val="000000"/>
                                  <w:sz w:val="20"/>
                                  <w:szCs w:val="20"/>
                                </w:rPr>
                                <w:t>&lt;0.001</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C513C0A" id="Group 4" o:spid="_x0000_s1026" style="position:absolute;margin-left:397.6pt;margin-top:42.1pt;width:448.8pt;height:305.75pt;z-index:251662336;mso-position-horizontal:right;mso-position-horizontal-relative:margin;mso-width-relative:margin" coordsize="52465,3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">
                <v:shapetype id="_x0000_t202" coordsize="21600,21600" o:spt="202" path="m,l,21600r21600,l21600,xe">
                  <v:stroke joinstyle="miter"/>
                  <v:path gradientshapeok="t" o:connecttype="rect"/>
                </v:shapetype>
                <v:shape id="Text Box 2" o:spid="_x0000_s1027" type="#_x0000_t202" style="position:absolute;left:217;width:52248;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2729900" w14:textId="4267B397" w:rsidR="00B64EAF" w:rsidRDefault="00B64EAF">
                        <w:r w:rsidRPr="00DB24E4">
                          <w:rPr>
                            <w:b/>
                            <w:bCs/>
                          </w:rPr>
                          <w:t>Table 1.</w:t>
                        </w:r>
                        <w:r w:rsidR="00DB24E4">
                          <w:t xml:space="preserve"> Behaviours of piglets at two time points post-vaccination with either an Intradermal (ID) or Intramuscular (IM) vaccine.</w:t>
                        </w:r>
                      </w:p>
                    </w:txbxContent>
                  </v:textbox>
                </v:shape>
                <v:shape id="Text Box 2" o:spid="_x0000_s1028" type="#_x0000_t202" style="position:absolute;top:34721;width:52247;height: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13AFA3" w14:textId="77777777" w:rsidR="00EC5614" w:rsidRPr="00EC5614" w:rsidRDefault="00EC5614" w:rsidP="00EC5614">
                        <w:pPr>
                          <w:tabs>
                            <w:tab w:val="left" w:pos="0"/>
                            <w:tab w:val="right" w:pos="3159"/>
                            <w:tab w:val="right" w:pos="4563"/>
                            <w:tab w:val="right" w:pos="5967"/>
                            <w:tab w:val="right" w:pos="7371"/>
                          </w:tabs>
                          <w:autoSpaceDE w:val="0"/>
                          <w:autoSpaceDN w:val="0"/>
                          <w:adjustRightInd w:val="0"/>
                          <w:spacing w:after="0" w:line="240" w:lineRule="auto"/>
                          <w:rPr>
                            <w:rFonts w:cstheme="minorHAnsi"/>
                            <w:color w:val="000000"/>
                            <w:sz w:val="20"/>
                            <w:szCs w:val="20"/>
                          </w:rPr>
                        </w:pPr>
                        <w:r w:rsidRPr="00EC5614">
                          <w:rPr>
                            <w:rFonts w:cstheme="minorHAnsi"/>
                            <w:color w:val="000000"/>
                            <w:sz w:val="20"/>
                            <w:szCs w:val="20"/>
                            <w:vertAlign w:val="superscript"/>
                          </w:rPr>
                          <w:t>1</w:t>
                        </w:r>
                        <w:r w:rsidRPr="00EC5614">
                          <w:rPr>
                            <w:rFonts w:cstheme="minorHAnsi"/>
                            <w:color w:val="000000"/>
                            <w:sz w:val="20"/>
                            <w:szCs w:val="20"/>
                          </w:rPr>
                          <w:t>SED = Standard Error of Difference</w:t>
                        </w:r>
                      </w:p>
                      <w:p w14:paraId="61E440AE" w14:textId="292D3730" w:rsidR="00C428AF" w:rsidRPr="00EC5614" w:rsidRDefault="00EC5614" w:rsidP="00EC5614">
                        <w:pPr>
                          <w:tabs>
                            <w:tab w:val="left" w:pos="0"/>
                            <w:tab w:val="right" w:pos="3159"/>
                            <w:tab w:val="right" w:pos="4563"/>
                            <w:tab w:val="right" w:pos="5967"/>
                            <w:tab w:val="right" w:pos="7371"/>
                          </w:tabs>
                          <w:autoSpaceDE w:val="0"/>
                          <w:autoSpaceDN w:val="0"/>
                          <w:adjustRightInd w:val="0"/>
                          <w:spacing w:after="0" w:line="240" w:lineRule="auto"/>
                          <w:rPr>
                            <w:rFonts w:cstheme="minorHAnsi"/>
                            <w:color w:val="000000"/>
                            <w:sz w:val="20"/>
                            <w:szCs w:val="20"/>
                          </w:rPr>
                        </w:pPr>
                        <w:r w:rsidRPr="00EC5614">
                          <w:rPr>
                            <w:rFonts w:cstheme="minorHAnsi"/>
                            <w:color w:val="000000"/>
                            <w:sz w:val="20"/>
                            <w:szCs w:val="20"/>
                          </w:rPr>
                          <w:t xml:space="preserve">*** indicates significance at </w:t>
                        </w:r>
                        <w:r w:rsidRPr="00EC5614">
                          <w:rPr>
                            <w:rFonts w:cstheme="minorHAnsi"/>
                            <w:i/>
                            <w:iCs/>
                            <w:color w:val="000000"/>
                            <w:sz w:val="20"/>
                            <w:szCs w:val="20"/>
                          </w:rPr>
                          <w:t>P</w:t>
                        </w:r>
                        <w:r w:rsidRPr="00EC5614">
                          <w:rPr>
                            <w:rFonts w:cstheme="minorHAnsi"/>
                            <w:color w:val="000000"/>
                            <w:sz w:val="20"/>
                            <w:szCs w:val="20"/>
                          </w:rPr>
                          <w:t>&lt;0.001</w:t>
                        </w:r>
                      </w:p>
                    </w:txbxContent>
                  </v:textbox>
                </v:shape>
                <w10:wrap anchorx="margin"/>
              </v:group>
            </w:pict>
          </mc:Fallback>
        </mc:AlternateContent>
      </w:r>
      <w:r w:rsidR="00052FCA" w:rsidRPr="00052FCA">
        <w:t xml:space="preserve">Temple, D., Jiménez, M., </w:t>
      </w:r>
      <w:proofErr w:type="spellStart"/>
      <w:r w:rsidR="00052FCA" w:rsidRPr="00052FCA">
        <w:t>Escribano</w:t>
      </w:r>
      <w:proofErr w:type="spellEnd"/>
      <w:r w:rsidR="00052FCA" w:rsidRPr="00052FCA">
        <w:t>, D., Martín-Valls, G., Díaz, I., &amp; Manteca, X.</w:t>
      </w:r>
      <w:r w:rsidR="00052FCA">
        <w:t xml:space="preserve"> 2020. Animals</w:t>
      </w:r>
      <w:r w:rsidR="006A474F">
        <w:t>. 10 (10), 1898.</w:t>
      </w:r>
    </w:p>
    <w:sectPr w:rsidR="007147C8" w:rsidRPr="00D15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78"/>
    <w:rsid w:val="00000E7A"/>
    <w:rsid w:val="00013881"/>
    <w:rsid w:val="00014959"/>
    <w:rsid w:val="00032B50"/>
    <w:rsid w:val="00036126"/>
    <w:rsid w:val="000362DD"/>
    <w:rsid w:val="00051904"/>
    <w:rsid w:val="00052FCA"/>
    <w:rsid w:val="000631A8"/>
    <w:rsid w:val="00063777"/>
    <w:rsid w:val="000A608E"/>
    <w:rsid w:val="000C0749"/>
    <w:rsid w:val="000C2FBB"/>
    <w:rsid w:val="000D0751"/>
    <w:rsid w:val="000F3EF1"/>
    <w:rsid w:val="001028C8"/>
    <w:rsid w:val="00104926"/>
    <w:rsid w:val="00105834"/>
    <w:rsid w:val="00113DAB"/>
    <w:rsid w:val="001140C0"/>
    <w:rsid w:val="00132089"/>
    <w:rsid w:val="00137019"/>
    <w:rsid w:val="001417B4"/>
    <w:rsid w:val="00142FB1"/>
    <w:rsid w:val="00153BF1"/>
    <w:rsid w:val="001663BE"/>
    <w:rsid w:val="00177136"/>
    <w:rsid w:val="0018344A"/>
    <w:rsid w:val="00194467"/>
    <w:rsid w:val="00197894"/>
    <w:rsid w:val="001A4D0B"/>
    <w:rsid w:val="001B027F"/>
    <w:rsid w:val="001C5571"/>
    <w:rsid w:val="001D3D54"/>
    <w:rsid w:val="001E1AA4"/>
    <w:rsid w:val="001E58D4"/>
    <w:rsid w:val="001E5B07"/>
    <w:rsid w:val="00204D20"/>
    <w:rsid w:val="002077D0"/>
    <w:rsid w:val="0022024B"/>
    <w:rsid w:val="00221D13"/>
    <w:rsid w:val="0022332F"/>
    <w:rsid w:val="00224D92"/>
    <w:rsid w:val="00234597"/>
    <w:rsid w:val="00234AA6"/>
    <w:rsid w:val="00252BAA"/>
    <w:rsid w:val="00265334"/>
    <w:rsid w:val="00277BD7"/>
    <w:rsid w:val="0028010B"/>
    <w:rsid w:val="00287E22"/>
    <w:rsid w:val="002922D7"/>
    <w:rsid w:val="002B7107"/>
    <w:rsid w:val="002C54D7"/>
    <w:rsid w:val="002C5582"/>
    <w:rsid w:val="002E3A6E"/>
    <w:rsid w:val="003125B7"/>
    <w:rsid w:val="003142C4"/>
    <w:rsid w:val="00326BF7"/>
    <w:rsid w:val="003564F9"/>
    <w:rsid w:val="0036677C"/>
    <w:rsid w:val="003811CD"/>
    <w:rsid w:val="00382DAE"/>
    <w:rsid w:val="00386ADB"/>
    <w:rsid w:val="00395C34"/>
    <w:rsid w:val="003A04F8"/>
    <w:rsid w:val="003D7863"/>
    <w:rsid w:val="00401C20"/>
    <w:rsid w:val="0042259D"/>
    <w:rsid w:val="00435079"/>
    <w:rsid w:val="00440EC3"/>
    <w:rsid w:val="004562C2"/>
    <w:rsid w:val="00462E5C"/>
    <w:rsid w:val="00464824"/>
    <w:rsid w:val="00473E59"/>
    <w:rsid w:val="004754C0"/>
    <w:rsid w:val="0049486A"/>
    <w:rsid w:val="00495E74"/>
    <w:rsid w:val="004A5853"/>
    <w:rsid w:val="004B7392"/>
    <w:rsid w:val="004C043F"/>
    <w:rsid w:val="004C3947"/>
    <w:rsid w:val="004C4680"/>
    <w:rsid w:val="004D525E"/>
    <w:rsid w:val="004F0020"/>
    <w:rsid w:val="004F6B5A"/>
    <w:rsid w:val="005033D9"/>
    <w:rsid w:val="00545EE2"/>
    <w:rsid w:val="0054725A"/>
    <w:rsid w:val="00586C4A"/>
    <w:rsid w:val="00590279"/>
    <w:rsid w:val="005A425C"/>
    <w:rsid w:val="005C216D"/>
    <w:rsid w:val="005D4ED9"/>
    <w:rsid w:val="005D5ACC"/>
    <w:rsid w:val="005F7334"/>
    <w:rsid w:val="0060599A"/>
    <w:rsid w:val="006178F8"/>
    <w:rsid w:val="00630FF4"/>
    <w:rsid w:val="006402DD"/>
    <w:rsid w:val="00642E74"/>
    <w:rsid w:val="00643CFC"/>
    <w:rsid w:val="0069034B"/>
    <w:rsid w:val="00693F77"/>
    <w:rsid w:val="006A474F"/>
    <w:rsid w:val="006C0D8F"/>
    <w:rsid w:val="006C1C40"/>
    <w:rsid w:val="006C459A"/>
    <w:rsid w:val="006D10F2"/>
    <w:rsid w:val="006D134B"/>
    <w:rsid w:val="006F2BDA"/>
    <w:rsid w:val="007147C8"/>
    <w:rsid w:val="00726E9D"/>
    <w:rsid w:val="007335E3"/>
    <w:rsid w:val="007344C3"/>
    <w:rsid w:val="00735690"/>
    <w:rsid w:val="00742399"/>
    <w:rsid w:val="00754A57"/>
    <w:rsid w:val="00755AD2"/>
    <w:rsid w:val="00760383"/>
    <w:rsid w:val="00780A99"/>
    <w:rsid w:val="007C6B08"/>
    <w:rsid w:val="007C7B14"/>
    <w:rsid w:val="007D2F2C"/>
    <w:rsid w:val="007E5B60"/>
    <w:rsid w:val="007F2C6C"/>
    <w:rsid w:val="00801EA3"/>
    <w:rsid w:val="00816478"/>
    <w:rsid w:val="008219DC"/>
    <w:rsid w:val="00850435"/>
    <w:rsid w:val="00855EEE"/>
    <w:rsid w:val="008733B0"/>
    <w:rsid w:val="0089163E"/>
    <w:rsid w:val="008A41E3"/>
    <w:rsid w:val="008B4DBF"/>
    <w:rsid w:val="008B7A9D"/>
    <w:rsid w:val="008C517A"/>
    <w:rsid w:val="008F00B4"/>
    <w:rsid w:val="0090594E"/>
    <w:rsid w:val="00917B24"/>
    <w:rsid w:val="0092483E"/>
    <w:rsid w:val="0093783F"/>
    <w:rsid w:val="00937F36"/>
    <w:rsid w:val="00947F77"/>
    <w:rsid w:val="00961EF1"/>
    <w:rsid w:val="009732D8"/>
    <w:rsid w:val="0099195E"/>
    <w:rsid w:val="009B2CB1"/>
    <w:rsid w:val="009D46DB"/>
    <w:rsid w:val="009E2CC4"/>
    <w:rsid w:val="009F2BC1"/>
    <w:rsid w:val="00A00060"/>
    <w:rsid w:val="00A01A69"/>
    <w:rsid w:val="00A06BA0"/>
    <w:rsid w:val="00A2095C"/>
    <w:rsid w:val="00A3435E"/>
    <w:rsid w:val="00A37EDA"/>
    <w:rsid w:val="00A4708C"/>
    <w:rsid w:val="00A65546"/>
    <w:rsid w:val="00A82E0F"/>
    <w:rsid w:val="00A861AA"/>
    <w:rsid w:val="00AA1248"/>
    <w:rsid w:val="00AA499E"/>
    <w:rsid w:val="00AC0528"/>
    <w:rsid w:val="00AE2BEB"/>
    <w:rsid w:val="00AF47CC"/>
    <w:rsid w:val="00AF7148"/>
    <w:rsid w:val="00B1585E"/>
    <w:rsid w:val="00B23836"/>
    <w:rsid w:val="00B34284"/>
    <w:rsid w:val="00B349B7"/>
    <w:rsid w:val="00B622BB"/>
    <w:rsid w:val="00B63AB7"/>
    <w:rsid w:val="00B64EAF"/>
    <w:rsid w:val="00B762DA"/>
    <w:rsid w:val="00B76F65"/>
    <w:rsid w:val="00B82B5B"/>
    <w:rsid w:val="00B90019"/>
    <w:rsid w:val="00B92CD9"/>
    <w:rsid w:val="00BB6B6A"/>
    <w:rsid w:val="00BD2D84"/>
    <w:rsid w:val="00BF7B9E"/>
    <w:rsid w:val="00C05082"/>
    <w:rsid w:val="00C05D9B"/>
    <w:rsid w:val="00C10046"/>
    <w:rsid w:val="00C225B8"/>
    <w:rsid w:val="00C22DB2"/>
    <w:rsid w:val="00C428AF"/>
    <w:rsid w:val="00C42BA5"/>
    <w:rsid w:val="00C60AC9"/>
    <w:rsid w:val="00C77E8F"/>
    <w:rsid w:val="00C87995"/>
    <w:rsid w:val="00C91F40"/>
    <w:rsid w:val="00C949A5"/>
    <w:rsid w:val="00CC2F2F"/>
    <w:rsid w:val="00CD62D7"/>
    <w:rsid w:val="00CE42DE"/>
    <w:rsid w:val="00CF01D8"/>
    <w:rsid w:val="00D0341D"/>
    <w:rsid w:val="00D05269"/>
    <w:rsid w:val="00D1002A"/>
    <w:rsid w:val="00D107D3"/>
    <w:rsid w:val="00D154FF"/>
    <w:rsid w:val="00D2162E"/>
    <w:rsid w:val="00D31C17"/>
    <w:rsid w:val="00D42583"/>
    <w:rsid w:val="00D45A4A"/>
    <w:rsid w:val="00D55E14"/>
    <w:rsid w:val="00D57A6D"/>
    <w:rsid w:val="00D634DA"/>
    <w:rsid w:val="00D74679"/>
    <w:rsid w:val="00D81FF0"/>
    <w:rsid w:val="00D957D3"/>
    <w:rsid w:val="00D965FB"/>
    <w:rsid w:val="00DA3856"/>
    <w:rsid w:val="00DB21B8"/>
    <w:rsid w:val="00DB24E4"/>
    <w:rsid w:val="00DC015B"/>
    <w:rsid w:val="00DD0789"/>
    <w:rsid w:val="00DE5A32"/>
    <w:rsid w:val="00DF0386"/>
    <w:rsid w:val="00E0269A"/>
    <w:rsid w:val="00E15CEA"/>
    <w:rsid w:val="00E24507"/>
    <w:rsid w:val="00E36255"/>
    <w:rsid w:val="00E36632"/>
    <w:rsid w:val="00E4175F"/>
    <w:rsid w:val="00E44208"/>
    <w:rsid w:val="00E44DB3"/>
    <w:rsid w:val="00E55368"/>
    <w:rsid w:val="00E8424F"/>
    <w:rsid w:val="00E9321D"/>
    <w:rsid w:val="00E937D2"/>
    <w:rsid w:val="00EA6B98"/>
    <w:rsid w:val="00EC5614"/>
    <w:rsid w:val="00EF5236"/>
    <w:rsid w:val="00F10229"/>
    <w:rsid w:val="00F12E33"/>
    <w:rsid w:val="00F13B24"/>
    <w:rsid w:val="00F42EF5"/>
    <w:rsid w:val="00F53C30"/>
    <w:rsid w:val="00F74FD3"/>
    <w:rsid w:val="00F95A8C"/>
    <w:rsid w:val="00FB3985"/>
    <w:rsid w:val="00FB3D99"/>
    <w:rsid w:val="00FD0228"/>
    <w:rsid w:val="00FD0EA4"/>
    <w:rsid w:val="00FE2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31D0"/>
  <w15:chartTrackingRefBased/>
  <w15:docId w15:val="{E07F21F4-C07B-4820-A3B2-4DD40E1C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4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47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82DAE"/>
    <w:rPr>
      <w:sz w:val="16"/>
      <w:szCs w:val="16"/>
    </w:rPr>
  </w:style>
  <w:style w:type="paragraph" w:styleId="CommentText">
    <w:name w:val="annotation text"/>
    <w:basedOn w:val="Normal"/>
    <w:link w:val="CommentTextChar"/>
    <w:uiPriority w:val="99"/>
    <w:unhideWhenUsed/>
    <w:rsid w:val="00382DAE"/>
    <w:pPr>
      <w:spacing w:line="240" w:lineRule="auto"/>
    </w:pPr>
    <w:rPr>
      <w:sz w:val="20"/>
      <w:szCs w:val="20"/>
    </w:rPr>
  </w:style>
  <w:style w:type="character" w:customStyle="1" w:styleId="CommentTextChar">
    <w:name w:val="Comment Text Char"/>
    <w:basedOn w:val="DefaultParagraphFont"/>
    <w:link w:val="CommentText"/>
    <w:uiPriority w:val="99"/>
    <w:rsid w:val="00382DA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Hartpury University and Hartpury College</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Issy.Lewis</dc:creator>
  <cp:keywords/>
  <dc:description/>
  <cp:lastModifiedBy>Issy.Lewis</cp:lastModifiedBy>
  <cp:revision>245</cp:revision>
  <dcterms:created xsi:type="dcterms:W3CDTF">2023-09-11T15:11:00Z</dcterms:created>
  <dcterms:modified xsi:type="dcterms:W3CDTF">2024-01-04T18:11:00Z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id="pSJlIZYW"/&gt;&lt;style id="http://www.zotero.org/styles/harvard-cite-them-right" hasBibliography="1" bibliographyStyleHasBeenSet="0"/&gt;&lt;prefs&gt;&lt;pref name="fieldType" value="Field"/&gt;&lt;/prefs&gt;&lt;/data&gt;</vt:lpwstr>
  </property>
</Properties>
</file>