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C1" w:rsidRDefault="00F566C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Application</w:t>
      </w:r>
    </w:p>
    <w:p w:rsidR="00371F40" w:rsidRPr="00371F40" w:rsidRDefault="00A80BF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Similar growth performance is achieved at both low and high floor space allowances in pens with o</w:t>
      </w:r>
      <w:r w:rsidR="00371F40">
        <w:rPr>
          <w:rFonts w:ascii="Times New Roman" w:hAnsi="Times New Roman" w:cs="Times New Roman"/>
          <w:sz w:val="18"/>
          <w:szCs w:val="18"/>
        </w:rPr>
        <w:t>ptimal hygiene</w:t>
      </w:r>
      <w:r w:rsidR="00371BA4">
        <w:rPr>
          <w:rFonts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however, increasing floor space allowance will improve growth and feed efficiency in pens with sub-standard hygiene.</w:t>
      </w:r>
      <w:r w:rsidR="00371F4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Providing</w:t>
      </w:r>
      <w:r w:rsidR="00994688">
        <w:rPr>
          <w:rFonts w:ascii="Times New Roman" w:hAnsi="Times New Roman" w:cs="Times New Roman"/>
          <w:sz w:val="18"/>
          <w:szCs w:val="18"/>
        </w:rPr>
        <w:t xml:space="preserve"> an</w:t>
      </w:r>
      <w:r w:rsidR="00371F40">
        <w:rPr>
          <w:rFonts w:ascii="Times New Roman" w:hAnsi="Times New Roman" w:cs="Times New Roman"/>
          <w:sz w:val="18"/>
          <w:szCs w:val="18"/>
        </w:rPr>
        <w:t xml:space="preserve"> additional feeder</w:t>
      </w:r>
      <w:r>
        <w:rPr>
          <w:rFonts w:ascii="Times New Roman" w:hAnsi="Times New Roman" w:cs="Times New Roman"/>
          <w:sz w:val="18"/>
          <w:szCs w:val="18"/>
        </w:rPr>
        <w:t xml:space="preserve"> space</w:t>
      </w:r>
      <w:r w:rsidR="00371F4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will improve</w:t>
      </w:r>
      <w:r w:rsidR="00371F40">
        <w:rPr>
          <w:rFonts w:ascii="Times New Roman" w:hAnsi="Times New Roman" w:cs="Times New Roman"/>
          <w:sz w:val="18"/>
          <w:szCs w:val="18"/>
        </w:rPr>
        <w:t xml:space="preserve"> feed efficiency </w:t>
      </w:r>
      <w:r w:rsidR="00994688">
        <w:rPr>
          <w:rFonts w:ascii="Times New Roman" w:hAnsi="Times New Roman" w:cs="Times New Roman"/>
          <w:sz w:val="18"/>
          <w:szCs w:val="18"/>
        </w:rPr>
        <w:t xml:space="preserve">of pigs </w:t>
      </w:r>
      <w:r>
        <w:rPr>
          <w:rFonts w:ascii="Times New Roman" w:hAnsi="Times New Roman" w:cs="Times New Roman"/>
          <w:sz w:val="18"/>
          <w:szCs w:val="18"/>
        </w:rPr>
        <w:t xml:space="preserve">when </w:t>
      </w:r>
      <w:r w:rsidR="00371F40">
        <w:rPr>
          <w:rFonts w:ascii="Times New Roman" w:hAnsi="Times New Roman" w:cs="Times New Roman"/>
          <w:sz w:val="18"/>
          <w:szCs w:val="18"/>
        </w:rPr>
        <w:t>both low and high floor space allowance</w:t>
      </w:r>
      <w:r>
        <w:rPr>
          <w:rFonts w:ascii="Times New Roman" w:hAnsi="Times New Roman" w:cs="Times New Roman"/>
          <w:sz w:val="18"/>
          <w:szCs w:val="18"/>
        </w:rPr>
        <w:t xml:space="preserve"> is provided.</w:t>
      </w:r>
      <w:r w:rsidR="00371F4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493F" w:rsidRDefault="00755876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b/>
          <w:sz w:val="18"/>
          <w:szCs w:val="18"/>
        </w:rPr>
        <w:t>Introduction</w:t>
      </w:r>
    </w:p>
    <w:p w:rsidR="004B117A" w:rsidRDefault="00423D28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sz w:val="18"/>
          <w:szCs w:val="18"/>
        </w:rPr>
        <w:t xml:space="preserve">Management factors that can influence post-weaning (PW) </w:t>
      </w:r>
      <w:r w:rsidR="00F1011B" w:rsidRPr="00285AFF">
        <w:rPr>
          <w:rFonts w:ascii="Times New Roman" w:hAnsi="Times New Roman" w:cs="Times New Roman"/>
          <w:sz w:val="18"/>
          <w:szCs w:val="18"/>
        </w:rPr>
        <w:t xml:space="preserve">pig growth include pen hygiene </w:t>
      </w:r>
      <w:r w:rsidR="00F1011B" w:rsidRPr="00285AFF">
        <w:rPr>
          <w:rFonts w:ascii="Times New Roman" w:hAnsi="Times New Roman" w:cs="Times New Roman"/>
          <w:sz w:val="18"/>
          <w:szCs w:val="18"/>
        </w:rPr>
        <w:fldChar w:fldCharType="begin"/>
      </w:r>
      <w:r w:rsidR="00F1011B" w:rsidRPr="00285AFF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&lt;EndNote&gt;&lt;Cite&gt;&lt;Author&gt;Halpin&lt;/Author&gt;&lt;Year&gt;2024&lt;/Year&gt;&lt;RecNum&gt;225&lt;/RecNum&gt;&lt;DisplayText&gt;(Halpin&lt;style face="italic"&gt; et al.&lt;/style&gt;, 2024)&lt;/DisplayText&gt;&lt;record&gt;&lt;rec-number&gt;225&lt;/rec-number&gt;&lt;foreign-keys&gt;&lt;key app="EN" db-id="555x0dde7rw0wbe9d0qvedp8tvtfw0pa9rae" timestamp="1724164338"&gt;225&lt;/key&gt;&lt;/foreign-keys&gt;&lt;ref-type name="Journal Article"&gt;17&lt;/ref-type&gt;&lt;contributors&gt;&lt;authors&gt;&lt;author&gt;Halpin, Keely M&lt;/author&gt;&lt;author&gt;Lawlor, Peadar G&lt;/author&gt;&lt;author&gt;Arnaud, Elisa A&lt;/author&gt;&lt;author&gt;Teixé-Roig, Júlia&lt;/author&gt;&lt;author&gt;O’ Doherty, John V&lt;/author&gt;&lt;author&gt;Sweeney, Torres&lt;/author&gt;&lt;author&gt;O’ Brien, Triona M&lt;/author&gt;&lt;author&gt;Gardiner, Gillian E&lt;/author&gt;&lt;/authors&gt;&lt;/contributors&gt;&lt;titles&gt;&lt;title&gt;Effect of implementing an effective farrowing accommodation hygiene routine on clinical cases of disease, medication usage, and growth in suckling and weaned pigs&lt;/title&gt;&lt;secondary-title&gt;Translational Animal Science&lt;/secondary-title&gt;&lt;/titles&gt;&lt;periodical&gt;&lt;full-title&gt;Translational animal science&lt;/full-title&gt;&lt;/periodical&gt;&lt;volume&gt;8&lt;/volume&gt;&lt;dates&gt;&lt;year&gt;2024&lt;/year&gt;&lt;/dates&gt;&lt;isbn&gt;2573-2102&lt;/isbn&gt;&lt;urls&gt;&lt;related-urls&gt;&lt;url&gt;https://doi.org/10.1093/tas/txae095&lt;/url&gt;&lt;/related-urls&gt;&lt;/urls&gt;&lt;custom1&gt;txae095&lt;/custom1&gt;&lt;electronic-resource-num&gt;10.1093/tas/txae095&lt;/electronic-resource-num&gt;&lt;access-date&gt;8/20/2024&lt;/access-date&gt;&lt;/record&gt;&lt;/Cite&gt;&lt;/EndNote&gt;</w:instrText>
      </w:r>
      <w:r w:rsidR="00F1011B" w:rsidRPr="00285AFF">
        <w:rPr>
          <w:rFonts w:ascii="Times New Roman" w:hAnsi="Times New Roman" w:cs="Times New Roman"/>
          <w:sz w:val="18"/>
          <w:szCs w:val="18"/>
        </w:rPr>
        <w:fldChar w:fldCharType="separate"/>
      </w:r>
      <w:r w:rsidR="00F1011B" w:rsidRPr="00285AFF">
        <w:rPr>
          <w:rFonts w:ascii="Times New Roman" w:hAnsi="Times New Roman" w:cs="Times New Roman"/>
          <w:noProof/>
          <w:sz w:val="18"/>
          <w:szCs w:val="18"/>
        </w:rPr>
        <w:t>(Halpin</w:t>
      </w:r>
      <w:r w:rsidR="00F1011B" w:rsidRPr="00285AFF">
        <w:rPr>
          <w:rFonts w:ascii="Times New Roman" w:hAnsi="Times New Roman" w:cs="Times New Roman"/>
          <w:i/>
          <w:noProof/>
          <w:sz w:val="18"/>
          <w:szCs w:val="18"/>
        </w:rPr>
        <w:t xml:space="preserve"> et al.</w:t>
      </w:r>
      <w:r w:rsidR="00F1011B" w:rsidRPr="00285AFF">
        <w:rPr>
          <w:rFonts w:ascii="Times New Roman" w:hAnsi="Times New Roman" w:cs="Times New Roman"/>
          <w:noProof/>
          <w:sz w:val="18"/>
          <w:szCs w:val="18"/>
        </w:rPr>
        <w:t>, 2024)</w:t>
      </w:r>
      <w:r w:rsidR="00F1011B" w:rsidRPr="00285AFF">
        <w:rPr>
          <w:rFonts w:ascii="Times New Roman" w:hAnsi="Times New Roman" w:cs="Times New Roman"/>
          <w:sz w:val="18"/>
          <w:szCs w:val="18"/>
        </w:rPr>
        <w:fldChar w:fldCharType="end"/>
      </w:r>
      <w:r w:rsidR="00371BA4">
        <w:rPr>
          <w:rFonts w:ascii="Times New Roman" w:hAnsi="Times New Roman" w:cs="Times New Roman"/>
          <w:sz w:val="18"/>
          <w:szCs w:val="18"/>
        </w:rPr>
        <w:t xml:space="preserve"> and</w:t>
      </w:r>
      <w:r w:rsidRPr="00285AFF">
        <w:rPr>
          <w:rFonts w:ascii="Times New Roman" w:hAnsi="Times New Roman" w:cs="Times New Roman"/>
          <w:sz w:val="18"/>
          <w:szCs w:val="18"/>
        </w:rPr>
        <w:t xml:space="preserve"> floor space and </w:t>
      </w:r>
      <w:r w:rsidR="00F1011B" w:rsidRPr="00285AFF">
        <w:rPr>
          <w:rFonts w:ascii="Times New Roman" w:hAnsi="Times New Roman" w:cs="Times New Roman"/>
          <w:sz w:val="18"/>
          <w:szCs w:val="18"/>
        </w:rPr>
        <w:t>feeder space allowance</w:t>
      </w:r>
      <w:r w:rsidR="00A56BFD">
        <w:rPr>
          <w:rFonts w:ascii="Times New Roman" w:hAnsi="Times New Roman" w:cs="Times New Roman"/>
          <w:sz w:val="18"/>
          <w:szCs w:val="18"/>
        </w:rPr>
        <w:t xml:space="preserve"> </w:t>
      </w:r>
      <w:r w:rsidR="00A56BFD">
        <w:rPr>
          <w:rFonts w:ascii="Times New Roman" w:hAnsi="Times New Roman" w:cs="Times New Roman"/>
          <w:sz w:val="18"/>
          <w:szCs w:val="18"/>
        </w:rPr>
        <w:fldChar w:fldCharType="begin"/>
      </w:r>
      <w:r w:rsidR="00A56BFD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&lt;EndNote&gt;&lt;Cite&gt;&lt;Author&gt;Wolter&lt;/Author&gt;&lt;Year&gt;2003&lt;/Year&gt;&lt;RecNum&gt;116&lt;/RecNum&gt;&lt;DisplayText&gt;(Wolter&lt;style face="italic"&gt; et al.&lt;/style&gt;, 2003)&lt;/DisplayText&gt;&lt;record&gt;&lt;rec-number&gt;116&lt;/rec-number&gt;&lt;foreign-keys&gt;&lt;key app="EN" db-id="555x0dde7rw0wbe9d0qvedp8tvtfw0pa9rae" timestamp="1701270033"&gt;116&lt;/key&gt;&lt;/foreign-keys&gt;&lt;ref-type name="Journal Article"&gt;17&lt;/ref-type&gt;&lt;contributors&gt;&lt;authors&gt;&lt;author&gt;Wolter, B. F.&lt;/author&gt;&lt;author&gt;Ellis, M.&lt;/author&gt;&lt;author&gt;Corrigan, B. P.&lt;/author&gt;&lt;author&gt;DeDecker, J. M.&lt;/author&gt;&lt;author&gt;Curtis, S. E.&lt;/author&gt;&lt;author&gt;Parr, E. N.&lt;/author&gt;&lt;author&gt;Webel, D. M.&lt;/author&gt;&lt;/authors&gt;&lt;/contributors&gt;&lt;titles&gt;&lt;title&gt;Effect of restricted postweaning growth resulting from reduced floor and feeder-trough space on pig growth performance to slaughter weight in a wean-to-finish production system1&lt;/title&gt;&lt;secondary-title&gt;Journal of Animal Science&lt;/secondary-title&gt;&lt;/titles&gt;&lt;periodical&gt;&lt;full-title&gt;Journal of Animal Science&lt;/full-title&gt;&lt;/periodical&gt;&lt;pages&gt;836-842&lt;/pages&gt;&lt;volume&gt;81&lt;/volume&gt;&lt;number&gt;4&lt;/number&gt;&lt;dates&gt;&lt;year&gt;2003&lt;/year&gt;&lt;/dates&gt;&lt;isbn&gt;0021-8812&lt;/isbn&gt;&lt;urls&gt;&lt;related-urls&gt;&lt;url&gt;https://doi.org/10.2527/2003.814836x&lt;/url&gt;&lt;/related-urls&gt;&lt;/urls&gt;&lt;electronic-resource-num&gt;10.2527/2003.814836x&lt;/electronic-resource-num&gt;&lt;access-date&gt;11/29/2023&lt;/access-date&gt;&lt;/record&gt;&lt;/Cite&gt;&lt;/EndNote&gt;</w:instrText>
      </w:r>
      <w:r w:rsidR="00A56BFD">
        <w:rPr>
          <w:rFonts w:ascii="Times New Roman" w:hAnsi="Times New Roman" w:cs="Times New Roman"/>
          <w:sz w:val="18"/>
          <w:szCs w:val="18"/>
        </w:rPr>
        <w:fldChar w:fldCharType="separate"/>
      </w:r>
      <w:r w:rsidR="00A56BFD">
        <w:rPr>
          <w:rFonts w:ascii="Times New Roman" w:hAnsi="Times New Roman" w:cs="Times New Roman"/>
          <w:noProof/>
          <w:sz w:val="18"/>
          <w:szCs w:val="18"/>
        </w:rPr>
        <w:t>(Wolter</w:t>
      </w:r>
      <w:r w:rsidR="00A56BFD" w:rsidRPr="00A56BFD">
        <w:rPr>
          <w:rFonts w:ascii="Times New Roman" w:hAnsi="Times New Roman" w:cs="Times New Roman"/>
          <w:i/>
          <w:noProof/>
          <w:sz w:val="18"/>
          <w:szCs w:val="18"/>
        </w:rPr>
        <w:t xml:space="preserve"> et al.</w:t>
      </w:r>
      <w:r w:rsidR="00A56BFD">
        <w:rPr>
          <w:rFonts w:ascii="Times New Roman" w:hAnsi="Times New Roman" w:cs="Times New Roman"/>
          <w:noProof/>
          <w:sz w:val="18"/>
          <w:szCs w:val="18"/>
        </w:rPr>
        <w:t>, 2003)</w:t>
      </w:r>
      <w:r w:rsidR="00A56BFD">
        <w:rPr>
          <w:rFonts w:ascii="Times New Roman" w:hAnsi="Times New Roman" w:cs="Times New Roman"/>
          <w:sz w:val="18"/>
          <w:szCs w:val="18"/>
        </w:rPr>
        <w:fldChar w:fldCharType="end"/>
      </w:r>
      <w:r w:rsidRPr="00285AFF">
        <w:rPr>
          <w:rFonts w:ascii="Times New Roman" w:hAnsi="Times New Roman" w:cs="Times New Roman"/>
          <w:sz w:val="18"/>
          <w:szCs w:val="18"/>
        </w:rPr>
        <w:t xml:space="preserve">.  However, it is likely that the growth responses to some of these factors will be affected by the others. </w:t>
      </w:r>
      <w:r w:rsidR="004B117A" w:rsidRPr="004B117A">
        <w:rPr>
          <w:rFonts w:ascii="Times New Roman" w:hAnsi="Times New Roman" w:cs="Times New Roman"/>
          <w:sz w:val="18"/>
          <w:szCs w:val="18"/>
        </w:rPr>
        <w:t xml:space="preserve">The hypothesis was </w:t>
      </w:r>
      <w:r w:rsidR="004B117A">
        <w:rPr>
          <w:rFonts w:ascii="Times New Roman" w:hAnsi="Times New Roman" w:cs="Times New Roman"/>
          <w:sz w:val="18"/>
          <w:szCs w:val="18"/>
        </w:rPr>
        <w:t xml:space="preserve">that increasing </w:t>
      </w:r>
      <w:r w:rsidR="004B117A" w:rsidRPr="00285AFF">
        <w:rPr>
          <w:rFonts w:ascii="Times New Roman" w:hAnsi="Times New Roman" w:cs="Times New Roman"/>
          <w:sz w:val="18"/>
          <w:szCs w:val="18"/>
        </w:rPr>
        <w:t xml:space="preserve">pen hygiene (sub-standard </w:t>
      </w:r>
      <w:r w:rsidR="004B117A">
        <w:rPr>
          <w:rFonts w:ascii="Times New Roman" w:hAnsi="Times New Roman" w:cs="Times New Roman"/>
          <w:sz w:val="18"/>
          <w:szCs w:val="18"/>
        </w:rPr>
        <w:t>to</w:t>
      </w:r>
      <w:r w:rsidR="004B117A" w:rsidRPr="00285AFF">
        <w:rPr>
          <w:rFonts w:ascii="Times New Roman" w:hAnsi="Times New Roman" w:cs="Times New Roman"/>
          <w:sz w:val="18"/>
          <w:szCs w:val="18"/>
        </w:rPr>
        <w:t xml:space="preserve"> optimal)</w:t>
      </w:r>
      <w:r w:rsidR="004B117A">
        <w:rPr>
          <w:rFonts w:ascii="Times New Roman" w:hAnsi="Times New Roman" w:cs="Times New Roman"/>
          <w:sz w:val="18"/>
          <w:szCs w:val="18"/>
        </w:rPr>
        <w:t xml:space="preserve">, </w:t>
      </w:r>
      <w:r w:rsidR="004B117A" w:rsidRPr="00285AFF">
        <w:rPr>
          <w:rFonts w:ascii="Times New Roman" w:hAnsi="Times New Roman" w:cs="Times New Roman"/>
          <w:sz w:val="18"/>
          <w:szCs w:val="18"/>
        </w:rPr>
        <w:t>floor space allowance (0.35m</w:t>
      </w:r>
      <w:r w:rsidR="004B117A" w:rsidRPr="0056680D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4B117A" w:rsidRPr="00285AFF">
        <w:rPr>
          <w:rFonts w:ascii="Times New Roman" w:hAnsi="Times New Roman" w:cs="Times New Roman"/>
          <w:sz w:val="18"/>
          <w:szCs w:val="18"/>
        </w:rPr>
        <w:t xml:space="preserve">/pig </w:t>
      </w:r>
      <w:r w:rsidR="004B117A">
        <w:rPr>
          <w:rFonts w:ascii="Times New Roman" w:hAnsi="Times New Roman" w:cs="Times New Roman"/>
          <w:sz w:val="18"/>
          <w:szCs w:val="18"/>
        </w:rPr>
        <w:t>to</w:t>
      </w:r>
      <w:r w:rsidR="004B117A" w:rsidRPr="00285AFF">
        <w:rPr>
          <w:rFonts w:ascii="Times New Roman" w:hAnsi="Times New Roman" w:cs="Times New Roman"/>
          <w:sz w:val="18"/>
          <w:szCs w:val="18"/>
        </w:rPr>
        <w:t xml:space="preserve"> 0.70m</w:t>
      </w:r>
      <w:r w:rsidR="004B117A" w:rsidRPr="0056680D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4B117A" w:rsidRPr="00285AFF">
        <w:rPr>
          <w:rFonts w:ascii="Times New Roman" w:hAnsi="Times New Roman" w:cs="Times New Roman"/>
          <w:sz w:val="18"/>
          <w:szCs w:val="18"/>
        </w:rPr>
        <w:t>/pig)</w:t>
      </w:r>
      <w:r w:rsidR="004B117A">
        <w:rPr>
          <w:rFonts w:ascii="Times New Roman" w:hAnsi="Times New Roman" w:cs="Times New Roman"/>
          <w:sz w:val="18"/>
          <w:szCs w:val="18"/>
        </w:rPr>
        <w:t xml:space="preserve"> and</w:t>
      </w:r>
      <w:r w:rsidR="004B117A" w:rsidRPr="00285AFF">
        <w:rPr>
          <w:rFonts w:ascii="Times New Roman" w:hAnsi="Times New Roman" w:cs="Times New Roman"/>
          <w:sz w:val="18"/>
          <w:szCs w:val="18"/>
        </w:rPr>
        <w:t xml:space="preserve"> feeder space allowance (single </w:t>
      </w:r>
      <w:r w:rsidR="004B117A">
        <w:rPr>
          <w:rFonts w:ascii="Times New Roman" w:hAnsi="Times New Roman" w:cs="Times New Roman"/>
          <w:sz w:val="18"/>
          <w:szCs w:val="18"/>
        </w:rPr>
        <w:t xml:space="preserve">to </w:t>
      </w:r>
      <w:r w:rsidR="004B117A" w:rsidRPr="00285AFF">
        <w:rPr>
          <w:rFonts w:ascii="Times New Roman" w:hAnsi="Times New Roman" w:cs="Times New Roman"/>
          <w:sz w:val="18"/>
          <w:szCs w:val="18"/>
        </w:rPr>
        <w:t>double)</w:t>
      </w:r>
      <w:r w:rsidR="004B117A">
        <w:rPr>
          <w:rFonts w:ascii="Times New Roman" w:hAnsi="Times New Roman" w:cs="Times New Roman"/>
          <w:sz w:val="18"/>
          <w:szCs w:val="18"/>
        </w:rPr>
        <w:t xml:space="preserve"> will each</w:t>
      </w:r>
      <w:r w:rsidR="004B117A" w:rsidRPr="004B117A">
        <w:rPr>
          <w:rFonts w:ascii="Times New Roman" w:hAnsi="Times New Roman" w:cs="Times New Roman"/>
          <w:sz w:val="18"/>
          <w:szCs w:val="18"/>
        </w:rPr>
        <w:t xml:space="preserve"> </w:t>
      </w:r>
      <w:r w:rsidR="004B117A">
        <w:rPr>
          <w:rFonts w:ascii="Times New Roman" w:hAnsi="Times New Roman" w:cs="Times New Roman"/>
          <w:sz w:val="18"/>
          <w:szCs w:val="18"/>
        </w:rPr>
        <w:t xml:space="preserve">increase </w:t>
      </w:r>
      <w:r w:rsidR="004B117A" w:rsidRPr="004B117A">
        <w:rPr>
          <w:rFonts w:ascii="Times New Roman" w:hAnsi="Times New Roman" w:cs="Times New Roman"/>
          <w:sz w:val="18"/>
          <w:szCs w:val="18"/>
        </w:rPr>
        <w:t>post-weaning pig growth to day (D)45 PW</w:t>
      </w:r>
      <w:r w:rsidR="004B117A">
        <w:rPr>
          <w:rFonts w:ascii="Times New Roman" w:hAnsi="Times New Roman" w:cs="Times New Roman"/>
          <w:sz w:val="18"/>
          <w:szCs w:val="18"/>
        </w:rPr>
        <w:t xml:space="preserve"> and that </w:t>
      </w:r>
      <w:r w:rsidR="00982935">
        <w:rPr>
          <w:rFonts w:ascii="Times New Roman" w:hAnsi="Times New Roman" w:cs="Times New Roman"/>
          <w:sz w:val="18"/>
          <w:szCs w:val="18"/>
        </w:rPr>
        <w:t>there will be interactions in effect between each. This hypothesis will be tested in a</w:t>
      </w:r>
      <w:r w:rsidR="00982935" w:rsidRPr="00982935">
        <w:rPr>
          <w:rFonts w:ascii="Times New Roman" w:hAnsi="Times New Roman" w:cs="Times New Roman"/>
          <w:sz w:val="18"/>
          <w:szCs w:val="18"/>
        </w:rPr>
        <w:t xml:space="preserve"> 2x2x2 factorial arrangement</w:t>
      </w:r>
      <w:r w:rsidR="004B117A">
        <w:rPr>
          <w:rFonts w:ascii="Times New Roman" w:hAnsi="Times New Roman" w:cs="Times New Roman"/>
          <w:sz w:val="18"/>
          <w:szCs w:val="18"/>
        </w:rPr>
        <w:t>.</w:t>
      </w:r>
    </w:p>
    <w:p w:rsidR="00CC493F" w:rsidRDefault="00755876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b/>
          <w:sz w:val="18"/>
          <w:szCs w:val="18"/>
        </w:rPr>
        <w:t>Materials and methods</w:t>
      </w:r>
    </w:p>
    <w:p w:rsidR="00755876" w:rsidRPr="00285AFF" w:rsidRDefault="00755876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sz w:val="18"/>
          <w:szCs w:val="18"/>
        </w:rPr>
        <w:t xml:space="preserve">The experiment was a 2x2x2 factorial arrangement with factors being </w:t>
      </w:r>
      <w:r w:rsidR="00873692">
        <w:rPr>
          <w:rFonts w:ascii="Times New Roman" w:hAnsi="Times New Roman" w:cs="Times New Roman"/>
          <w:sz w:val="18"/>
          <w:szCs w:val="18"/>
        </w:rPr>
        <w:t xml:space="preserve">weaner </w:t>
      </w:r>
      <w:r w:rsidRPr="00285AFF">
        <w:rPr>
          <w:rFonts w:ascii="Times New Roman" w:hAnsi="Times New Roman" w:cs="Times New Roman"/>
          <w:sz w:val="18"/>
          <w:szCs w:val="18"/>
        </w:rPr>
        <w:t>pen hygiene (sub-standard vs optimal), floor space allowance (0.35m</w:t>
      </w:r>
      <w:r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285AFF">
        <w:rPr>
          <w:rFonts w:ascii="Times New Roman" w:hAnsi="Times New Roman" w:cs="Times New Roman"/>
          <w:sz w:val="18"/>
          <w:szCs w:val="18"/>
        </w:rPr>
        <w:t>/pig or 0.70m</w:t>
      </w:r>
      <w:r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285AFF">
        <w:rPr>
          <w:rFonts w:ascii="Times New Roman" w:hAnsi="Times New Roman" w:cs="Times New Roman"/>
          <w:sz w:val="18"/>
          <w:szCs w:val="18"/>
        </w:rPr>
        <w:t xml:space="preserve">/pig) and feeder space allowance (single or double). The optimal hygiene 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protocol </w:t>
      </w:r>
      <w:r w:rsidRPr="00285AFF">
        <w:rPr>
          <w:rFonts w:ascii="Times New Roman" w:hAnsi="Times New Roman" w:cs="Times New Roman"/>
          <w:sz w:val="18"/>
          <w:szCs w:val="18"/>
        </w:rPr>
        <w:t xml:space="preserve">was 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applied to vacated </w:t>
      </w:r>
      <w:r w:rsidR="00371BA4">
        <w:rPr>
          <w:rFonts w:ascii="Times New Roman" w:hAnsi="Times New Roman" w:cs="Times New Roman"/>
          <w:sz w:val="18"/>
          <w:szCs w:val="18"/>
        </w:rPr>
        <w:t xml:space="preserve">weaner </w:t>
      </w:r>
      <w:r w:rsidR="00263138" w:rsidRPr="00285AFF">
        <w:rPr>
          <w:rFonts w:ascii="Times New Roman" w:hAnsi="Times New Roman" w:cs="Times New Roman"/>
          <w:sz w:val="18"/>
          <w:szCs w:val="18"/>
        </w:rPr>
        <w:t>pens</w:t>
      </w:r>
      <w:r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263138" w:rsidRPr="00285AFF">
        <w:rPr>
          <w:rFonts w:ascii="Times New Roman" w:hAnsi="Times New Roman" w:cs="Times New Roman"/>
          <w:sz w:val="18"/>
          <w:szCs w:val="18"/>
        </w:rPr>
        <w:t>as follows: 1. 1</w:t>
      </w:r>
      <w:r w:rsidR="00F1011B" w:rsidRPr="00285AFF">
        <w:rPr>
          <w:rFonts w:ascii="Times New Roman" w:hAnsi="Times New Roman" w:cs="Times New Roman"/>
          <w:sz w:val="18"/>
          <w:szCs w:val="18"/>
        </w:rPr>
        <w:t xml:space="preserve">% carboxylic acid-based 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detergent </w:t>
      </w:r>
      <w:r w:rsidR="00371BA4" w:rsidRPr="00285AFF">
        <w:rPr>
          <w:rFonts w:ascii="Times New Roman" w:hAnsi="Times New Roman" w:cs="Times New Roman"/>
          <w:sz w:val="18"/>
          <w:szCs w:val="18"/>
        </w:rPr>
        <w:t xml:space="preserve">(Blast Off) </w:t>
      </w:r>
      <w:r w:rsidRPr="00285AFF">
        <w:rPr>
          <w:rFonts w:ascii="Times New Roman" w:hAnsi="Times New Roman" w:cs="Times New Roman"/>
          <w:sz w:val="18"/>
          <w:szCs w:val="18"/>
        </w:rPr>
        <w:t>application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 allowing a contact time of ~40 minutes</w:t>
      </w:r>
      <w:r w:rsidRPr="00285AFF">
        <w:rPr>
          <w:rFonts w:ascii="Times New Roman" w:hAnsi="Times New Roman" w:cs="Times New Roman"/>
          <w:sz w:val="18"/>
          <w:szCs w:val="18"/>
        </w:rPr>
        <w:t xml:space="preserve">, 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2. </w:t>
      </w:r>
      <w:r w:rsidR="007232CA">
        <w:rPr>
          <w:rFonts w:ascii="Times New Roman" w:hAnsi="Times New Roman" w:cs="Times New Roman"/>
          <w:sz w:val="18"/>
          <w:szCs w:val="18"/>
        </w:rPr>
        <w:t>W</w:t>
      </w:r>
      <w:r w:rsidRPr="00285AFF">
        <w:rPr>
          <w:rFonts w:ascii="Times New Roman" w:hAnsi="Times New Roman" w:cs="Times New Roman"/>
          <w:sz w:val="18"/>
          <w:szCs w:val="18"/>
        </w:rPr>
        <w:t xml:space="preserve">ashing </w:t>
      </w:r>
      <w:r w:rsidR="00F1708F" w:rsidRPr="00285AFF">
        <w:rPr>
          <w:rFonts w:ascii="Times New Roman" w:hAnsi="Times New Roman" w:cs="Times New Roman"/>
          <w:sz w:val="18"/>
          <w:szCs w:val="18"/>
        </w:rPr>
        <w:t>with cold water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, 3. Drying for 48h, 4. </w:t>
      </w:r>
      <w:proofErr w:type="spellStart"/>
      <w:r w:rsidR="00C07279" w:rsidRPr="00285AFF">
        <w:rPr>
          <w:rFonts w:ascii="Times New Roman" w:hAnsi="Times New Roman" w:cs="Times New Roman"/>
          <w:sz w:val="18"/>
          <w:szCs w:val="18"/>
        </w:rPr>
        <w:t>C</w:t>
      </w:r>
      <w:r w:rsidR="00F1708F" w:rsidRPr="00285AFF">
        <w:rPr>
          <w:rFonts w:ascii="Times New Roman" w:hAnsi="Times New Roman" w:cs="Times New Roman"/>
          <w:sz w:val="18"/>
          <w:szCs w:val="18"/>
        </w:rPr>
        <w:t>hlorocre</w:t>
      </w:r>
      <w:r w:rsidR="00873692">
        <w:rPr>
          <w:rFonts w:ascii="Times New Roman" w:hAnsi="Times New Roman" w:cs="Times New Roman"/>
          <w:sz w:val="18"/>
          <w:szCs w:val="18"/>
        </w:rPr>
        <w:t>s</w:t>
      </w:r>
      <w:r w:rsidR="00F1708F" w:rsidRPr="00285AFF">
        <w:rPr>
          <w:rFonts w:ascii="Times New Roman" w:hAnsi="Times New Roman" w:cs="Times New Roman"/>
          <w:sz w:val="18"/>
          <w:szCs w:val="18"/>
        </w:rPr>
        <w:t>ol</w:t>
      </w:r>
      <w:proofErr w:type="spellEnd"/>
      <w:r w:rsidR="00F1708F" w:rsidRPr="00285AFF">
        <w:rPr>
          <w:rFonts w:ascii="Times New Roman" w:hAnsi="Times New Roman" w:cs="Times New Roman"/>
          <w:sz w:val="18"/>
          <w:szCs w:val="18"/>
        </w:rPr>
        <w:t>-based disinfectant</w:t>
      </w:r>
      <w:r w:rsidR="00C07279" w:rsidRPr="00285AF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C07279" w:rsidRPr="00285AFF">
        <w:rPr>
          <w:rFonts w:ascii="Times New Roman" w:hAnsi="Times New Roman" w:cs="Times New Roman"/>
          <w:sz w:val="18"/>
          <w:szCs w:val="18"/>
        </w:rPr>
        <w:t>Interkokask</w:t>
      </w:r>
      <w:proofErr w:type="spellEnd"/>
      <w:r w:rsidR="00C07279" w:rsidRPr="00285AFF">
        <w:rPr>
          <w:rFonts w:ascii="Times New Roman" w:hAnsi="Times New Roman" w:cs="Times New Roman"/>
          <w:sz w:val="18"/>
          <w:szCs w:val="18"/>
        </w:rPr>
        <w:t>)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 applied at a rate of 3%</w:t>
      </w:r>
      <w:r w:rsidR="00263138" w:rsidRPr="00285AFF">
        <w:rPr>
          <w:rFonts w:ascii="Times New Roman" w:hAnsi="Times New Roman" w:cs="Times New Roman"/>
          <w:sz w:val="18"/>
          <w:szCs w:val="18"/>
        </w:rPr>
        <w:t>, 5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. 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Further drying for 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12 days </w:t>
      </w:r>
      <w:r w:rsidR="00263138" w:rsidRPr="00285AFF">
        <w:rPr>
          <w:rFonts w:ascii="Times New Roman" w:hAnsi="Times New Roman" w:cs="Times New Roman"/>
          <w:sz w:val="18"/>
          <w:szCs w:val="18"/>
        </w:rPr>
        <w:t>before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 introduc</w:t>
      </w:r>
      <w:r w:rsidR="00263138" w:rsidRPr="00285AFF">
        <w:rPr>
          <w:rFonts w:ascii="Times New Roman" w:hAnsi="Times New Roman" w:cs="Times New Roman"/>
          <w:sz w:val="18"/>
          <w:szCs w:val="18"/>
        </w:rPr>
        <w:t>tion of weaned pigs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. The sub-standard hygiene </w:t>
      </w:r>
      <w:r w:rsidR="00263138" w:rsidRPr="00285AFF">
        <w:rPr>
          <w:rFonts w:ascii="Times New Roman" w:hAnsi="Times New Roman" w:cs="Times New Roman"/>
          <w:sz w:val="18"/>
          <w:szCs w:val="18"/>
        </w:rPr>
        <w:t xml:space="preserve">protocol was applied to vacated </w:t>
      </w:r>
      <w:r w:rsidR="00371BA4">
        <w:rPr>
          <w:rFonts w:ascii="Times New Roman" w:hAnsi="Times New Roman" w:cs="Times New Roman"/>
          <w:sz w:val="18"/>
          <w:szCs w:val="18"/>
        </w:rPr>
        <w:t xml:space="preserve">weaner </w:t>
      </w:r>
      <w:r w:rsidR="00263138" w:rsidRPr="00285AFF">
        <w:rPr>
          <w:rFonts w:ascii="Times New Roman" w:hAnsi="Times New Roman" w:cs="Times New Roman"/>
          <w:sz w:val="18"/>
          <w:szCs w:val="18"/>
        </w:rPr>
        <w:t>pens as follows: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263138" w:rsidRPr="00285AFF">
        <w:rPr>
          <w:rFonts w:ascii="Times New Roman" w:hAnsi="Times New Roman" w:cs="Times New Roman"/>
          <w:sz w:val="18"/>
          <w:szCs w:val="18"/>
        </w:rPr>
        <w:t>1.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7232CA">
        <w:rPr>
          <w:rFonts w:ascii="Times New Roman" w:hAnsi="Times New Roman" w:cs="Times New Roman"/>
          <w:sz w:val="18"/>
          <w:szCs w:val="18"/>
        </w:rPr>
        <w:t>W</w:t>
      </w:r>
      <w:r w:rsidR="00F1708F" w:rsidRPr="00285AFF">
        <w:rPr>
          <w:rFonts w:ascii="Times New Roman" w:hAnsi="Times New Roman" w:cs="Times New Roman"/>
          <w:sz w:val="18"/>
          <w:szCs w:val="18"/>
        </w:rPr>
        <w:t>ashing with cold water</w:t>
      </w:r>
      <w:r w:rsidR="007232CA">
        <w:rPr>
          <w:rFonts w:ascii="Times New Roman" w:hAnsi="Times New Roman" w:cs="Times New Roman"/>
          <w:sz w:val="18"/>
          <w:szCs w:val="18"/>
        </w:rPr>
        <w:t xml:space="preserve">, </w:t>
      </w:r>
      <w:r w:rsidR="00B21643" w:rsidRPr="00285AFF">
        <w:rPr>
          <w:rFonts w:ascii="Times New Roman" w:hAnsi="Times New Roman" w:cs="Times New Roman"/>
          <w:sz w:val="18"/>
          <w:szCs w:val="18"/>
        </w:rPr>
        <w:t xml:space="preserve">2. Overnight drying (&lt;18h) </w:t>
      </w:r>
      <w:r w:rsidR="00F1708F" w:rsidRPr="00285AFF">
        <w:rPr>
          <w:rFonts w:ascii="Times New Roman" w:hAnsi="Times New Roman" w:cs="Times New Roman"/>
          <w:sz w:val="18"/>
          <w:szCs w:val="18"/>
        </w:rPr>
        <w:t>before entry of pigs. Prior to entry of pigs</w:t>
      </w:r>
      <w:r w:rsidR="00B21643" w:rsidRPr="00285AFF">
        <w:rPr>
          <w:rFonts w:ascii="Times New Roman" w:hAnsi="Times New Roman" w:cs="Times New Roman"/>
          <w:sz w:val="18"/>
          <w:szCs w:val="18"/>
        </w:rPr>
        <w:t>,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 pens </w:t>
      </w:r>
      <w:r w:rsidR="00873692">
        <w:rPr>
          <w:rFonts w:ascii="Times New Roman" w:hAnsi="Times New Roman" w:cs="Times New Roman"/>
          <w:sz w:val="18"/>
          <w:szCs w:val="18"/>
        </w:rPr>
        <w:t>from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 both hygiene </w:t>
      </w:r>
      <w:r w:rsidR="00873692">
        <w:rPr>
          <w:rFonts w:ascii="Times New Roman" w:hAnsi="Times New Roman" w:cs="Times New Roman"/>
          <w:sz w:val="18"/>
          <w:szCs w:val="18"/>
        </w:rPr>
        <w:t>treatments</w:t>
      </w:r>
      <w:r w:rsidR="00873692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F1708F" w:rsidRPr="00285AFF">
        <w:rPr>
          <w:rFonts w:ascii="Times New Roman" w:hAnsi="Times New Roman" w:cs="Times New Roman"/>
          <w:sz w:val="18"/>
          <w:szCs w:val="18"/>
        </w:rPr>
        <w:t>(</w:t>
      </w:r>
      <w:r w:rsidR="00B21643" w:rsidRPr="00285AFF">
        <w:rPr>
          <w:rFonts w:ascii="Times New Roman" w:hAnsi="Times New Roman" w:cs="Times New Roman"/>
          <w:sz w:val="18"/>
          <w:szCs w:val="18"/>
        </w:rPr>
        <w:t>N=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24 sub-standard and </w:t>
      </w:r>
      <w:r w:rsidR="00B21643" w:rsidRPr="00285AFF">
        <w:rPr>
          <w:rFonts w:ascii="Times New Roman" w:hAnsi="Times New Roman" w:cs="Times New Roman"/>
          <w:sz w:val="18"/>
          <w:szCs w:val="18"/>
        </w:rPr>
        <w:t>N=</w:t>
      </w:r>
      <w:r w:rsidR="00F1708F" w:rsidRPr="00285AFF">
        <w:rPr>
          <w:rFonts w:ascii="Times New Roman" w:hAnsi="Times New Roman" w:cs="Times New Roman"/>
          <w:sz w:val="18"/>
          <w:szCs w:val="18"/>
        </w:rPr>
        <w:t xml:space="preserve">20 optimal) were swabbed </w:t>
      </w:r>
      <w:r w:rsidR="00371BA4">
        <w:rPr>
          <w:rFonts w:ascii="Times New Roman" w:hAnsi="Times New Roman" w:cs="Times New Roman"/>
          <w:sz w:val="18"/>
          <w:szCs w:val="18"/>
        </w:rPr>
        <w:t>at</w:t>
      </w:r>
      <w:r w:rsidR="00B21643" w:rsidRPr="00285AFF">
        <w:rPr>
          <w:rFonts w:ascii="Times New Roman" w:hAnsi="Times New Roman" w:cs="Times New Roman"/>
          <w:sz w:val="18"/>
          <w:szCs w:val="18"/>
        </w:rPr>
        <w:t xml:space="preserve"> three locations (</w:t>
      </w:r>
      <w:r w:rsidR="00873692">
        <w:rPr>
          <w:rFonts w:ascii="Times New Roman" w:hAnsi="Times New Roman" w:cs="Times New Roman"/>
          <w:sz w:val="18"/>
          <w:szCs w:val="18"/>
        </w:rPr>
        <w:t>p</w:t>
      </w:r>
      <w:r w:rsidR="00B21643" w:rsidRPr="00285AFF">
        <w:rPr>
          <w:rFonts w:ascii="Times New Roman" w:hAnsi="Times New Roman" w:cs="Times New Roman"/>
          <w:sz w:val="18"/>
          <w:szCs w:val="18"/>
        </w:rPr>
        <w:t xml:space="preserve">iglet lying area, dunging area and feeder) </w:t>
      </w:r>
      <w:r w:rsidR="00F1708F" w:rsidRPr="00285AFF">
        <w:rPr>
          <w:rFonts w:ascii="Times New Roman" w:hAnsi="Times New Roman" w:cs="Times New Roman"/>
          <w:sz w:val="18"/>
          <w:szCs w:val="18"/>
        </w:rPr>
        <w:t>using adenosine triphosph</w:t>
      </w:r>
      <w:r w:rsidR="00B21643" w:rsidRPr="00285AFF">
        <w:rPr>
          <w:rFonts w:ascii="Times New Roman" w:hAnsi="Times New Roman" w:cs="Times New Roman"/>
          <w:sz w:val="18"/>
          <w:szCs w:val="18"/>
        </w:rPr>
        <w:t>ate (ATP) bioluminescence swabs</w:t>
      </w:r>
      <w:r w:rsidR="007C1298" w:rsidRPr="00285AFF">
        <w:rPr>
          <w:rFonts w:ascii="Times New Roman" w:hAnsi="Times New Roman" w:cs="Times New Roman"/>
          <w:sz w:val="18"/>
          <w:szCs w:val="18"/>
        </w:rPr>
        <w:t>.</w:t>
      </w:r>
      <w:r w:rsidR="00B21643" w:rsidRPr="00285AFF">
        <w:rPr>
          <w:rFonts w:ascii="Times New Roman" w:hAnsi="Times New Roman" w:cs="Times New Roman"/>
          <w:sz w:val="18"/>
          <w:szCs w:val="18"/>
        </w:rPr>
        <w:t xml:space="preserve">  Single and double f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eeder space allowance </w:t>
      </w:r>
      <w:r w:rsidR="00B21643" w:rsidRPr="00285AFF">
        <w:rPr>
          <w:rFonts w:ascii="Times New Roman" w:hAnsi="Times New Roman" w:cs="Times New Roman"/>
          <w:sz w:val="18"/>
          <w:szCs w:val="18"/>
        </w:rPr>
        <w:t>was achieved by providing a single</w:t>
      </w:r>
      <w:r w:rsidR="0074370D">
        <w:rPr>
          <w:rFonts w:ascii="Times New Roman" w:hAnsi="Times New Roman" w:cs="Times New Roman"/>
          <w:sz w:val="18"/>
          <w:szCs w:val="18"/>
        </w:rPr>
        <w:t>-</w:t>
      </w:r>
      <w:r w:rsidR="00B21643" w:rsidRPr="00285AFF">
        <w:rPr>
          <w:rFonts w:ascii="Times New Roman" w:hAnsi="Times New Roman" w:cs="Times New Roman"/>
          <w:sz w:val="18"/>
          <w:szCs w:val="18"/>
        </w:rPr>
        <w:t>spaced (width = 2</w:t>
      </w:r>
      <w:r w:rsidR="00617D77" w:rsidRPr="00285AFF">
        <w:rPr>
          <w:rFonts w:ascii="Times New Roman" w:hAnsi="Times New Roman" w:cs="Times New Roman"/>
          <w:sz w:val="18"/>
          <w:szCs w:val="18"/>
        </w:rPr>
        <w:t>25</w:t>
      </w:r>
      <w:r w:rsidR="0074370D">
        <w:rPr>
          <w:rFonts w:ascii="Times New Roman" w:hAnsi="Times New Roman" w:cs="Times New Roman"/>
          <w:sz w:val="18"/>
          <w:szCs w:val="18"/>
        </w:rPr>
        <w:t>mm) or a double-</w:t>
      </w:r>
      <w:r w:rsidR="00B21643" w:rsidRPr="00285AFF">
        <w:rPr>
          <w:rFonts w:ascii="Times New Roman" w:hAnsi="Times New Roman" w:cs="Times New Roman"/>
          <w:sz w:val="18"/>
          <w:szCs w:val="18"/>
        </w:rPr>
        <w:t>spaced (</w:t>
      </w:r>
      <w:r w:rsidR="00617D77" w:rsidRPr="00285AFF">
        <w:rPr>
          <w:rFonts w:ascii="Times New Roman" w:hAnsi="Times New Roman" w:cs="Times New Roman"/>
          <w:sz w:val="18"/>
          <w:szCs w:val="18"/>
        </w:rPr>
        <w:t>width</w:t>
      </w:r>
      <w:r w:rsidR="00873692">
        <w:rPr>
          <w:rFonts w:ascii="Times New Roman" w:hAnsi="Times New Roman" w:cs="Times New Roman"/>
          <w:sz w:val="18"/>
          <w:szCs w:val="18"/>
        </w:rPr>
        <w:t xml:space="preserve"> </w:t>
      </w:r>
      <w:r w:rsidR="00617D77" w:rsidRPr="00285AFF">
        <w:rPr>
          <w:rFonts w:ascii="Times New Roman" w:hAnsi="Times New Roman" w:cs="Times New Roman"/>
          <w:sz w:val="18"/>
          <w:szCs w:val="18"/>
        </w:rPr>
        <w:t>=</w:t>
      </w:r>
      <w:r w:rsidR="0074370D">
        <w:rPr>
          <w:rFonts w:ascii="Times New Roman" w:hAnsi="Times New Roman" w:cs="Times New Roman"/>
          <w:sz w:val="18"/>
          <w:szCs w:val="18"/>
        </w:rPr>
        <w:t xml:space="preserve"> </w:t>
      </w:r>
      <w:r w:rsidR="00617D77" w:rsidRPr="00285AFF">
        <w:rPr>
          <w:rFonts w:ascii="Times New Roman" w:hAnsi="Times New Roman" w:cs="Times New Roman"/>
          <w:sz w:val="18"/>
          <w:szCs w:val="18"/>
        </w:rPr>
        <w:t>400</w:t>
      </w:r>
      <w:r w:rsidR="0074370D">
        <w:rPr>
          <w:rFonts w:ascii="Times New Roman" w:hAnsi="Times New Roman" w:cs="Times New Roman"/>
          <w:sz w:val="18"/>
          <w:szCs w:val="18"/>
        </w:rPr>
        <w:t>mm</w:t>
      </w:r>
      <w:r w:rsidR="00617D77" w:rsidRPr="00285AFF">
        <w:rPr>
          <w:rFonts w:ascii="Times New Roman" w:hAnsi="Times New Roman" w:cs="Times New Roman"/>
          <w:sz w:val="18"/>
          <w:szCs w:val="18"/>
        </w:rPr>
        <w:t xml:space="preserve">) </w:t>
      </w:r>
      <w:r w:rsidR="00B21643" w:rsidRPr="00285AFF">
        <w:rPr>
          <w:rFonts w:ascii="Times New Roman" w:hAnsi="Times New Roman" w:cs="Times New Roman"/>
          <w:sz w:val="18"/>
          <w:szCs w:val="18"/>
        </w:rPr>
        <w:t>wet-dry feeder per pen, respectively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. </w:t>
      </w:r>
      <w:r w:rsidR="00617D77" w:rsidRPr="00285AFF">
        <w:rPr>
          <w:rFonts w:ascii="Times New Roman" w:hAnsi="Times New Roman" w:cs="Times New Roman"/>
          <w:sz w:val="18"/>
          <w:szCs w:val="18"/>
        </w:rPr>
        <w:t>A floor space allowance of 0.35m</w:t>
      </w:r>
      <w:r w:rsidR="00617D77"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617D77" w:rsidRPr="00285AFF">
        <w:rPr>
          <w:rFonts w:ascii="Times New Roman" w:hAnsi="Times New Roman" w:cs="Times New Roman"/>
          <w:sz w:val="18"/>
          <w:szCs w:val="18"/>
        </w:rPr>
        <w:t>/pig or 0.70m</w:t>
      </w:r>
      <w:r w:rsidR="00617D77"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617D77" w:rsidRPr="00285AFF">
        <w:rPr>
          <w:rFonts w:ascii="Times New Roman" w:hAnsi="Times New Roman" w:cs="Times New Roman"/>
          <w:sz w:val="18"/>
          <w:szCs w:val="18"/>
        </w:rPr>
        <w:t xml:space="preserve">/pig was achieved by stocking pens (2500 x 2000mm) with 14 and 7 pigs/pen, respectively. 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At </w:t>
      </w:r>
      <w:r w:rsidR="00F27C97" w:rsidRPr="00285AFF">
        <w:rPr>
          <w:rFonts w:ascii="Times New Roman" w:hAnsi="Times New Roman" w:cs="Times New Roman"/>
          <w:sz w:val="18"/>
          <w:szCs w:val="18"/>
        </w:rPr>
        <w:t xml:space="preserve">weaning (28 ±1.2 </w:t>
      </w:r>
      <w:r w:rsidR="00371BA4">
        <w:rPr>
          <w:rFonts w:ascii="Times New Roman" w:hAnsi="Times New Roman" w:cs="Times New Roman"/>
          <w:sz w:val="18"/>
          <w:szCs w:val="18"/>
        </w:rPr>
        <w:t xml:space="preserve">days </w:t>
      </w:r>
      <w:r w:rsidR="00F27C97" w:rsidRPr="00285AFF">
        <w:rPr>
          <w:rFonts w:ascii="Times New Roman" w:hAnsi="Times New Roman" w:cs="Times New Roman"/>
          <w:sz w:val="18"/>
          <w:szCs w:val="18"/>
        </w:rPr>
        <w:t>of age)</w:t>
      </w:r>
      <w:r w:rsidR="00617D77" w:rsidRPr="00285AFF">
        <w:rPr>
          <w:rFonts w:ascii="Times New Roman" w:hAnsi="Times New Roman" w:cs="Times New Roman"/>
          <w:sz w:val="18"/>
          <w:szCs w:val="18"/>
        </w:rPr>
        <w:t>,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 p</w:t>
      </w:r>
      <w:r w:rsidR="00617D77" w:rsidRPr="00285AFF">
        <w:rPr>
          <w:rFonts w:ascii="Times New Roman" w:hAnsi="Times New Roman" w:cs="Times New Roman"/>
          <w:sz w:val="18"/>
          <w:szCs w:val="18"/>
        </w:rPr>
        <w:t>igs were formed into same</w:t>
      </w:r>
      <w:r w:rsidR="00371BA4">
        <w:rPr>
          <w:rFonts w:ascii="Times New Roman" w:hAnsi="Times New Roman" w:cs="Times New Roman"/>
          <w:sz w:val="18"/>
          <w:szCs w:val="18"/>
        </w:rPr>
        <w:t>-</w:t>
      </w:r>
      <w:r w:rsidR="00617D77" w:rsidRPr="00285AFF">
        <w:rPr>
          <w:rFonts w:ascii="Times New Roman" w:hAnsi="Times New Roman" w:cs="Times New Roman"/>
          <w:sz w:val="18"/>
          <w:szCs w:val="18"/>
        </w:rPr>
        <w:t>sex (</w:t>
      </w:r>
      <w:r w:rsidR="00873692">
        <w:rPr>
          <w:rFonts w:ascii="Times New Roman" w:hAnsi="Times New Roman" w:cs="Times New Roman"/>
          <w:sz w:val="18"/>
          <w:szCs w:val="18"/>
        </w:rPr>
        <w:t>e</w:t>
      </w:r>
      <w:r w:rsidR="00617D77" w:rsidRPr="00285AFF">
        <w:rPr>
          <w:rFonts w:ascii="Times New Roman" w:hAnsi="Times New Roman" w:cs="Times New Roman"/>
          <w:sz w:val="18"/>
          <w:szCs w:val="18"/>
        </w:rPr>
        <w:t>ntire m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ale or </w:t>
      </w:r>
      <w:r w:rsidR="00873692">
        <w:rPr>
          <w:rFonts w:ascii="Times New Roman" w:hAnsi="Times New Roman" w:cs="Times New Roman"/>
          <w:sz w:val="18"/>
          <w:szCs w:val="18"/>
        </w:rPr>
        <w:t>f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emale) pen groups </w:t>
      </w:r>
      <w:r w:rsidR="00617D77" w:rsidRPr="00285AFF">
        <w:rPr>
          <w:rFonts w:ascii="Times New Roman" w:hAnsi="Times New Roman" w:cs="Times New Roman"/>
          <w:sz w:val="18"/>
          <w:szCs w:val="18"/>
        </w:rPr>
        <w:t>of even weight</w:t>
      </w:r>
      <w:r w:rsidR="00E711E7" w:rsidRPr="00285AFF">
        <w:rPr>
          <w:rFonts w:ascii="Times New Roman" w:hAnsi="Times New Roman" w:cs="Times New Roman"/>
          <w:sz w:val="18"/>
          <w:szCs w:val="18"/>
        </w:rPr>
        <w:t xml:space="preserve">. </w:t>
      </w:r>
      <w:r w:rsidR="00617D77" w:rsidRPr="00285AFF">
        <w:rPr>
          <w:rFonts w:ascii="Times New Roman" w:hAnsi="Times New Roman" w:cs="Times New Roman"/>
          <w:sz w:val="18"/>
          <w:szCs w:val="18"/>
        </w:rPr>
        <w:t xml:space="preserve">Pen groups were blocked on </w:t>
      </w:r>
      <w:r w:rsidR="00B7581D" w:rsidRPr="00285AFF">
        <w:rPr>
          <w:rFonts w:ascii="Times New Roman" w:hAnsi="Times New Roman" w:cs="Times New Roman"/>
          <w:sz w:val="18"/>
          <w:szCs w:val="18"/>
        </w:rPr>
        <w:t xml:space="preserve">sex and weaning weight </w:t>
      </w:r>
      <w:r w:rsidR="00F27C97" w:rsidRPr="00285AFF">
        <w:rPr>
          <w:rFonts w:ascii="Times New Roman" w:hAnsi="Times New Roman" w:cs="Times New Roman"/>
          <w:sz w:val="18"/>
          <w:szCs w:val="18"/>
        </w:rPr>
        <w:t xml:space="preserve">(8.7±1.5 kg) </w:t>
      </w:r>
      <w:r w:rsidR="00B7581D" w:rsidRPr="00285AFF">
        <w:rPr>
          <w:rFonts w:ascii="Times New Roman" w:hAnsi="Times New Roman" w:cs="Times New Roman"/>
          <w:sz w:val="18"/>
          <w:szCs w:val="18"/>
        </w:rPr>
        <w:t xml:space="preserve">and randomly assigned to treatment </w:t>
      </w:r>
      <w:r w:rsidR="007232CA">
        <w:rPr>
          <w:rFonts w:ascii="Times New Roman" w:hAnsi="Times New Roman" w:cs="Times New Roman"/>
          <w:sz w:val="18"/>
          <w:szCs w:val="18"/>
        </w:rPr>
        <w:t>(N=</w:t>
      </w:r>
      <w:r w:rsidR="00B7581D" w:rsidRPr="00285AFF">
        <w:rPr>
          <w:rFonts w:ascii="Times New Roman" w:hAnsi="Times New Roman" w:cs="Times New Roman"/>
          <w:sz w:val="18"/>
          <w:szCs w:val="18"/>
        </w:rPr>
        <w:t>12 pen replicates per treatment</w:t>
      </w:r>
      <w:r w:rsidR="007232CA">
        <w:rPr>
          <w:rFonts w:ascii="Times New Roman" w:hAnsi="Times New Roman" w:cs="Times New Roman"/>
          <w:sz w:val="18"/>
          <w:szCs w:val="18"/>
        </w:rPr>
        <w:t>)</w:t>
      </w:r>
      <w:r w:rsidR="00B7581D" w:rsidRPr="00285AFF">
        <w:rPr>
          <w:rFonts w:ascii="Times New Roman" w:hAnsi="Times New Roman" w:cs="Times New Roman"/>
          <w:sz w:val="18"/>
          <w:szCs w:val="18"/>
        </w:rPr>
        <w:t xml:space="preserve">.  Pigs were fed a common sequence of diets </w:t>
      </w:r>
      <w:r w:rsidR="00F27C97" w:rsidRPr="00285AFF">
        <w:rPr>
          <w:rFonts w:ascii="Times New Roman" w:hAnsi="Times New Roman" w:cs="Times New Roman"/>
          <w:sz w:val="18"/>
          <w:szCs w:val="18"/>
        </w:rPr>
        <w:t xml:space="preserve">until transfer </w:t>
      </w:r>
      <w:r w:rsidR="00B7581D" w:rsidRPr="00285AFF">
        <w:rPr>
          <w:rFonts w:ascii="Times New Roman" w:hAnsi="Times New Roman" w:cs="Times New Roman"/>
          <w:sz w:val="18"/>
          <w:szCs w:val="18"/>
        </w:rPr>
        <w:t xml:space="preserve">at </w:t>
      </w:r>
      <w:r w:rsidR="00371BA4">
        <w:rPr>
          <w:rFonts w:ascii="Times New Roman" w:hAnsi="Times New Roman" w:cs="Times New Roman"/>
          <w:sz w:val="18"/>
          <w:szCs w:val="18"/>
        </w:rPr>
        <w:t>D</w:t>
      </w:r>
      <w:r w:rsidR="00B7581D" w:rsidRPr="00285AFF">
        <w:rPr>
          <w:rFonts w:ascii="Times New Roman" w:hAnsi="Times New Roman" w:cs="Times New Roman"/>
          <w:sz w:val="18"/>
          <w:szCs w:val="18"/>
        </w:rPr>
        <w:t xml:space="preserve">45 </w:t>
      </w:r>
      <w:r w:rsidR="00B84C9A" w:rsidRPr="00285AFF">
        <w:rPr>
          <w:rFonts w:ascii="Times New Roman" w:hAnsi="Times New Roman" w:cs="Times New Roman"/>
          <w:sz w:val="18"/>
          <w:szCs w:val="18"/>
        </w:rPr>
        <w:t>PW</w:t>
      </w:r>
      <w:r w:rsidR="00B7581D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F27C97" w:rsidRPr="00285AFF">
        <w:rPr>
          <w:rFonts w:ascii="Times New Roman" w:hAnsi="Times New Roman" w:cs="Times New Roman"/>
          <w:sz w:val="18"/>
          <w:szCs w:val="18"/>
        </w:rPr>
        <w:t>(32.8±5.0kg).</w:t>
      </w:r>
      <w:r w:rsidR="00A236CB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B84C9A" w:rsidRPr="00285AFF">
        <w:rPr>
          <w:rFonts w:ascii="Times New Roman" w:hAnsi="Times New Roman" w:cs="Times New Roman"/>
          <w:sz w:val="18"/>
          <w:szCs w:val="18"/>
        </w:rPr>
        <w:t xml:space="preserve">Pig weight and </w:t>
      </w:r>
      <w:r w:rsidR="00B84C9A" w:rsidRPr="00752342">
        <w:rPr>
          <w:rFonts w:ascii="Times New Roman" w:hAnsi="Times New Roman" w:cs="Times New Roman"/>
          <w:sz w:val="18"/>
          <w:szCs w:val="18"/>
        </w:rPr>
        <w:t xml:space="preserve">feed disappearance were determined at </w:t>
      </w:r>
      <w:r w:rsidR="00371BA4">
        <w:rPr>
          <w:rFonts w:ascii="Times New Roman" w:hAnsi="Times New Roman" w:cs="Times New Roman"/>
          <w:sz w:val="18"/>
          <w:szCs w:val="18"/>
        </w:rPr>
        <w:t>D</w:t>
      </w:r>
      <w:r w:rsidR="00B84C9A" w:rsidRPr="00752342">
        <w:rPr>
          <w:rFonts w:ascii="Times New Roman" w:hAnsi="Times New Roman" w:cs="Times New Roman"/>
          <w:sz w:val="18"/>
          <w:szCs w:val="18"/>
        </w:rPr>
        <w:t>6, 13, 20,</w:t>
      </w:r>
      <w:r w:rsidR="00E574C4" w:rsidRPr="00752342">
        <w:rPr>
          <w:rFonts w:ascii="Times New Roman" w:hAnsi="Times New Roman" w:cs="Times New Roman"/>
          <w:sz w:val="18"/>
          <w:szCs w:val="18"/>
        </w:rPr>
        <w:t xml:space="preserve"> </w:t>
      </w:r>
      <w:r w:rsidR="00752342">
        <w:rPr>
          <w:rFonts w:ascii="Times New Roman" w:hAnsi="Times New Roman" w:cs="Times New Roman"/>
          <w:sz w:val="18"/>
          <w:szCs w:val="18"/>
        </w:rPr>
        <w:t>27 a</w:t>
      </w:r>
      <w:r w:rsidR="00B84C9A" w:rsidRPr="00752342">
        <w:rPr>
          <w:rFonts w:ascii="Times New Roman" w:hAnsi="Times New Roman" w:cs="Times New Roman"/>
          <w:sz w:val="18"/>
          <w:szCs w:val="18"/>
        </w:rPr>
        <w:t>nd 45 PW</w:t>
      </w:r>
      <w:r w:rsidR="00E574C4" w:rsidRPr="00752342">
        <w:rPr>
          <w:rFonts w:ascii="Times New Roman" w:hAnsi="Times New Roman" w:cs="Times New Roman"/>
          <w:sz w:val="18"/>
          <w:szCs w:val="18"/>
        </w:rPr>
        <w:t xml:space="preserve"> to calculate average daily gain (ADG), </w:t>
      </w:r>
      <w:r w:rsidR="00873692">
        <w:rPr>
          <w:rFonts w:ascii="Times New Roman" w:hAnsi="Times New Roman" w:cs="Times New Roman"/>
          <w:sz w:val="18"/>
          <w:szCs w:val="18"/>
        </w:rPr>
        <w:t>a</w:t>
      </w:r>
      <w:r w:rsidR="00E574C4" w:rsidRPr="00752342">
        <w:rPr>
          <w:rFonts w:ascii="Times New Roman" w:hAnsi="Times New Roman" w:cs="Times New Roman"/>
          <w:sz w:val="18"/>
          <w:szCs w:val="18"/>
        </w:rPr>
        <w:t>verage daily feed intake (ADFI) and feed conversion ratio (FCR)</w:t>
      </w:r>
      <w:r w:rsidR="00B84C9A" w:rsidRPr="00752342">
        <w:rPr>
          <w:rFonts w:ascii="Times New Roman" w:hAnsi="Times New Roman" w:cs="Times New Roman"/>
          <w:sz w:val="18"/>
          <w:szCs w:val="18"/>
        </w:rPr>
        <w:t xml:space="preserve">. </w:t>
      </w:r>
      <w:r w:rsidR="00FB3BB1" w:rsidRPr="00285AFF">
        <w:rPr>
          <w:rFonts w:ascii="Times New Roman" w:hAnsi="Times New Roman" w:cs="Times New Roman"/>
          <w:sz w:val="18"/>
          <w:szCs w:val="18"/>
        </w:rPr>
        <w:t>Data w</w:t>
      </w:r>
      <w:r w:rsidR="00B84C9A" w:rsidRPr="00285AFF">
        <w:rPr>
          <w:rFonts w:ascii="Times New Roman" w:hAnsi="Times New Roman" w:cs="Times New Roman"/>
          <w:sz w:val="18"/>
          <w:szCs w:val="18"/>
        </w:rPr>
        <w:t>ere</w:t>
      </w:r>
      <w:r w:rsidR="00FB3BB1" w:rsidRPr="00285AFF">
        <w:rPr>
          <w:rFonts w:ascii="Times New Roman" w:hAnsi="Times New Roman" w:cs="Times New Roman"/>
          <w:sz w:val="18"/>
          <w:szCs w:val="18"/>
        </w:rPr>
        <w:t xml:space="preserve"> analysed using</w:t>
      </w:r>
      <w:r w:rsidR="007232CA">
        <w:rPr>
          <w:rFonts w:ascii="Times New Roman" w:hAnsi="Times New Roman" w:cs="Times New Roman"/>
          <w:sz w:val="18"/>
          <w:szCs w:val="18"/>
        </w:rPr>
        <w:t xml:space="preserve"> repeated measures analysis in</w:t>
      </w:r>
      <w:r w:rsidR="00FB3BB1" w:rsidRPr="00285AFF">
        <w:rPr>
          <w:rFonts w:ascii="Times New Roman" w:hAnsi="Times New Roman" w:cs="Times New Roman"/>
          <w:sz w:val="18"/>
          <w:szCs w:val="18"/>
        </w:rPr>
        <w:t xml:space="preserve"> PROC MIXED (v9.4, SAS Institute Inc.). The model included</w:t>
      </w:r>
      <w:r w:rsidR="00B84C9A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7232CA">
        <w:rPr>
          <w:rFonts w:ascii="Times New Roman" w:hAnsi="Times New Roman" w:cs="Times New Roman"/>
          <w:sz w:val="18"/>
          <w:szCs w:val="18"/>
        </w:rPr>
        <w:t xml:space="preserve">pen </w:t>
      </w:r>
      <w:r w:rsidR="00FB3BB1" w:rsidRPr="00285AFF">
        <w:rPr>
          <w:rFonts w:ascii="Times New Roman" w:hAnsi="Times New Roman" w:cs="Times New Roman"/>
          <w:sz w:val="18"/>
          <w:szCs w:val="18"/>
        </w:rPr>
        <w:t>hygiene</w:t>
      </w:r>
      <w:r w:rsidR="00B84C9A" w:rsidRPr="00285AFF">
        <w:rPr>
          <w:rFonts w:ascii="Times New Roman" w:hAnsi="Times New Roman" w:cs="Times New Roman"/>
          <w:sz w:val="18"/>
          <w:szCs w:val="18"/>
        </w:rPr>
        <w:t>, floor space allowance</w:t>
      </w:r>
      <w:r w:rsidR="007232CA">
        <w:rPr>
          <w:rFonts w:ascii="Times New Roman" w:hAnsi="Times New Roman" w:cs="Times New Roman"/>
          <w:sz w:val="18"/>
          <w:szCs w:val="18"/>
        </w:rPr>
        <w:t>,</w:t>
      </w:r>
      <w:r w:rsidR="00B84C9A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FB3BB1" w:rsidRPr="00285AFF">
        <w:rPr>
          <w:rFonts w:ascii="Times New Roman" w:hAnsi="Times New Roman" w:cs="Times New Roman"/>
          <w:sz w:val="18"/>
          <w:szCs w:val="18"/>
        </w:rPr>
        <w:t>feeder sp</w:t>
      </w:r>
      <w:r w:rsidR="00B84C9A" w:rsidRPr="00285AFF">
        <w:rPr>
          <w:rFonts w:ascii="Times New Roman" w:hAnsi="Times New Roman" w:cs="Times New Roman"/>
          <w:sz w:val="18"/>
          <w:szCs w:val="18"/>
        </w:rPr>
        <w:t>ace allowance</w:t>
      </w:r>
      <w:r w:rsidR="00FB3BB1" w:rsidRPr="00285AFF">
        <w:rPr>
          <w:rFonts w:ascii="Times New Roman" w:hAnsi="Times New Roman" w:cs="Times New Roman"/>
          <w:sz w:val="18"/>
          <w:szCs w:val="18"/>
        </w:rPr>
        <w:t xml:space="preserve"> and their associated interactions as fixed effects</w:t>
      </w:r>
      <w:r w:rsidR="007232CA">
        <w:rPr>
          <w:rFonts w:ascii="Times New Roman" w:hAnsi="Times New Roman" w:cs="Times New Roman"/>
          <w:sz w:val="18"/>
          <w:szCs w:val="18"/>
        </w:rPr>
        <w:t xml:space="preserve"> with</w:t>
      </w:r>
      <w:r w:rsidR="00FB3BB1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7232CA">
        <w:rPr>
          <w:rFonts w:ascii="Times New Roman" w:hAnsi="Times New Roman" w:cs="Times New Roman"/>
          <w:sz w:val="18"/>
          <w:szCs w:val="18"/>
        </w:rPr>
        <w:t>b</w:t>
      </w:r>
      <w:r w:rsidR="00FB3BB1" w:rsidRPr="00285AFF">
        <w:rPr>
          <w:rFonts w:ascii="Times New Roman" w:hAnsi="Times New Roman" w:cs="Times New Roman"/>
          <w:sz w:val="18"/>
          <w:szCs w:val="18"/>
        </w:rPr>
        <w:t>lock</w:t>
      </w:r>
      <w:r w:rsidR="007232CA">
        <w:rPr>
          <w:rFonts w:ascii="Times New Roman" w:hAnsi="Times New Roman" w:cs="Times New Roman"/>
          <w:sz w:val="18"/>
          <w:szCs w:val="18"/>
        </w:rPr>
        <w:t xml:space="preserve"> included</w:t>
      </w:r>
      <w:r w:rsidR="00FB3BB1" w:rsidRPr="00285AFF">
        <w:rPr>
          <w:rFonts w:ascii="Times New Roman" w:hAnsi="Times New Roman" w:cs="Times New Roman"/>
          <w:sz w:val="18"/>
          <w:szCs w:val="18"/>
        </w:rPr>
        <w:t xml:space="preserve"> as a random effect and weaning weight included as a co-variate </w:t>
      </w:r>
      <w:r w:rsidR="001E7999" w:rsidRPr="00285AFF">
        <w:rPr>
          <w:rFonts w:ascii="Times New Roman" w:hAnsi="Times New Roman" w:cs="Times New Roman"/>
          <w:sz w:val="18"/>
          <w:szCs w:val="18"/>
        </w:rPr>
        <w:t>when significan</w:t>
      </w:r>
      <w:r w:rsidR="007232CA">
        <w:rPr>
          <w:rFonts w:ascii="Times New Roman" w:hAnsi="Times New Roman" w:cs="Times New Roman"/>
          <w:sz w:val="18"/>
          <w:szCs w:val="18"/>
        </w:rPr>
        <w:t>t</w:t>
      </w:r>
      <w:r w:rsidR="00FB3BB1" w:rsidRPr="00285AF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C493F" w:rsidRDefault="007C1298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b/>
          <w:sz w:val="18"/>
          <w:szCs w:val="18"/>
        </w:rPr>
        <w:t>Results</w:t>
      </w:r>
      <w:r w:rsidR="00547C14" w:rsidRPr="00285AF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47C14" w:rsidRDefault="007C1298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sz w:val="18"/>
          <w:szCs w:val="18"/>
        </w:rPr>
        <w:t xml:space="preserve">At entry of pigs to </w:t>
      </w:r>
      <w:r w:rsidR="009C7E61">
        <w:rPr>
          <w:rFonts w:ascii="Times New Roman" w:hAnsi="Times New Roman" w:cs="Times New Roman"/>
          <w:sz w:val="18"/>
          <w:szCs w:val="18"/>
        </w:rPr>
        <w:t xml:space="preserve">the </w:t>
      </w:r>
      <w:r w:rsidRPr="00285AFF">
        <w:rPr>
          <w:rFonts w:ascii="Times New Roman" w:hAnsi="Times New Roman" w:cs="Times New Roman"/>
          <w:sz w:val="18"/>
          <w:szCs w:val="18"/>
        </w:rPr>
        <w:t xml:space="preserve">weaner accommodation, </w:t>
      </w:r>
      <w:r w:rsidR="00E574C4" w:rsidRPr="00285AFF">
        <w:rPr>
          <w:rFonts w:ascii="Times New Roman" w:hAnsi="Times New Roman" w:cs="Times New Roman"/>
          <w:sz w:val="18"/>
          <w:szCs w:val="18"/>
        </w:rPr>
        <w:t xml:space="preserve">ATP </w:t>
      </w:r>
      <w:r w:rsidR="009C7E61">
        <w:rPr>
          <w:rFonts w:ascii="Times New Roman" w:hAnsi="Times New Roman" w:cs="Times New Roman"/>
          <w:sz w:val="18"/>
          <w:szCs w:val="18"/>
        </w:rPr>
        <w:t>concentrations</w:t>
      </w:r>
      <w:r w:rsidR="009C7E61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B15F6F" w:rsidRPr="00285AFF">
        <w:rPr>
          <w:rFonts w:ascii="Times New Roman" w:hAnsi="Times New Roman" w:cs="Times New Roman"/>
          <w:sz w:val="18"/>
          <w:szCs w:val="18"/>
        </w:rPr>
        <w:t>(log</w:t>
      </w:r>
      <w:r w:rsidR="00B15F6F" w:rsidRPr="00A56BFD">
        <w:rPr>
          <w:rFonts w:ascii="Times New Roman" w:hAnsi="Times New Roman" w:cs="Times New Roman"/>
          <w:sz w:val="18"/>
          <w:szCs w:val="18"/>
          <w:vertAlign w:val="subscript"/>
        </w:rPr>
        <w:t>10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[</w:t>
      </w:r>
      <w:r w:rsidR="003D66CC">
        <w:rPr>
          <w:rFonts w:ascii="Times New Roman" w:hAnsi="Times New Roman" w:cs="Times New Roman"/>
          <w:sz w:val="18"/>
          <w:szCs w:val="18"/>
        </w:rPr>
        <w:t>Relative Light Units</w:t>
      </w:r>
      <w:r w:rsidR="00B15F6F" w:rsidRPr="00285AFF">
        <w:rPr>
          <w:rFonts w:ascii="Times New Roman" w:hAnsi="Times New Roman" w:cs="Times New Roman"/>
          <w:sz w:val="18"/>
          <w:szCs w:val="18"/>
        </w:rPr>
        <w:t>]/cm</w:t>
      </w:r>
      <w:r w:rsidR="00B15F6F"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) </w:t>
      </w:r>
      <w:r w:rsidR="00E574C4" w:rsidRPr="00285AFF">
        <w:rPr>
          <w:rFonts w:ascii="Times New Roman" w:hAnsi="Times New Roman" w:cs="Times New Roman"/>
          <w:sz w:val="18"/>
          <w:szCs w:val="18"/>
        </w:rPr>
        <w:t xml:space="preserve">were 1.85 and 0.44, </w:t>
      </w:r>
      <w:r w:rsidR="00A56BFD">
        <w:rPr>
          <w:rFonts w:ascii="Times New Roman" w:hAnsi="Times New Roman" w:cs="Times New Roman"/>
          <w:sz w:val="18"/>
          <w:szCs w:val="18"/>
        </w:rPr>
        <w:t>±</w:t>
      </w:r>
      <w:r w:rsidR="00E574C4" w:rsidRPr="00285AFF">
        <w:rPr>
          <w:rFonts w:ascii="Times New Roman" w:hAnsi="Times New Roman" w:cs="Times New Roman"/>
          <w:sz w:val="18"/>
          <w:szCs w:val="18"/>
        </w:rPr>
        <w:t>0.11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for </w:t>
      </w:r>
      <w:r w:rsidR="009C7E61">
        <w:rPr>
          <w:rFonts w:ascii="Times New Roman" w:hAnsi="Times New Roman" w:cs="Times New Roman"/>
          <w:sz w:val="18"/>
          <w:szCs w:val="18"/>
        </w:rPr>
        <w:t xml:space="preserve">the </w:t>
      </w:r>
      <w:r w:rsidR="00B15F6F" w:rsidRPr="00285AFF">
        <w:rPr>
          <w:rFonts w:ascii="Times New Roman" w:hAnsi="Times New Roman" w:cs="Times New Roman"/>
          <w:sz w:val="18"/>
          <w:szCs w:val="18"/>
        </w:rPr>
        <w:t>piglet lying area (P&lt;0.001)</w:t>
      </w:r>
      <w:r w:rsidR="00E574C4" w:rsidRPr="00285AFF">
        <w:rPr>
          <w:rFonts w:ascii="Times New Roman" w:hAnsi="Times New Roman" w:cs="Times New Roman"/>
          <w:sz w:val="18"/>
          <w:szCs w:val="18"/>
        </w:rPr>
        <w:t>; 1.93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and </w:t>
      </w:r>
      <w:r w:rsidR="00E574C4" w:rsidRPr="00285AFF">
        <w:rPr>
          <w:rFonts w:ascii="Times New Roman" w:hAnsi="Times New Roman" w:cs="Times New Roman"/>
          <w:sz w:val="18"/>
          <w:szCs w:val="18"/>
        </w:rPr>
        <w:t xml:space="preserve">1.21, </w:t>
      </w:r>
      <w:r w:rsidR="00A56BFD">
        <w:rPr>
          <w:rFonts w:ascii="Times New Roman" w:hAnsi="Times New Roman" w:cs="Times New Roman"/>
          <w:sz w:val="18"/>
          <w:szCs w:val="18"/>
        </w:rPr>
        <w:t>±</w:t>
      </w:r>
      <w:r w:rsidR="00E574C4" w:rsidRPr="00285AFF">
        <w:rPr>
          <w:rFonts w:ascii="Times New Roman" w:hAnsi="Times New Roman" w:cs="Times New Roman"/>
          <w:sz w:val="18"/>
          <w:szCs w:val="18"/>
        </w:rPr>
        <w:t>0.10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9C7E61">
        <w:rPr>
          <w:rFonts w:ascii="Times New Roman" w:hAnsi="Times New Roman" w:cs="Times New Roman"/>
          <w:sz w:val="18"/>
          <w:szCs w:val="18"/>
        </w:rPr>
        <w:t xml:space="preserve">for the </w:t>
      </w:r>
      <w:r w:rsidR="00B15F6F" w:rsidRPr="00285AFF">
        <w:rPr>
          <w:rFonts w:ascii="Times New Roman" w:hAnsi="Times New Roman" w:cs="Times New Roman"/>
          <w:sz w:val="18"/>
          <w:szCs w:val="18"/>
        </w:rPr>
        <w:t>dunging area</w:t>
      </w:r>
      <w:r w:rsidR="00B15F6F" w:rsidRPr="00285AFF">
        <w:rPr>
          <w:rFonts w:ascii="Times New Roman" w:hAnsi="Times New Roman" w:cs="Times New Roman"/>
          <w:sz w:val="18"/>
        </w:rPr>
        <w:t xml:space="preserve"> (</w:t>
      </w:r>
      <w:r w:rsidR="00B15F6F" w:rsidRPr="00285AFF">
        <w:rPr>
          <w:rFonts w:ascii="Times New Roman" w:hAnsi="Times New Roman" w:cs="Times New Roman"/>
          <w:sz w:val="18"/>
          <w:szCs w:val="18"/>
        </w:rPr>
        <w:t>P&lt;0.001)</w:t>
      </w:r>
      <w:r w:rsidR="00E574C4" w:rsidRPr="00285AFF">
        <w:rPr>
          <w:rFonts w:ascii="Times New Roman" w:hAnsi="Times New Roman" w:cs="Times New Roman"/>
          <w:sz w:val="18"/>
          <w:szCs w:val="18"/>
        </w:rPr>
        <w:t xml:space="preserve">; 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and 1.04 and </w:t>
      </w:r>
      <w:r w:rsidR="00E574C4" w:rsidRPr="00285AFF">
        <w:rPr>
          <w:rFonts w:ascii="Times New Roman" w:hAnsi="Times New Roman" w:cs="Times New Roman"/>
          <w:sz w:val="18"/>
          <w:szCs w:val="18"/>
        </w:rPr>
        <w:t>0.63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, </w:t>
      </w:r>
      <w:r w:rsidR="00A56BFD">
        <w:rPr>
          <w:rFonts w:ascii="Times New Roman" w:hAnsi="Times New Roman" w:cs="Times New Roman"/>
          <w:sz w:val="18"/>
          <w:szCs w:val="18"/>
        </w:rPr>
        <w:t>±</w:t>
      </w:r>
      <w:r w:rsidR="00E574C4" w:rsidRPr="00285AFF">
        <w:rPr>
          <w:rFonts w:ascii="Times New Roman" w:hAnsi="Times New Roman" w:cs="Times New Roman"/>
          <w:sz w:val="18"/>
          <w:szCs w:val="18"/>
        </w:rPr>
        <w:t>0.09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for </w:t>
      </w:r>
      <w:r w:rsidR="009C7E61">
        <w:rPr>
          <w:rFonts w:ascii="Times New Roman" w:hAnsi="Times New Roman" w:cs="Times New Roman"/>
          <w:sz w:val="18"/>
          <w:szCs w:val="18"/>
        </w:rPr>
        <w:t xml:space="preserve">the </w:t>
      </w:r>
      <w:r w:rsidR="00B15F6F" w:rsidRPr="00285AFF">
        <w:rPr>
          <w:rFonts w:ascii="Times New Roman" w:hAnsi="Times New Roman" w:cs="Times New Roman"/>
          <w:sz w:val="18"/>
          <w:szCs w:val="18"/>
        </w:rPr>
        <w:t>feeder</w:t>
      </w:r>
      <w:r w:rsidR="009C7E61">
        <w:rPr>
          <w:rFonts w:ascii="Times New Roman" w:hAnsi="Times New Roman" w:cs="Times New Roman"/>
          <w:sz w:val="18"/>
          <w:szCs w:val="18"/>
        </w:rPr>
        <w:t>s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(P&lt;0.001), for </w:t>
      </w:r>
      <w:r w:rsidR="009C7E61">
        <w:rPr>
          <w:rFonts w:ascii="Times New Roman" w:hAnsi="Times New Roman" w:cs="Times New Roman"/>
          <w:sz w:val="18"/>
          <w:szCs w:val="18"/>
        </w:rPr>
        <w:t xml:space="preserve">the 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sub-standard and optimal hygiene protocols, respectively. There was no pen hygiene </w:t>
      </w:r>
      <w:r w:rsidR="008D67BC" w:rsidRPr="00285AFF">
        <w:rPr>
          <w:rFonts w:ascii="Times New Roman" w:hAnsi="Times New Roman" w:cs="Times New Roman"/>
          <w:sz w:val="18"/>
          <w:szCs w:val="18"/>
        </w:rPr>
        <w:t>x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floor space allowance </w:t>
      </w:r>
      <w:r w:rsidR="008D67BC" w:rsidRPr="00285AFF">
        <w:rPr>
          <w:rFonts w:ascii="Times New Roman" w:hAnsi="Times New Roman" w:cs="Times New Roman"/>
          <w:sz w:val="18"/>
          <w:szCs w:val="18"/>
        </w:rPr>
        <w:t>x</w:t>
      </w:r>
      <w:r w:rsidR="00B15F6F" w:rsidRPr="00285AFF">
        <w:rPr>
          <w:rFonts w:ascii="Times New Roman" w:hAnsi="Times New Roman" w:cs="Times New Roman"/>
          <w:sz w:val="18"/>
          <w:szCs w:val="18"/>
        </w:rPr>
        <w:t xml:space="preserve"> feeder space allowance </w:t>
      </w:r>
      <w:r w:rsidR="008D67BC" w:rsidRPr="00285AFF">
        <w:rPr>
          <w:rFonts w:ascii="Times New Roman" w:hAnsi="Times New Roman" w:cs="Times New Roman"/>
          <w:sz w:val="18"/>
          <w:szCs w:val="18"/>
        </w:rPr>
        <w:t>interaction (P&gt;0.05) for any parameter of interest</w:t>
      </w:r>
      <w:r w:rsidR="00371BA4">
        <w:rPr>
          <w:rFonts w:ascii="Times New Roman" w:hAnsi="Times New Roman" w:cs="Times New Roman"/>
          <w:sz w:val="18"/>
          <w:szCs w:val="18"/>
        </w:rPr>
        <w:t xml:space="preserve">; </w:t>
      </w:r>
      <w:r w:rsidR="008D67BC" w:rsidRPr="00285AFF">
        <w:rPr>
          <w:rFonts w:ascii="Times New Roman" w:hAnsi="Times New Roman" w:cs="Times New Roman"/>
          <w:sz w:val="18"/>
          <w:szCs w:val="18"/>
        </w:rPr>
        <w:t>therefore</w:t>
      </w:r>
      <w:r w:rsidR="00371BA4">
        <w:rPr>
          <w:rFonts w:ascii="Times New Roman" w:hAnsi="Times New Roman" w:cs="Times New Roman"/>
          <w:sz w:val="18"/>
          <w:szCs w:val="18"/>
        </w:rPr>
        <w:t>,</w:t>
      </w:r>
      <w:r w:rsidR="008D67BC" w:rsidRPr="00285AFF">
        <w:rPr>
          <w:rFonts w:ascii="Times New Roman" w:hAnsi="Times New Roman" w:cs="Times New Roman"/>
          <w:sz w:val="18"/>
          <w:szCs w:val="18"/>
        </w:rPr>
        <w:t xml:space="preserve"> only 2-way interactions were considered. T</w:t>
      </w:r>
      <w:r w:rsidRPr="00285AFF">
        <w:rPr>
          <w:rFonts w:ascii="Times New Roman" w:hAnsi="Times New Roman" w:cs="Times New Roman"/>
          <w:sz w:val="18"/>
          <w:szCs w:val="18"/>
        </w:rPr>
        <w:t xml:space="preserve">here was a </w:t>
      </w:r>
      <w:r w:rsidR="008D67BC" w:rsidRPr="00285AFF">
        <w:rPr>
          <w:rFonts w:ascii="Times New Roman" w:hAnsi="Times New Roman" w:cs="Times New Roman"/>
          <w:sz w:val="18"/>
          <w:szCs w:val="18"/>
        </w:rPr>
        <w:t xml:space="preserve">pen </w:t>
      </w:r>
      <w:r w:rsidRPr="00285AFF">
        <w:rPr>
          <w:rFonts w:ascii="Times New Roman" w:hAnsi="Times New Roman" w:cs="Times New Roman"/>
          <w:sz w:val="18"/>
          <w:szCs w:val="18"/>
        </w:rPr>
        <w:t>hygiene x floor space allowance interaction for body weight (BW)</w:t>
      </w:r>
      <w:r w:rsidR="00B957D8" w:rsidRPr="00285AFF">
        <w:rPr>
          <w:rFonts w:ascii="Times New Roman" w:hAnsi="Times New Roman" w:cs="Times New Roman"/>
          <w:sz w:val="18"/>
          <w:szCs w:val="18"/>
        </w:rPr>
        <w:t>, ADFI and ADG</w:t>
      </w:r>
      <w:r w:rsidRPr="00285AFF">
        <w:rPr>
          <w:rFonts w:ascii="Times New Roman" w:hAnsi="Times New Roman" w:cs="Times New Roman"/>
          <w:sz w:val="18"/>
          <w:szCs w:val="18"/>
        </w:rPr>
        <w:t>. Increasing floor space (0.70m</w:t>
      </w:r>
      <w:r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285AFF">
        <w:rPr>
          <w:rFonts w:ascii="Times New Roman" w:hAnsi="Times New Roman" w:cs="Times New Roman"/>
          <w:sz w:val="18"/>
          <w:szCs w:val="18"/>
        </w:rPr>
        <w:t xml:space="preserve">/pig) </w:t>
      </w:r>
      <w:r w:rsidR="008D67BC" w:rsidRPr="00285AFF">
        <w:rPr>
          <w:rFonts w:ascii="Times New Roman" w:hAnsi="Times New Roman" w:cs="Times New Roman"/>
          <w:sz w:val="18"/>
          <w:szCs w:val="18"/>
        </w:rPr>
        <w:t>with</w:t>
      </w:r>
      <w:r w:rsidRPr="00285AFF">
        <w:rPr>
          <w:rFonts w:ascii="Times New Roman" w:hAnsi="Times New Roman" w:cs="Times New Roman"/>
          <w:sz w:val="18"/>
          <w:szCs w:val="18"/>
        </w:rPr>
        <w:t xml:space="preserve"> sub-standard </w:t>
      </w:r>
      <w:r w:rsidR="008D67BC" w:rsidRPr="00285AFF">
        <w:rPr>
          <w:rFonts w:ascii="Times New Roman" w:hAnsi="Times New Roman" w:cs="Times New Roman"/>
          <w:sz w:val="18"/>
          <w:szCs w:val="18"/>
        </w:rPr>
        <w:t xml:space="preserve">hygiene </w:t>
      </w:r>
      <w:r w:rsidRPr="00285AFF">
        <w:rPr>
          <w:rFonts w:ascii="Times New Roman" w:hAnsi="Times New Roman" w:cs="Times New Roman"/>
          <w:sz w:val="18"/>
          <w:szCs w:val="18"/>
        </w:rPr>
        <w:t>increased</w:t>
      </w:r>
      <w:r w:rsidR="00A70913" w:rsidRPr="00285AFF">
        <w:rPr>
          <w:rFonts w:ascii="Times New Roman" w:hAnsi="Times New Roman" w:cs="Times New Roman"/>
          <w:sz w:val="18"/>
          <w:szCs w:val="18"/>
        </w:rPr>
        <w:t xml:space="preserve"> B</w:t>
      </w:r>
      <w:r w:rsidR="00E950E8" w:rsidRPr="00285AFF">
        <w:rPr>
          <w:rFonts w:ascii="Times New Roman" w:hAnsi="Times New Roman" w:cs="Times New Roman"/>
          <w:sz w:val="18"/>
          <w:szCs w:val="18"/>
        </w:rPr>
        <w:t>W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 at </w:t>
      </w:r>
      <w:r w:rsidR="000D7F1E">
        <w:rPr>
          <w:rFonts w:ascii="Times New Roman" w:hAnsi="Times New Roman" w:cs="Times New Roman"/>
          <w:sz w:val="18"/>
          <w:szCs w:val="18"/>
        </w:rPr>
        <w:t>D</w:t>
      </w:r>
      <w:r w:rsidR="00B957D8" w:rsidRPr="00285AFF">
        <w:rPr>
          <w:rFonts w:ascii="Times New Roman" w:hAnsi="Times New Roman" w:cs="Times New Roman"/>
          <w:sz w:val="18"/>
          <w:szCs w:val="18"/>
        </w:rPr>
        <w:t>45PW (P&lt;0.001)</w:t>
      </w:r>
      <w:r w:rsidR="00041E77" w:rsidRPr="00285AFF">
        <w:rPr>
          <w:rFonts w:ascii="Times New Roman" w:hAnsi="Times New Roman" w:cs="Times New Roman"/>
          <w:sz w:val="18"/>
          <w:szCs w:val="18"/>
        </w:rPr>
        <w:t>;</w:t>
      </w:r>
      <w:r w:rsidR="00B957D8" w:rsidRPr="00285AFF">
        <w:rPr>
          <w:rFonts w:ascii="Times New Roman" w:hAnsi="Times New Roman" w:cs="Times New Roman"/>
          <w:sz w:val="18"/>
          <w:szCs w:val="18"/>
        </w:rPr>
        <w:t xml:space="preserve"> ADFI from D27-45PW (P&lt;0.05)</w:t>
      </w:r>
      <w:r w:rsidR="00041E77" w:rsidRPr="00285AFF">
        <w:rPr>
          <w:rFonts w:ascii="Times New Roman" w:hAnsi="Times New Roman" w:cs="Times New Roman"/>
          <w:sz w:val="18"/>
          <w:szCs w:val="18"/>
        </w:rPr>
        <w:t>;</w:t>
      </w:r>
      <w:r w:rsidR="00B957D8" w:rsidRPr="00285AFF">
        <w:rPr>
          <w:rFonts w:ascii="Times New Roman" w:hAnsi="Times New Roman" w:cs="Times New Roman"/>
          <w:sz w:val="18"/>
          <w:szCs w:val="18"/>
        </w:rPr>
        <w:t xml:space="preserve"> ADG from D20-27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 (P&lt;0.05) and</w:t>
      </w:r>
      <w:r w:rsidR="008D67BC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B957D8" w:rsidRPr="00285AFF">
        <w:rPr>
          <w:rFonts w:ascii="Times New Roman" w:hAnsi="Times New Roman" w:cs="Times New Roman"/>
          <w:sz w:val="18"/>
          <w:szCs w:val="18"/>
        </w:rPr>
        <w:t>D27-45PW (P&lt;0.05)</w:t>
      </w:r>
      <w:r w:rsidR="00041E77" w:rsidRPr="00285AFF">
        <w:rPr>
          <w:rFonts w:ascii="Times New Roman" w:hAnsi="Times New Roman" w:cs="Times New Roman"/>
          <w:sz w:val="18"/>
          <w:szCs w:val="18"/>
        </w:rPr>
        <w:t>;</w:t>
      </w:r>
      <w:r w:rsidR="00B957D8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041E77" w:rsidRPr="00285AFF">
        <w:rPr>
          <w:rFonts w:ascii="Times New Roman" w:hAnsi="Times New Roman" w:cs="Times New Roman"/>
          <w:sz w:val="18"/>
          <w:szCs w:val="18"/>
        </w:rPr>
        <w:t>and</w:t>
      </w:r>
      <w:r w:rsidR="00093843">
        <w:rPr>
          <w:rFonts w:ascii="Times New Roman" w:hAnsi="Times New Roman" w:cs="Times New Roman"/>
          <w:sz w:val="18"/>
          <w:szCs w:val="18"/>
        </w:rPr>
        <w:t xml:space="preserve"> reduced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 FCR from D20-27</w:t>
      </w:r>
      <w:r w:rsidR="009C7E61">
        <w:rPr>
          <w:rFonts w:ascii="Times New Roman" w:hAnsi="Times New Roman" w:cs="Times New Roman"/>
          <w:sz w:val="18"/>
          <w:szCs w:val="18"/>
        </w:rPr>
        <w:t>PW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 (P&lt;0.05) </w:t>
      </w:r>
      <w:r w:rsidR="008D67BC" w:rsidRPr="00285AFF">
        <w:rPr>
          <w:rFonts w:ascii="Times New Roman" w:hAnsi="Times New Roman" w:cs="Times New Roman"/>
          <w:sz w:val="18"/>
          <w:szCs w:val="18"/>
        </w:rPr>
        <w:t xml:space="preserve">but not with optimal hygiene </w:t>
      </w:r>
      <w:r w:rsidR="00B957D8" w:rsidRPr="00285AFF">
        <w:rPr>
          <w:rFonts w:ascii="Times New Roman" w:hAnsi="Times New Roman" w:cs="Times New Roman"/>
          <w:sz w:val="18"/>
          <w:szCs w:val="18"/>
        </w:rPr>
        <w:t>(P</w:t>
      </w:r>
      <w:r w:rsidR="00093843">
        <w:rPr>
          <w:rFonts w:ascii="Times New Roman" w:hAnsi="Times New Roman" w:cs="Times New Roman"/>
          <w:sz w:val="18"/>
          <w:szCs w:val="18"/>
        </w:rPr>
        <w:t>&gt;</w:t>
      </w:r>
      <w:r w:rsidR="00B957D8" w:rsidRPr="00285AFF">
        <w:rPr>
          <w:rFonts w:ascii="Times New Roman" w:hAnsi="Times New Roman" w:cs="Times New Roman"/>
          <w:sz w:val="18"/>
          <w:szCs w:val="18"/>
        </w:rPr>
        <w:t>0.05</w:t>
      </w:r>
      <w:r w:rsidR="008D67BC" w:rsidRPr="00285AFF">
        <w:rPr>
          <w:rFonts w:ascii="Times New Roman" w:hAnsi="Times New Roman" w:cs="Times New Roman"/>
          <w:sz w:val="18"/>
          <w:szCs w:val="18"/>
        </w:rPr>
        <w:t>)</w:t>
      </w:r>
      <w:r w:rsidR="00B957D8" w:rsidRPr="00285AFF">
        <w:rPr>
          <w:rFonts w:ascii="Times New Roman" w:hAnsi="Times New Roman" w:cs="Times New Roman"/>
          <w:sz w:val="18"/>
          <w:szCs w:val="18"/>
        </w:rPr>
        <w:t xml:space="preserve">.  </w:t>
      </w:r>
      <w:r w:rsidR="00CA3F48" w:rsidRPr="00285AFF">
        <w:rPr>
          <w:rFonts w:ascii="Times New Roman" w:hAnsi="Times New Roman" w:cs="Times New Roman"/>
          <w:sz w:val="18"/>
          <w:szCs w:val="18"/>
        </w:rPr>
        <w:t xml:space="preserve">There was a 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pen </w:t>
      </w:r>
      <w:r w:rsidR="00CA3F48" w:rsidRPr="00285AFF">
        <w:rPr>
          <w:rFonts w:ascii="Times New Roman" w:hAnsi="Times New Roman" w:cs="Times New Roman"/>
          <w:sz w:val="18"/>
          <w:szCs w:val="18"/>
        </w:rPr>
        <w:t>hygiene x feeder spa</w:t>
      </w:r>
      <w:r w:rsidR="00041E77" w:rsidRPr="00285AFF">
        <w:rPr>
          <w:rFonts w:ascii="Times New Roman" w:hAnsi="Times New Roman" w:cs="Times New Roman"/>
          <w:sz w:val="18"/>
          <w:szCs w:val="18"/>
        </w:rPr>
        <w:t>ce interaction for FCR from D27-45PW. Increasing feeder space allowance</w:t>
      </w:r>
      <w:r w:rsidR="00CA3F48" w:rsidRPr="00285AFF">
        <w:rPr>
          <w:rFonts w:ascii="Times New Roman" w:hAnsi="Times New Roman" w:cs="Times New Roman"/>
          <w:sz w:val="18"/>
          <w:szCs w:val="18"/>
        </w:rPr>
        <w:t xml:space="preserve"> under 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both sub-standard and </w:t>
      </w:r>
      <w:r w:rsidR="00CA3F48" w:rsidRPr="00285AFF">
        <w:rPr>
          <w:rFonts w:ascii="Times New Roman" w:hAnsi="Times New Roman" w:cs="Times New Roman"/>
          <w:sz w:val="18"/>
          <w:szCs w:val="18"/>
        </w:rPr>
        <w:t xml:space="preserve">optimal 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hygiene </w:t>
      </w:r>
      <w:r w:rsidR="009C7E61">
        <w:rPr>
          <w:rFonts w:ascii="Times New Roman" w:hAnsi="Times New Roman" w:cs="Times New Roman"/>
          <w:sz w:val="18"/>
          <w:szCs w:val="18"/>
        </w:rPr>
        <w:t xml:space="preserve">conditions </w:t>
      </w:r>
      <w:r w:rsidR="00093843">
        <w:rPr>
          <w:rFonts w:ascii="Times New Roman" w:hAnsi="Times New Roman" w:cs="Times New Roman"/>
          <w:sz w:val="18"/>
          <w:szCs w:val="18"/>
        </w:rPr>
        <w:t xml:space="preserve">reduced </w:t>
      </w:r>
      <w:r w:rsidR="00041E77" w:rsidRPr="00285AFF">
        <w:rPr>
          <w:rFonts w:ascii="Times New Roman" w:hAnsi="Times New Roman" w:cs="Times New Roman"/>
          <w:sz w:val="18"/>
          <w:szCs w:val="18"/>
        </w:rPr>
        <w:t xml:space="preserve">FCR (P&lt;0.001) </w:t>
      </w:r>
      <w:r w:rsidR="0082786F" w:rsidRPr="00285AFF">
        <w:rPr>
          <w:rFonts w:ascii="Times New Roman" w:hAnsi="Times New Roman" w:cs="Times New Roman"/>
          <w:sz w:val="18"/>
          <w:szCs w:val="18"/>
        </w:rPr>
        <w:t>with increased feed</w:t>
      </w:r>
      <w:r w:rsidR="00460BFD" w:rsidRPr="00285AFF">
        <w:rPr>
          <w:rFonts w:ascii="Times New Roman" w:hAnsi="Times New Roman" w:cs="Times New Roman"/>
          <w:sz w:val="18"/>
          <w:szCs w:val="18"/>
        </w:rPr>
        <w:t>er space</w:t>
      </w:r>
      <w:r w:rsidR="0082786F" w:rsidRPr="00285AFF">
        <w:rPr>
          <w:rFonts w:ascii="Times New Roman" w:hAnsi="Times New Roman" w:cs="Times New Roman"/>
          <w:sz w:val="18"/>
          <w:szCs w:val="18"/>
        </w:rPr>
        <w:t xml:space="preserve"> giving better FCR with optimal than </w:t>
      </w:r>
      <w:r w:rsidR="00371BA4">
        <w:rPr>
          <w:rFonts w:ascii="Times New Roman" w:hAnsi="Times New Roman" w:cs="Times New Roman"/>
          <w:sz w:val="18"/>
          <w:szCs w:val="18"/>
        </w:rPr>
        <w:t xml:space="preserve">with </w:t>
      </w:r>
      <w:r w:rsidR="0082786F" w:rsidRPr="00285AFF">
        <w:rPr>
          <w:rFonts w:ascii="Times New Roman" w:hAnsi="Times New Roman" w:cs="Times New Roman"/>
          <w:sz w:val="18"/>
          <w:szCs w:val="18"/>
        </w:rPr>
        <w:t xml:space="preserve">sub-standard hygiene (P&lt;0.05). </w:t>
      </w:r>
      <w:r w:rsidR="00A70913" w:rsidRPr="00285AFF">
        <w:rPr>
          <w:rFonts w:ascii="Times New Roman" w:hAnsi="Times New Roman" w:cs="Times New Roman"/>
          <w:sz w:val="18"/>
          <w:szCs w:val="18"/>
        </w:rPr>
        <w:t>There was a</w:t>
      </w:r>
      <w:r w:rsidR="00733BF5" w:rsidRPr="00285AFF">
        <w:rPr>
          <w:rFonts w:ascii="Times New Roman" w:hAnsi="Times New Roman" w:cs="Times New Roman"/>
          <w:sz w:val="18"/>
          <w:szCs w:val="18"/>
        </w:rPr>
        <w:t>n overall</w:t>
      </w:r>
      <w:r w:rsidR="00A70913" w:rsidRPr="00285AFF">
        <w:rPr>
          <w:rFonts w:ascii="Times New Roman" w:hAnsi="Times New Roman" w:cs="Times New Roman"/>
          <w:sz w:val="18"/>
          <w:szCs w:val="18"/>
        </w:rPr>
        <w:t xml:space="preserve"> floor space allowance</w:t>
      </w:r>
      <w:r w:rsidR="002357EE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A70913" w:rsidRPr="00285AFF">
        <w:rPr>
          <w:rFonts w:ascii="Times New Roman" w:hAnsi="Times New Roman" w:cs="Times New Roman"/>
          <w:sz w:val="18"/>
          <w:szCs w:val="18"/>
        </w:rPr>
        <w:t>x feeder space allowance interaction</w:t>
      </w:r>
      <w:r w:rsidR="00BF61B0">
        <w:rPr>
          <w:rFonts w:ascii="Times New Roman" w:hAnsi="Times New Roman" w:cs="Times New Roman"/>
          <w:sz w:val="18"/>
          <w:szCs w:val="18"/>
        </w:rPr>
        <w:t xml:space="preserve"> </w:t>
      </w:r>
      <w:r w:rsidR="002357EE" w:rsidRPr="00285AFF">
        <w:rPr>
          <w:rFonts w:ascii="Times New Roman" w:hAnsi="Times New Roman" w:cs="Times New Roman"/>
          <w:sz w:val="18"/>
          <w:szCs w:val="18"/>
        </w:rPr>
        <w:t>for BW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 and ADG</w:t>
      </w:r>
      <w:r w:rsidR="00371BA4">
        <w:rPr>
          <w:rFonts w:ascii="Times New Roman" w:hAnsi="Times New Roman" w:cs="Times New Roman"/>
          <w:sz w:val="18"/>
          <w:szCs w:val="18"/>
        </w:rPr>
        <w:t xml:space="preserve"> (Table 1)</w:t>
      </w:r>
      <w:r w:rsidR="002357EE" w:rsidRPr="00285AFF">
        <w:rPr>
          <w:rFonts w:ascii="Times New Roman" w:hAnsi="Times New Roman" w:cs="Times New Roman"/>
          <w:sz w:val="18"/>
          <w:szCs w:val="18"/>
        </w:rPr>
        <w:t xml:space="preserve">. 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2357EE" w:rsidRPr="00285AFF">
        <w:rPr>
          <w:rFonts w:ascii="Times New Roman" w:hAnsi="Times New Roman" w:cs="Times New Roman"/>
          <w:sz w:val="18"/>
          <w:szCs w:val="18"/>
        </w:rPr>
        <w:t>Increasing floor space allowance in pens with sin</w:t>
      </w:r>
      <w:r w:rsidR="00733BF5" w:rsidRPr="00285AFF">
        <w:rPr>
          <w:rFonts w:ascii="Times New Roman" w:hAnsi="Times New Roman" w:cs="Times New Roman"/>
          <w:sz w:val="18"/>
          <w:szCs w:val="18"/>
        </w:rPr>
        <w:t>gle-spaced feeders increased BW</w:t>
      </w:r>
      <w:r w:rsidR="00676DFA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733BF5" w:rsidRPr="00285AFF">
        <w:rPr>
          <w:rFonts w:ascii="Times New Roman" w:hAnsi="Times New Roman" w:cs="Times New Roman"/>
          <w:sz w:val="18"/>
          <w:szCs w:val="18"/>
        </w:rPr>
        <w:t>(</w:t>
      </w:r>
      <w:r w:rsidR="00676DFA" w:rsidRPr="00285AFF">
        <w:rPr>
          <w:rFonts w:ascii="Times New Roman" w:hAnsi="Times New Roman" w:cs="Times New Roman"/>
          <w:sz w:val="18"/>
          <w:szCs w:val="18"/>
        </w:rPr>
        <w:t>P&lt;0.001</w:t>
      </w:r>
      <w:r w:rsidR="0074370D">
        <w:rPr>
          <w:rFonts w:ascii="Times New Roman" w:hAnsi="Times New Roman" w:cs="Times New Roman"/>
          <w:sz w:val="18"/>
          <w:szCs w:val="18"/>
        </w:rPr>
        <w:t>)</w:t>
      </w:r>
      <w:r w:rsidR="002357EE" w:rsidRPr="00285AFF">
        <w:rPr>
          <w:rFonts w:ascii="Times New Roman" w:hAnsi="Times New Roman" w:cs="Times New Roman"/>
          <w:sz w:val="18"/>
          <w:szCs w:val="18"/>
        </w:rPr>
        <w:t xml:space="preserve"> and ADG</w:t>
      </w:r>
      <w:r w:rsidR="0093296A">
        <w:rPr>
          <w:rFonts w:ascii="Times New Roman" w:hAnsi="Times New Roman" w:cs="Times New Roman"/>
          <w:sz w:val="18"/>
          <w:szCs w:val="18"/>
        </w:rPr>
        <w:t xml:space="preserve"> (P=0.02)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 but this was not the case whe</w:t>
      </w:r>
      <w:r w:rsidR="009C7E61">
        <w:rPr>
          <w:rFonts w:ascii="Times New Roman" w:hAnsi="Times New Roman" w:cs="Times New Roman"/>
          <w:sz w:val="18"/>
          <w:szCs w:val="18"/>
        </w:rPr>
        <w:t>n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 pigs were fed from double</w:t>
      </w:r>
      <w:r w:rsidR="009C7E61">
        <w:rPr>
          <w:rFonts w:ascii="Times New Roman" w:hAnsi="Times New Roman" w:cs="Times New Roman"/>
          <w:sz w:val="18"/>
          <w:szCs w:val="18"/>
        </w:rPr>
        <w:t>-</w:t>
      </w:r>
      <w:r w:rsidR="00733BF5" w:rsidRPr="00285AFF">
        <w:rPr>
          <w:rFonts w:ascii="Times New Roman" w:hAnsi="Times New Roman" w:cs="Times New Roman"/>
          <w:sz w:val="18"/>
          <w:szCs w:val="18"/>
        </w:rPr>
        <w:t>spaced feeders</w:t>
      </w:r>
      <w:r w:rsidR="002357EE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733BF5" w:rsidRPr="00285AFF">
        <w:rPr>
          <w:rFonts w:ascii="Times New Roman" w:hAnsi="Times New Roman" w:cs="Times New Roman"/>
          <w:sz w:val="18"/>
          <w:szCs w:val="18"/>
        </w:rPr>
        <w:t>(</w:t>
      </w:r>
      <w:r w:rsidR="002357EE" w:rsidRPr="00285AFF">
        <w:rPr>
          <w:rFonts w:ascii="Times New Roman" w:hAnsi="Times New Roman" w:cs="Times New Roman"/>
          <w:sz w:val="18"/>
          <w:szCs w:val="18"/>
        </w:rPr>
        <w:t>P&lt;0.05)</w:t>
      </w:r>
      <w:r w:rsidR="00733BF5" w:rsidRPr="00285AFF">
        <w:rPr>
          <w:rFonts w:ascii="Times New Roman" w:hAnsi="Times New Roman" w:cs="Times New Roman"/>
          <w:sz w:val="18"/>
          <w:szCs w:val="18"/>
        </w:rPr>
        <w:t>.  Providing additional</w:t>
      </w:r>
      <w:r w:rsidR="002165F8" w:rsidRPr="00285AFF">
        <w:rPr>
          <w:rFonts w:ascii="Times New Roman" w:hAnsi="Times New Roman" w:cs="Times New Roman"/>
          <w:sz w:val="18"/>
          <w:szCs w:val="18"/>
        </w:rPr>
        <w:t xml:space="preserve"> feeder space</w:t>
      </w:r>
      <w:r w:rsidR="00676DFA" w:rsidRPr="00285AFF">
        <w:rPr>
          <w:rFonts w:ascii="Times New Roman" w:hAnsi="Times New Roman" w:cs="Times New Roman"/>
          <w:sz w:val="18"/>
          <w:szCs w:val="18"/>
        </w:rPr>
        <w:t xml:space="preserve"> at </w:t>
      </w:r>
      <w:r w:rsidR="002165F8" w:rsidRPr="00285AFF">
        <w:rPr>
          <w:rFonts w:ascii="Times New Roman" w:hAnsi="Times New Roman" w:cs="Times New Roman"/>
          <w:sz w:val="18"/>
          <w:szCs w:val="18"/>
        </w:rPr>
        <w:t xml:space="preserve">both </w:t>
      </w:r>
      <w:r w:rsidR="00204569">
        <w:rPr>
          <w:rFonts w:ascii="Times New Roman" w:hAnsi="Times New Roman" w:cs="Times New Roman"/>
          <w:sz w:val="18"/>
          <w:szCs w:val="18"/>
        </w:rPr>
        <w:t>low</w:t>
      </w:r>
      <w:r w:rsidR="002165F8" w:rsidRPr="00285AFF">
        <w:rPr>
          <w:rFonts w:ascii="Times New Roman" w:hAnsi="Times New Roman" w:cs="Times New Roman"/>
          <w:sz w:val="18"/>
          <w:szCs w:val="18"/>
        </w:rPr>
        <w:t xml:space="preserve"> or </w:t>
      </w:r>
      <w:r w:rsidR="00204569">
        <w:rPr>
          <w:rFonts w:ascii="Times New Roman" w:hAnsi="Times New Roman" w:cs="Times New Roman"/>
          <w:sz w:val="18"/>
          <w:szCs w:val="18"/>
        </w:rPr>
        <w:t>high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 floor space allowance</w:t>
      </w:r>
      <w:r w:rsidR="00582880">
        <w:rPr>
          <w:rFonts w:ascii="Times New Roman" w:hAnsi="Times New Roman" w:cs="Times New Roman"/>
          <w:sz w:val="18"/>
          <w:szCs w:val="18"/>
        </w:rPr>
        <w:t>s</w:t>
      </w:r>
      <w:r w:rsidR="002165F8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093843">
        <w:rPr>
          <w:rFonts w:ascii="Times New Roman" w:hAnsi="Times New Roman" w:cs="Times New Roman"/>
          <w:sz w:val="18"/>
          <w:szCs w:val="18"/>
        </w:rPr>
        <w:t>reduced</w:t>
      </w:r>
      <w:r w:rsidR="00093843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FCR </w:t>
      </w:r>
      <w:r w:rsidR="009C7E61">
        <w:rPr>
          <w:rFonts w:ascii="Times New Roman" w:hAnsi="Times New Roman" w:cs="Times New Roman"/>
          <w:sz w:val="18"/>
          <w:szCs w:val="18"/>
        </w:rPr>
        <w:t xml:space="preserve">from </w:t>
      </w:r>
      <w:r w:rsidR="00733BF5" w:rsidRPr="00285AFF">
        <w:rPr>
          <w:rFonts w:ascii="Times New Roman" w:hAnsi="Times New Roman" w:cs="Times New Roman"/>
          <w:sz w:val="18"/>
          <w:szCs w:val="18"/>
        </w:rPr>
        <w:t>D27-45</w:t>
      </w:r>
      <w:r w:rsidR="009C7E61">
        <w:rPr>
          <w:rFonts w:ascii="Times New Roman" w:hAnsi="Times New Roman" w:cs="Times New Roman"/>
          <w:sz w:val="18"/>
          <w:szCs w:val="18"/>
        </w:rPr>
        <w:t>PW</w:t>
      </w:r>
      <w:r w:rsidR="00733BF5" w:rsidRPr="00285AFF">
        <w:rPr>
          <w:rFonts w:ascii="Times New Roman" w:hAnsi="Times New Roman" w:cs="Times New Roman"/>
          <w:sz w:val="18"/>
          <w:szCs w:val="18"/>
        </w:rPr>
        <w:t xml:space="preserve"> (</w:t>
      </w:r>
      <w:r w:rsidR="002165F8" w:rsidRPr="00285AFF">
        <w:rPr>
          <w:rFonts w:ascii="Times New Roman" w:hAnsi="Times New Roman" w:cs="Times New Roman"/>
          <w:sz w:val="18"/>
          <w:szCs w:val="18"/>
        </w:rPr>
        <w:t>P&lt;0.02</w:t>
      </w:r>
      <w:r w:rsidR="00582880">
        <w:rPr>
          <w:rFonts w:ascii="Times New Roman" w:hAnsi="Times New Roman" w:cs="Times New Roman"/>
          <w:sz w:val="18"/>
          <w:szCs w:val="18"/>
        </w:rPr>
        <w:t xml:space="preserve">; </w:t>
      </w:r>
      <w:r w:rsidR="00E62FB6">
        <w:rPr>
          <w:rFonts w:ascii="Times New Roman" w:hAnsi="Times New Roman" w:cs="Times New Roman"/>
          <w:sz w:val="18"/>
          <w:szCs w:val="18"/>
        </w:rPr>
        <w:t>Table 1</w:t>
      </w:r>
      <w:r w:rsidR="002165F8" w:rsidRPr="00285AFF">
        <w:rPr>
          <w:rFonts w:ascii="Times New Roman" w:hAnsi="Times New Roman" w:cs="Times New Roman"/>
          <w:sz w:val="18"/>
          <w:szCs w:val="18"/>
        </w:rPr>
        <w:t>)</w:t>
      </w:r>
      <w:r w:rsidR="00582880">
        <w:rPr>
          <w:rFonts w:ascii="Times New Roman" w:hAnsi="Times New Roman" w:cs="Times New Roman"/>
          <w:sz w:val="18"/>
          <w:szCs w:val="18"/>
        </w:rPr>
        <w:t>.</w:t>
      </w:r>
    </w:p>
    <w:p w:rsidR="00204569" w:rsidRPr="00285AFF" w:rsidRDefault="00204569">
      <w:pPr>
        <w:rPr>
          <w:rFonts w:ascii="Times New Roman" w:hAnsi="Times New Roman" w:cs="Times New Roman"/>
          <w:sz w:val="18"/>
          <w:szCs w:val="18"/>
        </w:rPr>
      </w:pPr>
    </w:p>
    <w:p w:rsidR="007B4E2D" w:rsidRPr="007B4E2D" w:rsidRDefault="007B4E2D" w:rsidP="007B4E2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7B4E2D">
        <w:rPr>
          <w:rFonts w:ascii="Times New Roman" w:hAnsi="Times New Roman" w:cs="Times New Roman"/>
          <w:b/>
          <w:sz w:val="18"/>
          <w:szCs w:val="18"/>
        </w:rPr>
        <w:t>Table 1: Effect of floor space and feeder space allowance on post</w:t>
      </w:r>
      <w:r w:rsidR="00371BA4">
        <w:rPr>
          <w:rFonts w:ascii="Times New Roman" w:hAnsi="Times New Roman" w:cs="Times New Roman"/>
          <w:b/>
          <w:sz w:val="18"/>
          <w:szCs w:val="18"/>
        </w:rPr>
        <w:t>-</w:t>
      </w:r>
      <w:r w:rsidRPr="007B4E2D">
        <w:rPr>
          <w:rFonts w:ascii="Times New Roman" w:hAnsi="Times New Roman" w:cs="Times New Roman"/>
          <w:b/>
          <w:sz w:val="18"/>
          <w:szCs w:val="18"/>
        </w:rPr>
        <w:t>weaning pig growth performance.</w:t>
      </w:r>
    </w:p>
    <w:tbl>
      <w:tblPr>
        <w:tblW w:w="12126" w:type="dxa"/>
        <w:tblLook w:val="04A0" w:firstRow="1" w:lastRow="0" w:firstColumn="1" w:lastColumn="0" w:noHBand="0" w:noVBand="1"/>
      </w:tblPr>
      <w:tblGrid>
        <w:gridCol w:w="2400"/>
        <w:gridCol w:w="1698"/>
        <w:gridCol w:w="906"/>
        <w:gridCol w:w="1698"/>
        <w:gridCol w:w="931"/>
        <w:gridCol w:w="870"/>
        <w:gridCol w:w="719"/>
        <w:gridCol w:w="226"/>
        <w:gridCol w:w="1228"/>
        <w:gridCol w:w="1450"/>
      </w:tblGrid>
      <w:tr w:rsidR="007B4E2D" w:rsidRPr="005922FB" w:rsidTr="007B4E2D">
        <w:trPr>
          <w:trHeight w:val="288"/>
        </w:trPr>
        <w:tc>
          <w:tcPr>
            <w:tcW w:w="24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Floor Space Allowance </w:t>
            </w:r>
          </w:p>
        </w:tc>
        <w:tc>
          <w:tcPr>
            <w:tcW w:w="2604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0.35m²/pig</w:t>
            </w:r>
          </w:p>
        </w:tc>
        <w:tc>
          <w:tcPr>
            <w:tcW w:w="2629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0.70m²/pig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SEM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Feeder space allowance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Double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Double</w:t>
            </w: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Floor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Feeders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Floor x Feeders</w:t>
            </w: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No: Pens</w:t>
            </w:r>
          </w:p>
        </w:tc>
        <w:tc>
          <w:tcPr>
            <w:tcW w:w="169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9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BW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(kg)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Overall (D0-45PW)</w:t>
            </w:r>
            <w:r w:rsidRPr="005922FB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16.9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17.8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17.5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ADFI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(g/d)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Day 27-45PW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1149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23.5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ADG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(g/d)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 xml:space="preserve">Overall </w:t>
            </w:r>
            <w:r w:rsidRPr="005922FB">
              <w:rPr>
                <w:rFonts w:ascii="Times New Roman" w:hAnsi="Times New Roman" w:cs="Times New Roman"/>
                <w:bCs/>
                <w:sz w:val="18"/>
                <w:szCs w:val="18"/>
              </w:rPr>
              <w:t>(D0-45PW)</w:t>
            </w: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FCR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4</w:t>
            </w:r>
            <w:r w:rsidRPr="005922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g/g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Day 20-27 PW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1.22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="00A46B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7B4E2D" w:rsidRPr="005922FB" w:rsidTr="007B4E2D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Day 27-45 PW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  <w:r w:rsidRPr="00592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="00A46B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2F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7B4E2D" w:rsidRPr="005922FB" w:rsidTr="007B4E2D">
        <w:trPr>
          <w:trHeight w:val="126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7B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B4E2D" w:rsidRPr="005922FB" w:rsidRDefault="007B4E2D" w:rsidP="0059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4E2D" w:rsidRPr="005922FB" w:rsidRDefault="007B4E2D" w:rsidP="007B4E2D">
      <w:pPr>
        <w:rPr>
          <w:rFonts w:ascii="Times New Roman" w:hAnsi="Times New Roman" w:cs="Times New Roman"/>
          <w:sz w:val="18"/>
          <w:szCs w:val="18"/>
        </w:rPr>
      </w:pPr>
      <w:r w:rsidRPr="005922F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5922FB">
        <w:rPr>
          <w:rFonts w:ascii="Times New Roman" w:hAnsi="Times New Roman" w:cs="Times New Roman"/>
          <w:sz w:val="18"/>
          <w:szCs w:val="18"/>
        </w:rPr>
        <w:t>BW= Body Weight</w:t>
      </w:r>
      <w:r w:rsidRPr="005922FB">
        <w:rPr>
          <w:rFonts w:ascii="Times New Roman" w:hAnsi="Times New Roman" w:cs="Times New Roman"/>
          <w:sz w:val="18"/>
          <w:szCs w:val="18"/>
        </w:rPr>
        <w:tab/>
      </w:r>
      <w:r w:rsidRPr="005922F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922FB">
        <w:rPr>
          <w:rFonts w:ascii="Times New Roman" w:hAnsi="Times New Roman" w:cs="Times New Roman"/>
          <w:sz w:val="18"/>
          <w:szCs w:val="18"/>
        </w:rPr>
        <w:t>ADFI= Average Daily Feed Intake</w:t>
      </w:r>
      <w:r w:rsidRPr="005922FB">
        <w:rPr>
          <w:rFonts w:ascii="Times New Roman" w:hAnsi="Times New Roman" w:cs="Times New Roman"/>
          <w:sz w:val="18"/>
          <w:szCs w:val="18"/>
        </w:rPr>
        <w:tab/>
      </w:r>
      <w:r w:rsidRPr="005922F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5922FB">
        <w:rPr>
          <w:rFonts w:ascii="Times New Roman" w:hAnsi="Times New Roman" w:cs="Times New Roman"/>
          <w:sz w:val="18"/>
          <w:szCs w:val="18"/>
        </w:rPr>
        <w:t>ADG= Average Daily Gain</w:t>
      </w:r>
      <w:r w:rsidRPr="005922FB">
        <w:rPr>
          <w:rFonts w:ascii="Times New Roman" w:hAnsi="Times New Roman" w:cs="Times New Roman"/>
          <w:sz w:val="18"/>
          <w:szCs w:val="18"/>
        </w:rPr>
        <w:tab/>
      </w:r>
      <w:r w:rsidRPr="005922FB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5922FB">
        <w:rPr>
          <w:rFonts w:ascii="Times New Roman" w:hAnsi="Times New Roman" w:cs="Times New Roman"/>
          <w:sz w:val="18"/>
          <w:szCs w:val="18"/>
        </w:rPr>
        <w:t xml:space="preserve">FCR= Feed Conversion Ratio </w:t>
      </w:r>
      <w:r w:rsidRPr="005922FB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5922FB">
        <w:rPr>
          <w:rFonts w:ascii="Times New Roman" w:hAnsi="Times New Roman" w:cs="Times New Roman"/>
          <w:sz w:val="18"/>
          <w:szCs w:val="18"/>
        </w:rPr>
        <w:t>= PW= Post-weaning</w:t>
      </w:r>
    </w:p>
    <w:p w:rsidR="00CC493F" w:rsidRDefault="00547C14" w:rsidP="00547C14">
      <w:pPr>
        <w:rPr>
          <w:rFonts w:ascii="Times New Roman" w:hAnsi="Times New Roman" w:cs="Times New Roman"/>
          <w:b/>
          <w:sz w:val="18"/>
          <w:szCs w:val="18"/>
        </w:rPr>
      </w:pPr>
      <w:r w:rsidRPr="00285AFF">
        <w:rPr>
          <w:rFonts w:ascii="Times New Roman" w:hAnsi="Times New Roman" w:cs="Times New Roman"/>
          <w:b/>
          <w:sz w:val="18"/>
          <w:szCs w:val="18"/>
        </w:rPr>
        <w:t xml:space="preserve">Conclusion </w:t>
      </w:r>
    </w:p>
    <w:p w:rsidR="00547C14" w:rsidRPr="006C2227" w:rsidRDefault="00292CAB" w:rsidP="00547C14">
      <w:pPr>
        <w:rPr>
          <w:rFonts w:ascii="Times New Roman" w:hAnsi="Times New Roman" w:cs="Times New Roman"/>
          <w:sz w:val="18"/>
          <w:szCs w:val="18"/>
        </w:rPr>
      </w:pPr>
      <w:r w:rsidRPr="002F0F38">
        <w:rPr>
          <w:rFonts w:ascii="Times New Roman" w:hAnsi="Times New Roman" w:cs="Times New Roman"/>
          <w:sz w:val="18"/>
          <w:szCs w:val="18"/>
        </w:rPr>
        <w:t xml:space="preserve">Providing a double-spaced feeder </w:t>
      </w:r>
      <w:r w:rsidR="002F0F38">
        <w:rPr>
          <w:rFonts w:ascii="Times New Roman" w:hAnsi="Times New Roman" w:cs="Times New Roman"/>
          <w:sz w:val="18"/>
          <w:szCs w:val="18"/>
        </w:rPr>
        <w:t>reduced</w:t>
      </w:r>
      <w:r w:rsidR="002F0F38" w:rsidRPr="002F0F38">
        <w:rPr>
          <w:rFonts w:ascii="Times New Roman" w:hAnsi="Times New Roman" w:cs="Times New Roman"/>
          <w:sz w:val="18"/>
          <w:szCs w:val="18"/>
        </w:rPr>
        <w:t xml:space="preserve"> </w:t>
      </w:r>
      <w:r w:rsidRPr="002F0F38">
        <w:rPr>
          <w:rFonts w:ascii="Times New Roman" w:hAnsi="Times New Roman" w:cs="Times New Roman"/>
          <w:sz w:val="18"/>
          <w:szCs w:val="18"/>
        </w:rPr>
        <w:t>FCR from D27-45 PW in both sub-standard and optimal hygiene environments, with the greatest effect observed with optimal hygiene.</w:t>
      </w:r>
      <w:r w:rsidR="0038064F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C7718A">
        <w:rPr>
          <w:rFonts w:ascii="Times New Roman" w:hAnsi="Times New Roman" w:cs="Times New Roman"/>
          <w:sz w:val="18"/>
          <w:szCs w:val="18"/>
        </w:rPr>
        <w:t>I</w:t>
      </w:r>
      <w:r w:rsidR="00C7718A" w:rsidRPr="00285AFF">
        <w:rPr>
          <w:rFonts w:ascii="Times New Roman" w:hAnsi="Times New Roman" w:cs="Times New Roman"/>
          <w:sz w:val="18"/>
          <w:szCs w:val="18"/>
        </w:rPr>
        <w:t>ncreasing floor space allowance improved growth and feed efficiency</w:t>
      </w:r>
      <w:r w:rsidR="00C7718A">
        <w:rPr>
          <w:rFonts w:ascii="Times New Roman" w:hAnsi="Times New Roman" w:cs="Times New Roman"/>
          <w:sz w:val="18"/>
          <w:szCs w:val="18"/>
        </w:rPr>
        <w:t xml:space="preserve"> </w:t>
      </w:r>
      <w:r w:rsidR="00C7718A" w:rsidRPr="00285AFF">
        <w:rPr>
          <w:rFonts w:ascii="Times New Roman" w:hAnsi="Times New Roman" w:cs="Times New Roman"/>
          <w:sz w:val="18"/>
          <w:szCs w:val="18"/>
        </w:rPr>
        <w:t>from D27-45 PW</w:t>
      </w:r>
      <w:r w:rsidR="00C7718A" w:rsidRPr="00285AFF" w:rsidDel="00204569">
        <w:rPr>
          <w:rFonts w:ascii="Times New Roman" w:hAnsi="Times New Roman" w:cs="Times New Roman"/>
          <w:sz w:val="18"/>
          <w:szCs w:val="18"/>
        </w:rPr>
        <w:t xml:space="preserve"> </w:t>
      </w:r>
      <w:r w:rsidR="00C7718A">
        <w:rPr>
          <w:rFonts w:ascii="Times New Roman" w:hAnsi="Times New Roman" w:cs="Times New Roman"/>
          <w:sz w:val="18"/>
          <w:szCs w:val="18"/>
        </w:rPr>
        <w:t>in pens of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 sub-standard </w:t>
      </w:r>
      <w:r w:rsidR="00697246" w:rsidRPr="00285AFF">
        <w:rPr>
          <w:rFonts w:ascii="Times New Roman" w:hAnsi="Times New Roman" w:cs="Times New Roman"/>
          <w:sz w:val="18"/>
          <w:szCs w:val="18"/>
        </w:rPr>
        <w:t>hygiene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 </w:t>
      </w:r>
      <w:r w:rsidR="00C7718A">
        <w:rPr>
          <w:rFonts w:ascii="Times New Roman" w:hAnsi="Times New Roman" w:cs="Times New Roman"/>
          <w:sz w:val="18"/>
          <w:szCs w:val="18"/>
        </w:rPr>
        <w:t>but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 not </w:t>
      </w:r>
      <w:r w:rsidR="00C7718A">
        <w:rPr>
          <w:rFonts w:ascii="Times New Roman" w:hAnsi="Times New Roman" w:cs="Times New Roman"/>
          <w:sz w:val="18"/>
          <w:szCs w:val="18"/>
        </w:rPr>
        <w:t xml:space="preserve">in pens of </w:t>
      </w:r>
      <w:r w:rsidR="00787851" w:rsidRPr="00285AFF">
        <w:rPr>
          <w:rFonts w:ascii="Times New Roman" w:hAnsi="Times New Roman" w:cs="Times New Roman"/>
          <w:sz w:val="18"/>
          <w:szCs w:val="18"/>
        </w:rPr>
        <w:t>opt</w:t>
      </w:r>
      <w:r w:rsidR="006C2227">
        <w:rPr>
          <w:rFonts w:ascii="Times New Roman" w:hAnsi="Times New Roman" w:cs="Times New Roman"/>
          <w:sz w:val="18"/>
          <w:szCs w:val="18"/>
        </w:rPr>
        <w:t xml:space="preserve">imal </w:t>
      </w:r>
      <w:r w:rsidR="00C7718A">
        <w:rPr>
          <w:rFonts w:ascii="Times New Roman" w:hAnsi="Times New Roman" w:cs="Times New Roman"/>
          <w:sz w:val="18"/>
          <w:szCs w:val="18"/>
        </w:rPr>
        <w:t xml:space="preserve">hygiene. </w:t>
      </w:r>
      <w:r w:rsidR="006C2227">
        <w:rPr>
          <w:rFonts w:ascii="Times New Roman" w:hAnsi="Times New Roman" w:cs="Times New Roman"/>
          <w:sz w:val="18"/>
          <w:szCs w:val="18"/>
        </w:rPr>
        <w:t xml:space="preserve"> </w:t>
      </w:r>
      <w:r w:rsidR="00C7718A">
        <w:rPr>
          <w:rFonts w:ascii="Times New Roman" w:hAnsi="Times New Roman" w:cs="Times New Roman"/>
          <w:sz w:val="18"/>
          <w:szCs w:val="18"/>
        </w:rPr>
        <w:t>T</w:t>
      </w:r>
      <w:r w:rsidR="006C2227">
        <w:rPr>
          <w:rFonts w:ascii="Times New Roman" w:hAnsi="Times New Roman" w:cs="Times New Roman"/>
          <w:sz w:val="18"/>
          <w:szCs w:val="18"/>
        </w:rPr>
        <w:t>herefore</w:t>
      </w:r>
      <w:r w:rsidR="00C23BED">
        <w:rPr>
          <w:rFonts w:ascii="Times New Roman" w:hAnsi="Times New Roman" w:cs="Times New Roman"/>
          <w:sz w:val="18"/>
          <w:szCs w:val="18"/>
        </w:rPr>
        <w:t>,</w:t>
      </w:r>
      <w:r w:rsidR="006C2227">
        <w:rPr>
          <w:rFonts w:ascii="Times New Roman" w:hAnsi="Times New Roman" w:cs="Times New Roman"/>
          <w:sz w:val="18"/>
          <w:szCs w:val="18"/>
        </w:rPr>
        <w:t xml:space="preserve"> it is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 possible to achieve the same growth and feed efficiency at </w:t>
      </w:r>
      <w:r w:rsidR="00C7718A">
        <w:rPr>
          <w:rFonts w:ascii="Times New Roman" w:hAnsi="Times New Roman" w:cs="Times New Roman"/>
          <w:sz w:val="18"/>
          <w:szCs w:val="18"/>
        </w:rPr>
        <w:t xml:space="preserve">a floor space of </w:t>
      </w:r>
      <w:r w:rsidR="00787851" w:rsidRPr="00285AFF">
        <w:rPr>
          <w:rFonts w:ascii="Times New Roman" w:hAnsi="Times New Roman" w:cs="Times New Roman"/>
          <w:sz w:val="18"/>
          <w:szCs w:val="18"/>
        </w:rPr>
        <w:t>0.35m</w:t>
      </w:r>
      <w:r w:rsidR="00787851"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/pig </w:t>
      </w:r>
      <w:r w:rsidR="00C7718A">
        <w:rPr>
          <w:rFonts w:ascii="Times New Roman" w:hAnsi="Times New Roman" w:cs="Times New Roman"/>
          <w:sz w:val="18"/>
          <w:szCs w:val="18"/>
        </w:rPr>
        <w:t>or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 0.70m</w:t>
      </w:r>
      <w:r w:rsidR="00787851" w:rsidRPr="00285AF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/pig when </w:t>
      </w:r>
      <w:r w:rsidR="00C7718A">
        <w:rPr>
          <w:rFonts w:ascii="Times New Roman" w:hAnsi="Times New Roman" w:cs="Times New Roman"/>
          <w:sz w:val="18"/>
          <w:szCs w:val="18"/>
        </w:rPr>
        <w:t>pen hygiene is optimal</w:t>
      </w:r>
      <w:r w:rsidR="00787851" w:rsidRPr="00285AFF">
        <w:rPr>
          <w:rFonts w:ascii="Times New Roman" w:hAnsi="Times New Roman" w:cs="Times New Roman"/>
          <w:sz w:val="18"/>
          <w:szCs w:val="18"/>
        </w:rPr>
        <w:t xml:space="preserve">. </w:t>
      </w:r>
      <w:r w:rsidR="00C7718A" w:rsidRPr="00C7718A">
        <w:rPr>
          <w:rFonts w:ascii="Times New Roman" w:hAnsi="Times New Roman" w:cs="Times New Roman"/>
          <w:sz w:val="18"/>
          <w:szCs w:val="18"/>
        </w:rPr>
        <w:t xml:space="preserve">Providing an additional feeder space will </w:t>
      </w:r>
      <w:r w:rsidR="00093843">
        <w:rPr>
          <w:rFonts w:ascii="Times New Roman" w:hAnsi="Times New Roman" w:cs="Times New Roman"/>
          <w:sz w:val="18"/>
          <w:szCs w:val="18"/>
        </w:rPr>
        <w:t>reduce</w:t>
      </w:r>
      <w:r w:rsidR="00093843" w:rsidRPr="00C7718A">
        <w:rPr>
          <w:rFonts w:ascii="Times New Roman" w:hAnsi="Times New Roman" w:cs="Times New Roman"/>
          <w:sz w:val="18"/>
          <w:szCs w:val="18"/>
        </w:rPr>
        <w:t xml:space="preserve"> </w:t>
      </w:r>
      <w:r w:rsidR="00C7718A" w:rsidRPr="00C7718A">
        <w:rPr>
          <w:rFonts w:ascii="Times New Roman" w:hAnsi="Times New Roman" w:cs="Times New Roman"/>
          <w:sz w:val="18"/>
          <w:szCs w:val="18"/>
        </w:rPr>
        <w:t>feed efficiency of pigs when both low and high floor space allowance is provided</w:t>
      </w:r>
      <w:r w:rsidR="00C7718A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CC493F" w:rsidRPr="00A56BFD" w:rsidRDefault="00CC493F" w:rsidP="00547C14">
      <w:pPr>
        <w:rPr>
          <w:rFonts w:ascii="Times New Roman" w:hAnsi="Times New Roman" w:cs="Times New Roman"/>
          <w:sz w:val="18"/>
          <w:szCs w:val="18"/>
        </w:rPr>
      </w:pPr>
      <w:r w:rsidRPr="00A56BFD">
        <w:rPr>
          <w:rFonts w:ascii="Times New Roman" w:hAnsi="Times New Roman" w:cs="Times New Roman"/>
          <w:b/>
          <w:sz w:val="18"/>
          <w:szCs w:val="18"/>
        </w:rPr>
        <w:t>Acknowledgements</w:t>
      </w:r>
    </w:p>
    <w:p w:rsidR="00547C14" w:rsidRPr="00285AFF" w:rsidRDefault="00CB2153" w:rsidP="00547C14">
      <w:pPr>
        <w:rPr>
          <w:rFonts w:ascii="Times New Roman" w:hAnsi="Times New Roman" w:cs="Times New Roman"/>
          <w:sz w:val="18"/>
          <w:szCs w:val="18"/>
        </w:rPr>
      </w:pPr>
      <w:r w:rsidRPr="00285AFF">
        <w:rPr>
          <w:rFonts w:ascii="Times New Roman" w:hAnsi="Times New Roman" w:cs="Times New Roman"/>
          <w:sz w:val="18"/>
          <w:szCs w:val="18"/>
        </w:rPr>
        <w:t>Irish Department of Agriculture, Food and the Marine’s Competitive Research Funding Programme (Grant no: 2019R518).</w:t>
      </w:r>
      <w:r w:rsidR="00547C14" w:rsidRPr="00285AF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97246" w:rsidRPr="00A56BFD" w:rsidRDefault="00285AFF" w:rsidP="00A56BFD">
      <w:pPr>
        <w:pStyle w:val="EndNoteBibliography"/>
        <w:rPr>
          <w:rFonts w:ascii="Times New Roman" w:hAnsi="Times New Roman" w:cs="Times New Roman"/>
          <w:b/>
          <w:sz w:val="18"/>
        </w:rPr>
      </w:pPr>
      <w:r w:rsidRPr="00A56BFD">
        <w:rPr>
          <w:rFonts w:ascii="Times New Roman" w:hAnsi="Times New Roman" w:cs="Times New Roman"/>
          <w:b/>
          <w:sz w:val="18"/>
          <w:szCs w:val="18"/>
        </w:rPr>
        <w:t>References</w:t>
      </w:r>
    </w:p>
    <w:p w:rsidR="00697246" w:rsidRPr="00285AFF" w:rsidRDefault="00697246" w:rsidP="00697246">
      <w:pPr>
        <w:pStyle w:val="EndNoteBibliography"/>
        <w:rPr>
          <w:rFonts w:ascii="Times New Roman" w:hAnsi="Times New Roman" w:cs="Times New Roman"/>
          <w:sz w:val="18"/>
        </w:rPr>
      </w:pPr>
      <w:r w:rsidRPr="00285AFF">
        <w:rPr>
          <w:rFonts w:ascii="Times New Roman" w:hAnsi="Times New Roman" w:cs="Times New Roman"/>
          <w:sz w:val="18"/>
        </w:rPr>
        <w:t>Halpin, K.M., Lawlor, P.G., Arnaud, E.A., Teixé-Roig, J., O’ Doherty, J.V., Sweeney, T., O’ Brien, T.M.</w:t>
      </w:r>
      <w:r w:rsidR="00655AE4">
        <w:rPr>
          <w:rFonts w:ascii="Times New Roman" w:hAnsi="Times New Roman" w:cs="Times New Roman"/>
          <w:sz w:val="18"/>
        </w:rPr>
        <w:t>,</w:t>
      </w:r>
      <w:r w:rsidRPr="00285AFF">
        <w:rPr>
          <w:rFonts w:ascii="Times New Roman" w:hAnsi="Times New Roman" w:cs="Times New Roman"/>
          <w:sz w:val="18"/>
        </w:rPr>
        <w:t xml:space="preserve"> and Gardiner, G.E. (2024</w:t>
      </w:r>
      <w:r w:rsidR="00A56BFD">
        <w:rPr>
          <w:rFonts w:ascii="Times New Roman" w:hAnsi="Times New Roman" w:cs="Times New Roman"/>
          <w:sz w:val="18"/>
        </w:rPr>
        <w:t>)</w:t>
      </w:r>
      <w:r w:rsidR="00655AE4">
        <w:rPr>
          <w:rFonts w:ascii="Times New Roman" w:hAnsi="Times New Roman" w:cs="Times New Roman"/>
          <w:sz w:val="18"/>
        </w:rPr>
        <w:t>.</w:t>
      </w:r>
      <w:r w:rsidRPr="00285AFF">
        <w:rPr>
          <w:rFonts w:ascii="Times New Roman" w:hAnsi="Times New Roman" w:cs="Times New Roman"/>
          <w:sz w:val="18"/>
        </w:rPr>
        <w:t xml:space="preserve"> </w:t>
      </w:r>
      <w:r w:rsidRPr="00285AFF">
        <w:rPr>
          <w:rFonts w:ascii="Times New Roman" w:hAnsi="Times New Roman" w:cs="Times New Roman"/>
          <w:i/>
          <w:sz w:val="18"/>
        </w:rPr>
        <w:t xml:space="preserve">Translational </w:t>
      </w:r>
      <w:r w:rsidR="00655AE4">
        <w:rPr>
          <w:rFonts w:ascii="Times New Roman" w:hAnsi="Times New Roman" w:cs="Times New Roman"/>
          <w:i/>
          <w:sz w:val="18"/>
        </w:rPr>
        <w:t>A</w:t>
      </w:r>
      <w:r w:rsidRPr="00285AFF">
        <w:rPr>
          <w:rFonts w:ascii="Times New Roman" w:hAnsi="Times New Roman" w:cs="Times New Roman"/>
          <w:i/>
          <w:sz w:val="18"/>
        </w:rPr>
        <w:t xml:space="preserve">nimal </w:t>
      </w:r>
      <w:r w:rsidR="00655AE4">
        <w:rPr>
          <w:rFonts w:ascii="Times New Roman" w:hAnsi="Times New Roman" w:cs="Times New Roman"/>
          <w:i/>
          <w:sz w:val="18"/>
        </w:rPr>
        <w:t>S</w:t>
      </w:r>
      <w:r w:rsidRPr="00285AFF">
        <w:rPr>
          <w:rFonts w:ascii="Times New Roman" w:hAnsi="Times New Roman" w:cs="Times New Roman"/>
          <w:i/>
          <w:sz w:val="18"/>
        </w:rPr>
        <w:t>cience,</w:t>
      </w:r>
      <w:r w:rsidRPr="00285AFF">
        <w:rPr>
          <w:rFonts w:ascii="Times New Roman" w:hAnsi="Times New Roman" w:cs="Times New Roman"/>
          <w:sz w:val="18"/>
        </w:rPr>
        <w:t xml:space="preserve"> 8</w:t>
      </w:r>
      <w:r w:rsidR="00655AE4">
        <w:rPr>
          <w:rFonts w:ascii="Times New Roman" w:hAnsi="Times New Roman" w:cs="Times New Roman"/>
          <w:sz w:val="18"/>
        </w:rPr>
        <w:t xml:space="preserve">, </w:t>
      </w:r>
      <w:r w:rsidR="00655AE4" w:rsidRPr="00655AE4">
        <w:rPr>
          <w:rFonts w:ascii="Times New Roman" w:hAnsi="Times New Roman" w:cs="Times New Roman"/>
          <w:sz w:val="18"/>
        </w:rPr>
        <w:t>txae095</w:t>
      </w:r>
      <w:r w:rsidR="00655AE4">
        <w:rPr>
          <w:rFonts w:ascii="Times New Roman" w:hAnsi="Times New Roman" w:cs="Times New Roman"/>
          <w:sz w:val="18"/>
        </w:rPr>
        <w:t xml:space="preserve">. </w:t>
      </w:r>
      <w:r w:rsidRPr="00285AFF">
        <w:rPr>
          <w:rFonts w:ascii="Times New Roman" w:hAnsi="Times New Roman" w:cs="Times New Roman"/>
          <w:sz w:val="18"/>
        </w:rPr>
        <w:t>doi: 10.1093/tas/txae095.</w:t>
      </w:r>
    </w:p>
    <w:p w:rsidR="00A56BFD" w:rsidRPr="00A56BFD" w:rsidRDefault="00A56BFD" w:rsidP="00A56BFD">
      <w:pPr>
        <w:pStyle w:val="EndNoteBibliography"/>
        <w:spacing w:after="0"/>
        <w:rPr>
          <w:rFonts w:ascii="Times New Roman" w:hAnsi="Times New Roman" w:cs="Times New Roman"/>
          <w:sz w:val="18"/>
        </w:rPr>
      </w:pPr>
      <w:r w:rsidRPr="00A56BFD">
        <w:rPr>
          <w:rFonts w:ascii="Times New Roman" w:hAnsi="Times New Roman" w:cs="Times New Roman"/>
          <w:sz w:val="18"/>
        </w:rPr>
        <w:t>Wolter, B.F., Ellis, M., Corrigan, B.P., DeDecker, J.M., Curtis, S.E., Parr, E.N.</w:t>
      </w:r>
      <w:r w:rsidR="00655AE4">
        <w:rPr>
          <w:rFonts w:ascii="Times New Roman" w:hAnsi="Times New Roman" w:cs="Times New Roman"/>
          <w:sz w:val="18"/>
        </w:rPr>
        <w:t>,</w:t>
      </w:r>
      <w:r w:rsidRPr="00A56BFD">
        <w:rPr>
          <w:rFonts w:ascii="Times New Roman" w:hAnsi="Times New Roman" w:cs="Times New Roman"/>
          <w:sz w:val="18"/>
        </w:rPr>
        <w:t xml:space="preserve"> and Webel, D.M. (2003), </w:t>
      </w:r>
      <w:r w:rsidRPr="00A56BFD">
        <w:rPr>
          <w:rFonts w:ascii="Times New Roman" w:hAnsi="Times New Roman" w:cs="Times New Roman"/>
          <w:i/>
          <w:sz w:val="18"/>
        </w:rPr>
        <w:t>Journal of Animal Science</w:t>
      </w:r>
      <w:r w:rsidR="00655AE4">
        <w:rPr>
          <w:rFonts w:ascii="Times New Roman" w:hAnsi="Times New Roman" w:cs="Times New Roman"/>
          <w:i/>
          <w:sz w:val="18"/>
        </w:rPr>
        <w:t>.</w:t>
      </w:r>
      <w:r w:rsidRPr="00A56BFD">
        <w:rPr>
          <w:rFonts w:ascii="Times New Roman" w:hAnsi="Times New Roman" w:cs="Times New Roman"/>
          <w:sz w:val="18"/>
        </w:rPr>
        <w:t xml:space="preserve"> 81(4), 836-842. doi: 10.2527/2003.814836x.</w:t>
      </w:r>
    </w:p>
    <w:p w:rsidR="00697246" w:rsidRPr="00285AFF" w:rsidRDefault="00697246" w:rsidP="00697246">
      <w:pPr>
        <w:pStyle w:val="EndNoteBibliography"/>
        <w:spacing w:after="0"/>
        <w:rPr>
          <w:rFonts w:ascii="Times New Roman" w:hAnsi="Times New Roman" w:cs="Times New Roman"/>
          <w:sz w:val="18"/>
        </w:rPr>
      </w:pPr>
    </w:p>
    <w:p w:rsidR="00547C14" w:rsidRDefault="00547C14">
      <w:pPr>
        <w:rPr>
          <w:rFonts w:ascii="Times New Roman" w:hAnsi="Times New Roman" w:cs="Times New Roman"/>
          <w:szCs w:val="18"/>
        </w:rPr>
      </w:pPr>
    </w:p>
    <w:p w:rsidR="00547C14" w:rsidRDefault="00547C14">
      <w:pPr>
        <w:rPr>
          <w:rFonts w:ascii="Times New Roman" w:hAnsi="Times New Roman" w:cs="Times New Roman"/>
          <w:szCs w:val="18"/>
        </w:rPr>
      </w:pPr>
    </w:p>
    <w:p w:rsidR="00547C14" w:rsidRDefault="00547C14">
      <w:pPr>
        <w:rPr>
          <w:rFonts w:ascii="Times New Roman" w:hAnsi="Times New Roman" w:cs="Times New Roman"/>
          <w:szCs w:val="18"/>
        </w:rPr>
      </w:pPr>
    </w:p>
    <w:p w:rsidR="00547C14" w:rsidRDefault="00547C14">
      <w:pPr>
        <w:rPr>
          <w:rFonts w:ascii="Times New Roman" w:hAnsi="Times New Roman" w:cs="Times New Roman"/>
          <w:szCs w:val="18"/>
        </w:rPr>
      </w:pPr>
    </w:p>
    <w:p w:rsidR="000F6475" w:rsidRDefault="000F6475">
      <w:pPr>
        <w:rPr>
          <w:rFonts w:ascii="Times New Roman" w:hAnsi="Times New Roman" w:cs="Times New Roman"/>
          <w:szCs w:val="18"/>
        </w:rPr>
      </w:pPr>
    </w:p>
    <w:p w:rsidR="008719BB" w:rsidRDefault="008719BB">
      <w:pPr>
        <w:rPr>
          <w:rFonts w:ascii="Times New Roman" w:hAnsi="Times New Roman" w:cs="Times New Roman"/>
          <w:szCs w:val="18"/>
        </w:rPr>
      </w:pPr>
    </w:p>
    <w:p w:rsidR="008719BB" w:rsidRDefault="008719BB">
      <w:pPr>
        <w:rPr>
          <w:rFonts w:ascii="Times New Roman" w:hAnsi="Times New Roman" w:cs="Times New Roman"/>
          <w:szCs w:val="18"/>
        </w:rPr>
      </w:pPr>
    </w:p>
    <w:p w:rsidR="00285AFF" w:rsidRDefault="00285AFF" w:rsidP="00285AFF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</w:rPr>
      </w:pPr>
    </w:p>
    <w:p w:rsidR="00285AFF" w:rsidRDefault="00285AFF" w:rsidP="00285AFF"/>
    <w:p w:rsidR="002165F8" w:rsidRDefault="002165F8">
      <w:pPr>
        <w:rPr>
          <w:rFonts w:ascii="Times New Roman" w:hAnsi="Times New Roman" w:cs="Times New Roman"/>
          <w:b/>
          <w:sz w:val="24"/>
          <w:szCs w:val="24"/>
        </w:rPr>
      </w:pPr>
    </w:p>
    <w:p w:rsidR="002165F8" w:rsidRDefault="002165F8">
      <w:pPr>
        <w:rPr>
          <w:rFonts w:ascii="Times New Roman" w:hAnsi="Times New Roman" w:cs="Times New Roman"/>
          <w:b/>
          <w:sz w:val="24"/>
          <w:szCs w:val="24"/>
        </w:rPr>
      </w:pPr>
    </w:p>
    <w:p w:rsidR="002165F8" w:rsidRDefault="002165F8">
      <w:pPr>
        <w:rPr>
          <w:rFonts w:ascii="Times New Roman" w:hAnsi="Times New Roman" w:cs="Times New Roman"/>
          <w:b/>
          <w:sz w:val="24"/>
          <w:szCs w:val="24"/>
        </w:rPr>
      </w:pPr>
    </w:p>
    <w:p w:rsidR="00EE0D2F" w:rsidRDefault="00F1011B" w:rsidP="00A56BFD">
      <w:pPr>
        <w:pStyle w:val="EndNoteBibliography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fldChar w:fldCharType="begin"/>
      </w:r>
      <w:r>
        <w:rPr>
          <w:rFonts w:ascii="Times New Roman" w:hAnsi="Times New Roman" w:cs="Times New Roman"/>
          <w:szCs w:val="18"/>
        </w:rPr>
        <w:instrText xml:space="preserve"> ADDIN EN.REFLIST </w:instrText>
      </w:r>
      <w:r>
        <w:rPr>
          <w:rFonts w:ascii="Times New Roman" w:hAnsi="Times New Roman" w:cs="Times New Roman"/>
          <w:szCs w:val="18"/>
        </w:rPr>
        <w:fldChar w:fldCharType="separate"/>
      </w:r>
    </w:p>
    <w:p w:rsidR="00EE0D2F" w:rsidRDefault="00EE0D2F" w:rsidP="00A56BFD">
      <w:pPr>
        <w:pStyle w:val="EndNoteBibliography"/>
        <w:rPr>
          <w:rFonts w:ascii="Times New Roman" w:hAnsi="Times New Roman" w:cs="Times New Roman"/>
          <w:szCs w:val="18"/>
        </w:rPr>
      </w:pPr>
    </w:p>
    <w:p w:rsidR="00EE0D2F" w:rsidRDefault="00EE0D2F" w:rsidP="00A56BFD">
      <w:pPr>
        <w:pStyle w:val="EndNoteBibliography"/>
        <w:rPr>
          <w:rFonts w:ascii="Times New Roman" w:hAnsi="Times New Roman" w:cs="Times New Roman"/>
          <w:szCs w:val="18"/>
        </w:rPr>
      </w:pPr>
    </w:p>
    <w:p w:rsidR="00A56BFD" w:rsidRPr="00A56BFD" w:rsidRDefault="00A56BFD" w:rsidP="00A56BFD">
      <w:pPr>
        <w:pStyle w:val="EndNoteBibliography"/>
      </w:pPr>
    </w:p>
    <w:p w:rsidR="002165F8" w:rsidRPr="002165F8" w:rsidRDefault="00F1011B" w:rsidP="002165F8">
      <w:pPr>
        <w:spacing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fldChar w:fldCharType="end"/>
      </w:r>
    </w:p>
    <w:sectPr w:rsidR="002165F8" w:rsidRPr="002165F8" w:rsidSect="00216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ETU_WD_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5x0dde7rw0wbe9d0qvedp8tvtfw0pa9rae&quot;&gt;Joe&amp;apos;s Library&lt;record-ids&gt;&lt;item&gt;116&lt;/item&gt;&lt;item&gt;225&lt;/item&gt;&lt;/record-ids&gt;&lt;/item&gt;&lt;/Libraries&gt;"/>
  </w:docVars>
  <w:rsids>
    <w:rsidRoot w:val="00755876"/>
    <w:rsid w:val="00041E77"/>
    <w:rsid w:val="00093843"/>
    <w:rsid w:val="000D7F1E"/>
    <w:rsid w:val="000E0836"/>
    <w:rsid w:val="000E3958"/>
    <w:rsid w:val="000F6475"/>
    <w:rsid w:val="0010223A"/>
    <w:rsid w:val="00133B47"/>
    <w:rsid w:val="00192385"/>
    <w:rsid w:val="001D542A"/>
    <w:rsid w:val="001E14AE"/>
    <w:rsid w:val="001E7999"/>
    <w:rsid w:val="00203C0E"/>
    <w:rsid w:val="00204569"/>
    <w:rsid w:val="00212EB8"/>
    <w:rsid w:val="002165F8"/>
    <w:rsid w:val="00217776"/>
    <w:rsid w:val="002357EE"/>
    <w:rsid w:val="00263138"/>
    <w:rsid w:val="00285AFF"/>
    <w:rsid w:val="00292CAB"/>
    <w:rsid w:val="002F0DCC"/>
    <w:rsid w:val="002F0F38"/>
    <w:rsid w:val="00371BA4"/>
    <w:rsid w:val="00371F40"/>
    <w:rsid w:val="0038064F"/>
    <w:rsid w:val="003D6395"/>
    <w:rsid w:val="003D66CC"/>
    <w:rsid w:val="003F36C3"/>
    <w:rsid w:val="00423D28"/>
    <w:rsid w:val="004443A9"/>
    <w:rsid w:val="00460BFD"/>
    <w:rsid w:val="00467FC4"/>
    <w:rsid w:val="00485614"/>
    <w:rsid w:val="004A2C29"/>
    <w:rsid w:val="004B117A"/>
    <w:rsid w:val="00531871"/>
    <w:rsid w:val="00547C14"/>
    <w:rsid w:val="0056680D"/>
    <w:rsid w:val="00582880"/>
    <w:rsid w:val="005922FB"/>
    <w:rsid w:val="005B2FB1"/>
    <w:rsid w:val="005C1810"/>
    <w:rsid w:val="005F4499"/>
    <w:rsid w:val="00617D77"/>
    <w:rsid w:val="00626CAB"/>
    <w:rsid w:val="006505C7"/>
    <w:rsid w:val="00655AE4"/>
    <w:rsid w:val="006609ED"/>
    <w:rsid w:val="006641C3"/>
    <w:rsid w:val="00676DFA"/>
    <w:rsid w:val="00697246"/>
    <w:rsid w:val="006C2227"/>
    <w:rsid w:val="007232CA"/>
    <w:rsid w:val="00733BF5"/>
    <w:rsid w:val="0074370D"/>
    <w:rsid w:val="00752342"/>
    <w:rsid w:val="00755876"/>
    <w:rsid w:val="00787851"/>
    <w:rsid w:val="007B4E2D"/>
    <w:rsid w:val="007C1298"/>
    <w:rsid w:val="0082282F"/>
    <w:rsid w:val="0082786F"/>
    <w:rsid w:val="008719BB"/>
    <w:rsid w:val="008726B4"/>
    <w:rsid w:val="00872964"/>
    <w:rsid w:val="00873692"/>
    <w:rsid w:val="008D67BC"/>
    <w:rsid w:val="0091313F"/>
    <w:rsid w:val="009165F3"/>
    <w:rsid w:val="009238BF"/>
    <w:rsid w:val="0093296A"/>
    <w:rsid w:val="00940675"/>
    <w:rsid w:val="0094414A"/>
    <w:rsid w:val="009612D6"/>
    <w:rsid w:val="00982935"/>
    <w:rsid w:val="00994688"/>
    <w:rsid w:val="009A2430"/>
    <w:rsid w:val="009C7E61"/>
    <w:rsid w:val="00A2142B"/>
    <w:rsid w:val="00A236CB"/>
    <w:rsid w:val="00A46B0C"/>
    <w:rsid w:val="00A50CBA"/>
    <w:rsid w:val="00A56BFD"/>
    <w:rsid w:val="00A706CB"/>
    <w:rsid w:val="00A70913"/>
    <w:rsid w:val="00A80BFF"/>
    <w:rsid w:val="00AA3AC8"/>
    <w:rsid w:val="00AD3675"/>
    <w:rsid w:val="00AD5149"/>
    <w:rsid w:val="00AD759D"/>
    <w:rsid w:val="00AF4311"/>
    <w:rsid w:val="00B12D56"/>
    <w:rsid w:val="00B15F6F"/>
    <w:rsid w:val="00B21643"/>
    <w:rsid w:val="00B7581D"/>
    <w:rsid w:val="00B84C9A"/>
    <w:rsid w:val="00B957D8"/>
    <w:rsid w:val="00BA7B3B"/>
    <w:rsid w:val="00BF61B0"/>
    <w:rsid w:val="00C07279"/>
    <w:rsid w:val="00C23BED"/>
    <w:rsid w:val="00C42E49"/>
    <w:rsid w:val="00C65773"/>
    <w:rsid w:val="00C7718A"/>
    <w:rsid w:val="00CA3F48"/>
    <w:rsid w:val="00CB2153"/>
    <w:rsid w:val="00CC493F"/>
    <w:rsid w:val="00D42BE0"/>
    <w:rsid w:val="00D76A8C"/>
    <w:rsid w:val="00DD7E83"/>
    <w:rsid w:val="00E437BD"/>
    <w:rsid w:val="00E574C4"/>
    <w:rsid w:val="00E62FB6"/>
    <w:rsid w:val="00E711E7"/>
    <w:rsid w:val="00E83C6F"/>
    <w:rsid w:val="00E94EE6"/>
    <w:rsid w:val="00E950E8"/>
    <w:rsid w:val="00EB5A7A"/>
    <w:rsid w:val="00ED4D99"/>
    <w:rsid w:val="00EE0D2F"/>
    <w:rsid w:val="00F1011B"/>
    <w:rsid w:val="00F1708F"/>
    <w:rsid w:val="00F24A62"/>
    <w:rsid w:val="00F27C97"/>
    <w:rsid w:val="00F566C1"/>
    <w:rsid w:val="00FA2936"/>
    <w:rsid w:val="00FA3441"/>
    <w:rsid w:val="00FB3BB1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71C25"/>
  <w15:chartTrackingRefBased/>
  <w15:docId w15:val="{CAE73A53-D57D-44BC-8C35-2F8D3053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2165F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165F8"/>
    <w:rPr>
      <w:rFonts w:ascii="Calibri" w:hAnsi="Calibri" w:cs="Calibri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D51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38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1011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011B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994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8336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Glynn</dc:creator>
  <cp:keywords/>
  <dc:description/>
  <cp:lastModifiedBy>Joseph Glynn (External)</cp:lastModifiedBy>
  <cp:revision>2</cp:revision>
  <dcterms:created xsi:type="dcterms:W3CDTF">2025-02-25T18:30:00Z</dcterms:created>
  <dcterms:modified xsi:type="dcterms:W3CDTF">2025-02-25T18:30:00Z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9c12c4827ba1ac1693039cbf175bbebba2808b4fbad9a9562dad4a6315660f96</vt:lpwstr>
  </property>
</Properties>
</file>