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C7140" w14:textId="77777777" w:rsidR="003C4C47" w:rsidRDefault="003C4C47" w:rsidP="003C4C47">
      <w:pPr>
        <w:rPr>
          <w:b/>
          <w:bCs/>
          <w:lang w:val="en-US"/>
        </w:rPr>
      </w:pPr>
      <w:r>
        <w:rPr>
          <w:b/>
          <w:bCs/>
          <w:lang w:val="en-US"/>
        </w:rPr>
        <w:t>Application</w:t>
      </w:r>
    </w:p>
    <w:p w14:paraId="06718FB3" w14:textId="77777777" w:rsidR="003C4C47" w:rsidRDefault="003C4C47" w:rsidP="003C4C47">
      <w:pPr>
        <w:rPr>
          <w:lang w:val="en-US"/>
        </w:rPr>
      </w:pPr>
      <w:r w:rsidRPr="005E1091">
        <w:rPr>
          <w:lang w:val="en-US"/>
        </w:rPr>
        <w:t>This study examines how strategies to reduce ammonia emissions on dairy farms may inadvertently impact greenhouse gas (GHG) emissions</w:t>
      </w:r>
      <w:r>
        <w:rPr>
          <w:lang w:val="en-US"/>
        </w:rPr>
        <w:t xml:space="preserve">. By </w:t>
      </w:r>
      <w:r w:rsidRPr="002176DD">
        <w:rPr>
          <w:lang w:val="en-US"/>
        </w:rPr>
        <w:t>modeling various</w:t>
      </w:r>
      <w:r>
        <w:rPr>
          <w:lang w:val="en-US"/>
        </w:rPr>
        <w:t xml:space="preserve"> ammonia</w:t>
      </w:r>
      <w:r w:rsidRPr="002176DD">
        <w:rPr>
          <w:lang w:val="en-US"/>
        </w:rPr>
        <w:t xml:space="preserve"> mitigation measures</w:t>
      </w:r>
      <w:r>
        <w:rPr>
          <w:lang w:val="en-US"/>
        </w:rPr>
        <w:t xml:space="preserve"> on real farms</w:t>
      </w:r>
      <w:r w:rsidRPr="002176DD">
        <w:rPr>
          <w:lang w:val="en-US"/>
        </w:rPr>
        <w:t xml:space="preserve">, this research offers insights into balancing ammonia reduction with GHG emissions, helping dairy </w:t>
      </w:r>
      <w:r>
        <w:rPr>
          <w:lang w:val="en-US"/>
        </w:rPr>
        <w:t>farmers</w:t>
      </w:r>
      <w:r w:rsidRPr="002176DD">
        <w:rPr>
          <w:lang w:val="en-US"/>
        </w:rPr>
        <w:t xml:space="preserve"> meet two </w:t>
      </w:r>
      <w:r>
        <w:rPr>
          <w:lang w:val="en-US"/>
        </w:rPr>
        <w:t>important</w:t>
      </w:r>
      <w:r w:rsidRPr="002176DD">
        <w:rPr>
          <w:lang w:val="en-US"/>
        </w:rPr>
        <w:t xml:space="preserve"> policy </w:t>
      </w:r>
      <w:r>
        <w:rPr>
          <w:lang w:val="en-US"/>
        </w:rPr>
        <w:t>targets</w:t>
      </w:r>
      <w:r w:rsidRPr="002176DD">
        <w:rPr>
          <w:lang w:val="en-US"/>
        </w:rPr>
        <w:t>.</w:t>
      </w:r>
    </w:p>
    <w:p w14:paraId="04F7D54A" w14:textId="77777777" w:rsidR="00875280" w:rsidRPr="005E1091" w:rsidRDefault="00875280" w:rsidP="003C4C47">
      <w:pPr>
        <w:rPr>
          <w:lang w:val="en-US"/>
        </w:rPr>
      </w:pPr>
    </w:p>
    <w:p w14:paraId="4DA28BA3" w14:textId="77777777" w:rsidR="003C4C47" w:rsidRDefault="003C4C47" w:rsidP="003C4C47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6FD3BC3C" w14:textId="77777777" w:rsidR="003C4C47" w:rsidRDefault="003C4C47" w:rsidP="003C4C47">
      <w:pPr>
        <w:rPr>
          <w:lang w:val="en-US"/>
        </w:rPr>
      </w:pPr>
      <w:r w:rsidRPr="61F320A5">
        <w:rPr>
          <w:lang w:val="en-US"/>
        </w:rPr>
        <w:t xml:space="preserve">Under the Gothenburg Protocol and the National Emissions Ceilings Regulations (2018), the UK is required to reduce ammonia emissions by 16% by 2030, relative to 2005 levels. Agriculture is responsible for approximately 88% of ammonia emissions in the UK, with cattle alone contributing 44% of the total (DEFRA, 2024). The UK has also committed to achieving net zero greenhouse gas (GHG) emissions by 2050. To meet this target, the UK Climate Change Committee has recommended a 64% reduction in GHG emissions from the agriculture and land use </w:t>
      </w:r>
      <w:proofErr w:type="gramStart"/>
      <w:r w:rsidRPr="61F320A5">
        <w:rPr>
          <w:lang w:val="en-US"/>
        </w:rPr>
        <w:t>sector</w:t>
      </w:r>
      <w:proofErr w:type="gramEnd"/>
      <w:r w:rsidRPr="61F320A5">
        <w:rPr>
          <w:lang w:val="en-US"/>
        </w:rPr>
        <w:t xml:space="preserve">. While reducing both ammonia and greenhouse gas (GHG) emissions reduction are key policy objectives, little research has examined the trade-offs between these two goals. The aim of this work was therefore to investigate the effects of various ammonia mitigation measures on both ammonia and GHG emissions. </w:t>
      </w:r>
    </w:p>
    <w:p w14:paraId="28E949B4" w14:textId="77777777" w:rsidR="003C4C47" w:rsidRPr="005E1091" w:rsidRDefault="003C4C47" w:rsidP="003C4C47">
      <w:pPr>
        <w:rPr>
          <w:lang w:val="en-US"/>
        </w:rPr>
      </w:pPr>
    </w:p>
    <w:p w14:paraId="18BD3444" w14:textId="77777777" w:rsidR="003C4C47" w:rsidRDefault="003C4C47" w:rsidP="003C4C47">
      <w:pPr>
        <w:rPr>
          <w:b/>
          <w:bCs/>
          <w:lang w:val="en-US"/>
        </w:rPr>
      </w:pPr>
      <w:r>
        <w:rPr>
          <w:b/>
          <w:bCs/>
          <w:lang w:val="en-US"/>
        </w:rPr>
        <w:t>Materials and Methods</w:t>
      </w:r>
    </w:p>
    <w:p w14:paraId="4943051E" w14:textId="63D53AD8" w:rsidR="004B3054" w:rsidRDefault="003C4C47" w:rsidP="003C4C47">
      <w:r>
        <w:t xml:space="preserve">Nine Scottish dairy farms were selected from a large dataset provided by </w:t>
      </w:r>
      <w:proofErr w:type="spellStart"/>
      <w:r>
        <w:t>Agrecalc</w:t>
      </w:r>
      <w:proofErr w:type="spellEnd"/>
      <w:r>
        <w:t xml:space="preserve">. Farms were chosen to represent high, average and low emitters (based on emissions per kg fat- and protein-corrected milk (FPCM)) and included three different systems: all year-round calving (AYR) 9500 litre herd, AYR 8000 litres herd and traditional 6500 litre herd. </w:t>
      </w:r>
      <w:r w:rsidR="004B3054" w:rsidRPr="004B3054">
        <w:t>Farms were categori</w:t>
      </w:r>
      <w:r w:rsidR="004B3054">
        <w:t>s</w:t>
      </w:r>
      <w:r w:rsidR="004B3054" w:rsidRPr="004B3054">
        <w:t xml:space="preserve">ed using </w:t>
      </w:r>
      <w:proofErr w:type="spellStart"/>
      <w:r w:rsidR="004B3054" w:rsidRPr="004B3054">
        <w:t>Agrecalc’s</w:t>
      </w:r>
      <w:proofErr w:type="spellEnd"/>
      <w:r w:rsidR="004B3054" w:rsidRPr="004B3054">
        <w:t xml:space="preserve"> benchmarking function, which </w:t>
      </w:r>
      <w:r w:rsidR="004B3054">
        <w:t>determines</w:t>
      </w:r>
      <w:r w:rsidR="004B3054" w:rsidRPr="004B3054">
        <w:t xml:space="preserve"> the average, top 25%, and bottom 25% </w:t>
      </w:r>
      <w:r w:rsidR="004B3054">
        <w:t xml:space="preserve">of emissions </w:t>
      </w:r>
      <w:r w:rsidR="00744E24">
        <w:t>among</w:t>
      </w:r>
      <w:r w:rsidR="004B3054" w:rsidRPr="004B3054">
        <w:t xml:space="preserve"> all farms assessed within </w:t>
      </w:r>
      <w:r w:rsidR="004B3054">
        <w:t>each</w:t>
      </w:r>
      <w:r w:rsidR="004B3054" w:rsidRPr="004B3054">
        <w:t xml:space="preserve"> system</w:t>
      </w:r>
      <w:r w:rsidR="004B3054">
        <w:t>.</w:t>
      </w:r>
      <w:r w:rsidR="00744E24">
        <w:t xml:space="preserve"> The selected farms ranged in </w:t>
      </w:r>
      <w:r w:rsidR="00FD1202">
        <w:t xml:space="preserve">baseline </w:t>
      </w:r>
      <w:r w:rsidR="00744E24">
        <w:t>product emissions from 1.0</w:t>
      </w:r>
      <w:r w:rsidR="00FD1202">
        <w:t xml:space="preserve">0 </w:t>
      </w:r>
      <w:r w:rsidR="00744E24">
        <w:t>-</w:t>
      </w:r>
      <w:r w:rsidR="00FD1202">
        <w:t xml:space="preserve"> </w:t>
      </w:r>
      <w:r w:rsidR="00744E24">
        <w:t>1.3</w:t>
      </w:r>
      <w:r w:rsidR="00FD1202">
        <w:t>5 kg CO</w:t>
      </w:r>
      <w:r w:rsidR="00FD1202" w:rsidRPr="00FD1202">
        <w:rPr>
          <w:vertAlign w:val="subscript"/>
        </w:rPr>
        <w:t>2</w:t>
      </w:r>
      <w:r w:rsidR="00FD1202">
        <w:t xml:space="preserve">e/kg FPCM. </w:t>
      </w:r>
    </w:p>
    <w:p w14:paraId="2D8ADF2F" w14:textId="4C0DD220" w:rsidR="003C4C47" w:rsidRDefault="003C4C47" w:rsidP="003C4C47">
      <w:r>
        <w:t xml:space="preserve">Baseline GHG emission estimates were calculated for each farm using the carbon calculator </w:t>
      </w:r>
      <w:proofErr w:type="spellStart"/>
      <w:r>
        <w:t>Agrecalc</w:t>
      </w:r>
      <w:proofErr w:type="spellEnd"/>
      <w:r>
        <w:t xml:space="preserve"> and ammonia emissions were calculated using a bespoke whole-farm ammonia </w:t>
      </w:r>
      <w:proofErr w:type="spellStart"/>
      <w:r>
        <w:t>footprinting</w:t>
      </w:r>
      <w:proofErr w:type="spellEnd"/>
      <w:r>
        <w:t xml:space="preserve"> tool. A range of ammonia mitigation measures were then modelled, including urease inhibitors, low-protein diets, slurry injection, slurry crusts and slurry covers. Assumptions were based on the UK Ammonia Inventory (</w:t>
      </w:r>
      <w:proofErr w:type="spellStart"/>
      <w:r>
        <w:t>Misselbrook</w:t>
      </w:r>
      <w:proofErr w:type="spellEnd"/>
      <w:r>
        <w:t xml:space="preserve"> et al., 2023), IPCC (2019) guidelines and a comprehensive literature review.</w:t>
      </w:r>
    </w:p>
    <w:p w14:paraId="43A0D6AE" w14:textId="77777777" w:rsidR="003C4C47" w:rsidRDefault="003C4C47" w:rsidP="003C4C47">
      <w:pPr>
        <w:rPr>
          <w:b/>
          <w:bCs/>
          <w:lang w:val="en-US"/>
        </w:rPr>
      </w:pPr>
      <w:r>
        <w:t xml:space="preserve"> </w:t>
      </w:r>
    </w:p>
    <w:p w14:paraId="0C58AB6E" w14:textId="77777777" w:rsidR="003C4C47" w:rsidRDefault="003C4C47" w:rsidP="003C4C47">
      <w:pPr>
        <w:rPr>
          <w:b/>
          <w:bCs/>
          <w:lang w:val="en-US"/>
        </w:rPr>
      </w:pPr>
      <w:r>
        <w:rPr>
          <w:b/>
          <w:bCs/>
          <w:lang w:val="en-US"/>
        </w:rPr>
        <w:t>Results</w:t>
      </w:r>
    </w:p>
    <w:p w14:paraId="40B542C0" w14:textId="57E368F0" w:rsidR="003C4C47" w:rsidRDefault="003C4C47" w:rsidP="003C4C47">
      <w:r>
        <w:t>All ammonia mitigation measures</w:t>
      </w:r>
      <w:r w:rsidR="009F6790">
        <w:t>,</w:t>
      </w:r>
      <w:r>
        <w:t xml:space="preserve"> </w:t>
      </w:r>
      <w:proofErr w:type="gramStart"/>
      <w:r>
        <w:t>with the exception of</w:t>
      </w:r>
      <w:proofErr w:type="gramEnd"/>
      <w:r>
        <w:t xml:space="preserve"> </w:t>
      </w:r>
      <w:r w:rsidR="009F6790">
        <w:t>slurry crusts,</w:t>
      </w:r>
      <w:r>
        <w:t xml:space="preserve"> </w:t>
      </w:r>
      <w:r w:rsidR="001C425E">
        <w:t xml:space="preserve">were predicted to </w:t>
      </w:r>
      <w:r w:rsidRPr="00BD4E7A">
        <w:t xml:space="preserve">reduce both </w:t>
      </w:r>
      <w:r>
        <w:t xml:space="preserve">whole-farm </w:t>
      </w:r>
      <w:r w:rsidRPr="00BD4E7A">
        <w:t>ammonia and GHG emissions</w:t>
      </w:r>
      <w:r>
        <w:t xml:space="preserve"> on average. U</w:t>
      </w:r>
      <w:r w:rsidRPr="00BD4E7A">
        <w:t xml:space="preserve">rease inhibitors </w:t>
      </w:r>
      <w:r>
        <w:t>proved the most effective</w:t>
      </w:r>
      <w:r w:rsidRPr="00BD4E7A">
        <w:t xml:space="preserve">, </w:t>
      </w:r>
      <w:r>
        <w:t>reducing</w:t>
      </w:r>
      <w:r w:rsidRPr="00BD4E7A">
        <w:t xml:space="preserve"> ammonia emissions by 29% and GHG emissions by 1%</w:t>
      </w:r>
      <w:r>
        <w:t xml:space="preserve"> (Table 1)</w:t>
      </w:r>
      <w:r w:rsidRPr="00BD4E7A">
        <w:t>.</w:t>
      </w:r>
      <w:r>
        <w:t xml:space="preserve"> Both slurry injection and floating covers were assumed to have no impact on GHG emissions. Only slurry crusts </w:t>
      </w:r>
      <w:r w:rsidR="001C425E">
        <w:t>slightly increased</w:t>
      </w:r>
      <w:r>
        <w:t xml:space="preserve"> GHG emissions on average across all farms </w:t>
      </w:r>
      <w:r w:rsidR="009F6790">
        <w:t xml:space="preserve">(0.03%) </w:t>
      </w:r>
      <w:r w:rsidRPr="00BD4E7A">
        <w:t>due to</w:t>
      </w:r>
      <w:r>
        <w:t xml:space="preserve"> the</w:t>
      </w:r>
      <w:r w:rsidRPr="00BD4E7A">
        <w:t xml:space="preserve"> higher direct N</w:t>
      </w:r>
      <w:r w:rsidRPr="00BD4E7A">
        <w:rPr>
          <w:vertAlign w:val="subscript"/>
        </w:rPr>
        <w:t>2</w:t>
      </w:r>
      <w:r w:rsidRPr="00BD4E7A">
        <w:t>O emissions</w:t>
      </w:r>
      <w:r>
        <w:t xml:space="preserve"> associated with manure management</w:t>
      </w:r>
      <w:r w:rsidRPr="00BD4E7A">
        <w:t xml:space="preserve">. </w:t>
      </w:r>
    </w:p>
    <w:p w14:paraId="65184A2E" w14:textId="77777777" w:rsidR="00875280" w:rsidRDefault="00875280" w:rsidP="003C4C47"/>
    <w:p w14:paraId="579D40C0" w14:textId="77777777" w:rsidR="00875280" w:rsidRDefault="00875280" w:rsidP="003C4C47"/>
    <w:p w14:paraId="67B40AAC" w14:textId="77777777" w:rsidR="00875280" w:rsidRDefault="00875280" w:rsidP="003C4C47"/>
    <w:p w14:paraId="01BF4BDF" w14:textId="77777777" w:rsidR="003C4C47" w:rsidRPr="009B333C" w:rsidRDefault="003C4C47" w:rsidP="003C4C47">
      <w:r w:rsidRPr="00BD4E7A">
        <w:t xml:space="preserve"> </w:t>
      </w:r>
      <w:r w:rsidRPr="00F32654">
        <w:rPr>
          <w:b/>
          <w:bCs/>
        </w:rPr>
        <w:t xml:space="preserve">Table 1. </w:t>
      </w:r>
      <w:r>
        <w:t>Average baseline ammonia and greenhouse gas emissions for nine farms presented alongside ammonia mitigation scenarios. Percentages in brackets represent the change from baseline.</w:t>
      </w:r>
    </w:p>
    <w:tbl>
      <w:tblPr>
        <w:tblStyle w:val="PlainTable2"/>
        <w:tblW w:w="7118" w:type="dxa"/>
        <w:tblInd w:w="957" w:type="dxa"/>
        <w:tblLook w:val="04A0" w:firstRow="1" w:lastRow="0" w:firstColumn="1" w:lastColumn="0" w:noHBand="0" w:noVBand="1"/>
      </w:tblPr>
      <w:tblGrid>
        <w:gridCol w:w="2365"/>
        <w:gridCol w:w="2599"/>
        <w:gridCol w:w="2154"/>
      </w:tblGrid>
      <w:tr w:rsidR="003C4C47" w:rsidRPr="00F119A3" w14:paraId="50401162" w14:textId="77777777" w:rsidTr="00DE5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noWrap/>
            <w:hideMark/>
          </w:tcPr>
          <w:p w14:paraId="22CE6428" w14:textId="77777777" w:rsidR="003C4C47" w:rsidRPr="00F119A3" w:rsidRDefault="003C4C47" w:rsidP="00DE5066">
            <w:pPr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599" w:type="dxa"/>
            <w:noWrap/>
            <w:hideMark/>
          </w:tcPr>
          <w:p w14:paraId="62E52A93" w14:textId="77777777" w:rsidR="003C4C47" w:rsidRPr="00F119A3" w:rsidRDefault="003C4C47" w:rsidP="00DE50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Ammonia 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emissions 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(kg NH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vertAlign w:val="subscript"/>
                <w:lang w:eastAsia="en-GB"/>
                <w14:ligatures w14:val="none"/>
              </w:rPr>
              <w:t>3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154" w:type="dxa"/>
            <w:noWrap/>
            <w:hideMark/>
          </w:tcPr>
          <w:p w14:paraId="0C9F244B" w14:textId="77777777" w:rsidR="003C4C47" w:rsidRPr="00F119A3" w:rsidRDefault="003C4C47" w:rsidP="00DE50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GHG 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emissions 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(kg CO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vertAlign w:val="subscript"/>
                <w:lang w:eastAsia="en-GB"/>
                <w14:ligatures w14:val="none"/>
              </w:rPr>
              <w:t>2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e)</w:t>
            </w:r>
          </w:p>
        </w:tc>
      </w:tr>
      <w:tr w:rsidR="003C4C47" w:rsidRPr="00F119A3" w14:paraId="26B9A86B" w14:textId="77777777" w:rsidTr="00DE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noWrap/>
          </w:tcPr>
          <w:p w14:paraId="44E7C906" w14:textId="77777777" w:rsidR="003C4C47" w:rsidRPr="00380A03" w:rsidRDefault="003C4C47" w:rsidP="00DE5066">
            <w:pPr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0A03"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Baseline</w:t>
            </w:r>
          </w:p>
        </w:tc>
        <w:tc>
          <w:tcPr>
            <w:tcW w:w="2599" w:type="dxa"/>
            <w:noWrap/>
          </w:tcPr>
          <w:p w14:paraId="0B17BEA7" w14:textId="77777777" w:rsidR="003C4C47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27,288</w:t>
            </w:r>
          </w:p>
          <w:p w14:paraId="28F9CD7C" w14:textId="77777777" w:rsidR="003C4C47" w:rsidRPr="00F32654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54" w:type="dxa"/>
            <w:noWrap/>
          </w:tcPr>
          <w:p w14:paraId="124CC619" w14:textId="77777777" w:rsidR="003C4C47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3,663,024</w:t>
            </w:r>
          </w:p>
          <w:p w14:paraId="26585B77" w14:textId="77777777" w:rsidR="003C4C47" w:rsidRPr="00F32654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C4C47" w:rsidRPr="00F119A3" w14:paraId="03580B30" w14:textId="77777777" w:rsidTr="00DE5066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noWrap/>
            <w:hideMark/>
          </w:tcPr>
          <w:p w14:paraId="3B7ECF96" w14:textId="77777777" w:rsidR="003C4C47" w:rsidRPr="00F119A3" w:rsidRDefault="003C4C47" w:rsidP="00DE5066">
            <w:pPr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9A3"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Urease Inhibitors</w:t>
            </w:r>
          </w:p>
        </w:tc>
        <w:tc>
          <w:tcPr>
            <w:tcW w:w="2599" w:type="dxa"/>
            <w:noWrap/>
            <w:hideMark/>
          </w:tcPr>
          <w:p w14:paraId="0AEE889C" w14:textId="77777777" w:rsidR="003C4C47" w:rsidRPr="00F32654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19,388</w:t>
            </w:r>
          </w:p>
          <w:p w14:paraId="7BFB7759" w14:textId="77777777" w:rsidR="003C4C47" w:rsidRPr="00F119A3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-2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8.65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154" w:type="dxa"/>
            <w:noWrap/>
            <w:hideMark/>
          </w:tcPr>
          <w:p w14:paraId="791E97C0" w14:textId="77777777" w:rsidR="003C4C47" w:rsidRPr="00F32654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3,628,047</w:t>
            </w:r>
          </w:p>
          <w:p w14:paraId="25B09BDC" w14:textId="77777777" w:rsidR="003C4C47" w:rsidRPr="00F119A3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-1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  <w:tr w:rsidR="003C4C47" w:rsidRPr="00F119A3" w14:paraId="0C037ECF" w14:textId="77777777" w:rsidTr="00DE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noWrap/>
            <w:hideMark/>
          </w:tcPr>
          <w:p w14:paraId="63B1CFC1" w14:textId="77777777" w:rsidR="003C4C47" w:rsidRPr="00F119A3" w:rsidRDefault="003C4C47" w:rsidP="00DE5066">
            <w:pPr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9A3"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Low protein diet</w:t>
            </w:r>
          </w:p>
        </w:tc>
        <w:tc>
          <w:tcPr>
            <w:tcW w:w="2599" w:type="dxa"/>
            <w:noWrap/>
            <w:hideMark/>
          </w:tcPr>
          <w:p w14:paraId="377C1C78" w14:textId="77777777" w:rsidR="003C4C47" w:rsidRPr="00F32654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25,142</w:t>
            </w:r>
          </w:p>
          <w:p w14:paraId="2F5CFD03" w14:textId="77777777" w:rsidR="003C4C47" w:rsidRPr="00F119A3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10.80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154" w:type="dxa"/>
            <w:noWrap/>
            <w:hideMark/>
          </w:tcPr>
          <w:p w14:paraId="1D6338A1" w14:textId="77777777" w:rsidR="003C4C47" w:rsidRPr="00F32654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3,611,579</w:t>
            </w:r>
          </w:p>
          <w:p w14:paraId="0280387B" w14:textId="77777777" w:rsidR="003C4C47" w:rsidRPr="00F119A3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-1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.41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  <w:tr w:rsidR="003C4C47" w:rsidRPr="00F119A3" w14:paraId="5B3C4D54" w14:textId="77777777" w:rsidTr="00DE5066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noWrap/>
            <w:hideMark/>
          </w:tcPr>
          <w:p w14:paraId="7D24808C" w14:textId="77777777" w:rsidR="003C4C47" w:rsidRPr="00F119A3" w:rsidRDefault="003C4C47" w:rsidP="00DE5066">
            <w:pPr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9A3"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Slurry Injection</w:t>
            </w:r>
          </w:p>
        </w:tc>
        <w:tc>
          <w:tcPr>
            <w:tcW w:w="2599" w:type="dxa"/>
            <w:noWrap/>
            <w:hideMark/>
          </w:tcPr>
          <w:p w14:paraId="7C647847" w14:textId="77777777" w:rsidR="003C4C47" w:rsidRPr="00F32654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25,142</w:t>
            </w:r>
          </w:p>
          <w:p w14:paraId="35672F69" w14:textId="77777777" w:rsidR="003C4C47" w:rsidRPr="00F119A3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8.89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154" w:type="dxa"/>
            <w:noWrap/>
            <w:hideMark/>
          </w:tcPr>
          <w:p w14:paraId="52928D1C" w14:textId="77777777" w:rsidR="003C4C47" w:rsidRPr="00F119A3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3,663,024 (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.00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  <w:tr w:rsidR="003C4C47" w:rsidRPr="00F119A3" w14:paraId="295686AF" w14:textId="77777777" w:rsidTr="00DE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noWrap/>
            <w:hideMark/>
          </w:tcPr>
          <w:p w14:paraId="336F6768" w14:textId="77777777" w:rsidR="003C4C47" w:rsidRPr="00F119A3" w:rsidRDefault="003C4C47" w:rsidP="00DE5066">
            <w:pPr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9A3"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Slurry Crust</w:t>
            </w:r>
          </w:p>
        </w:tc>
        <w:tc>
          <w:tcPr>
            <w:tcW w:w="2599" w:type="dxa"/>
            <w:noWrap/>
            <w:hideMark/>
          </w:tcPr>
          <w:p w14:paraId="53DEDD18" w14:textId="77777777" w:rsidR="003C4C47" w:rsidRPr="00F32654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26,680</w:t>
            </w:r>
          </w:p>
          <w:p w14:paraId="27D4B32B" w14:textId="77777777" w:rsidR="003C4C47" w:rsidRPr="00F119A3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2.51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154" w:type="dxa"/>
            <w:noWrap/>
            <w:hideMark/>
          </w:tcPr>
          <w:p w14:paraId="25EA3D1C" w14:textId="77777777" w:rsidR="003C4C47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B333C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9B333C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664</w:t>
            </w:r>
            <w:r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9B333C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039</w:t>
            </w:r>
          </w:p>
          <w:p w14:paraId="26370F66" w14:textId="77777777" w:rsidR="003C4C47" w:rsidRPr="00F119A3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(+0.03%)</w:t>
            </w:r>
          </w:p>
        </w:tc>
      </w:tr>
      <w:tr w:rsidR="003C4C47" w:rsidRPr="00F119A3" w14:paraId="5834BC66" w14:textId="77777777" w:rsidTr="00DE5066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noWrap/>
            <w:hideMark/>
          </w:tcPr>
          <w:p w14:paraId="7779BE1D" w14:textId="77777777" w:rsidR="003C4C47" w:rsidRPr="00F119A3" w:rsidRDefault="003C4C47" w:rsidP="00DE5066">
            <w:pPr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9A3"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Floating Cover</w:t>
            </w:r>
          </w:p>
        </w:tc>
        <w:tc>
          <w:tcPr>
            <w:tcW w:w="2599" w:type="dxa"/>
            <w:noWrap/>
            <w:hideMark/>
          </w:tcPr>
          <w:p w14:paraId="147F56DF" w14:textId="77777777" w:rsidR="003C4C47" w:rsidRPr="00F32654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26,376</w:t>
            </w:r>
          </w:p>
          <w:p w14:paraId="7434780F" w14:textId="77777777" w:rsidR="003C4C47" w:rsidRPr="00F119A3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-3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.01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154" w:type="dxa"/>
            <w:noWrap/>
            <w:hideMark/>
          </w:tcPr>
          <w:p w14:paraId="1BEEC97E" w14:textId="77777777" w:rsidR="003C4C47" w:rsidRPr="00F32654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3,663,024</w:t>
            </w:r>
          </w:p>
          <w:p w14:paraId="32B4ABEF" w14:textId="77777777" w:rsidR="003C4C47" w:rsidRPr="00F119A3" w:rsidRDefault="003C4C47" w:rsidP="00DE5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.00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  <w:tr w:rsidR="003C4C47" w:rsidRPr="00F119A3" w14:paraId="50CDFE82" w14:textId="77777777" w:rsidTr="00DE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noWrap/>
            <w:hideMark/>
          </w:tcPr>
          <w:p w14:paraId="7A2C8751" w14:textId="77777777" w:rsidR="003C4C47" w:rsidRPr="00F119A3" w:rsidRDefault="003C4C47" w:rsidP="00DE5066">
            <w:pPr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9A3">
              <w:rPr>
                <w:rFonts w:ascii="DM Sans" w:eastAsia="Times New Roman" w:hAnsi="DM Sans" w:cs="Times New Roman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Tight Cover</w:t>
            </w:r>
          </w:p>
        </w:tc>
        <w:tc>
          <w:tcPr>
            <w:tcW w:w="2599" w:type="dxa"/>
            <w:noWrap/>
            <w:hideMark/>
          </w:tcPr>
          <w:p w14:paraId="19502EB5" w14:textId="77777777" w:rsidR="003C4C47" w:rsidRPr="00F32654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26,559</w:t>
            </w:r>
          </w:p>
          <w:p w14:paraId="341C8808" w14:textId="77777777" w:rsidR="003C4C47" w:rsidRPr="00F119A3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-3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.46</w:t>
            </w:r>
            <w:r w:rsidRPr="00F119A3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  <w:r w:rsidRPr="00F32654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154" w:type="dxa"/>
            <w:noWrap/>
            <w:hideMark/>
          </w:tcPr>
          <w:p w14:paraId="459B702D" w14:textId="77777777" w:rsidR="003C4C47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B333C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9B333C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662</w:t>
            </w:r>
            <w:r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9B333C"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687</w:t>
            </w:r>
          </w:p>
          <w:p w14:paraId="772B3CF2" w14:textId="77777777" w:rsidR="003C4C47" w:rsidRPr="00F119A3" w:rsidRDefault="003C4C47" w:rsidP="00DE5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DM Sans" w:eastAsia="Times New Roman" w:hAnsi="DM Sans" w:cs="Times New Roman"/>
                <w:kern w:val="0"/>
                <w:sz w:val="24"/>
                <w:szCs w:val="24"/>
                <w:lang w:eastAsia="en-GB"/>
                <w14:ligatures w14:val="none"/>
              </w:rPr>
              <w:t>(-0.10%)</w:t>
            </w:r>
          </w:p>
        </w:tc>
      </w:tr>
    </w:tbl>
    <w:p w14:paraId="09A99EF7" w14:textId="77777777" w:rsidR="003C4C47" w:rsidRDefault="003C4C47" w:rsidP="003C4C47">
      <w:pPr>
        <w:rPr>
          <w:b/>
          <w:bCs/>
          <w:lang w:val="en-US"/>
        </w:rPr>
      </w:pPr>
    </w:p>
    <w:p w14:paraId="4B44261F" w14:textId="77777777" w:rsidR="003C4C47" w:rsidRDefault="003C4C47" w:rsidP="003C4C47">
      <w:pPr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10775C8A" w14:textId="21F34594" w:rsidR="003C4C47" w:rsidRDefault="003C4C47" w:rsidP="003C4C47">
      <w:r w:rsidRPr="00BD4E7A">
        <w:t xml:space="preserve">Overall, </w:t>
      </w:r>
      <w:r w:rsidR="001C425E">
        <w:t xml:space="preserve">based on </w:t>
      </w:r>
      <w:r w:rsidR="009F6790">
        <w:t>baseline emission estimates</w:t>
      </w:r>
      <w:r w:rsidR="001C425E">
        <w:t xml:space="preserve"> </w:t>
      </w:r>
      <w:r w:rsidR="009F6790">
        <w:t>from</w:t>
      </w:r>
      <w:r w:rsidR="001C425E">
        <w:t xml:space="preserve"> </w:t>
      </w:r>
      <w:proofErr w:type="spellStart"/>
      <w:r w:rsidR="001C425E">
        <w:t>Agrecalc</w:t>
      </w:r>
      <w:proofErr w:type="spellEnd"/>
      <w:r w:rsidR="001C425E">
        <w:t xml:space="preserve">, </w:t>
      </w:r>
      <w:r w:rsidRPr="00BD4E7A">
        <w:t>th</w:t>
      </w:r>
      <w:r w:rsidR="009F6790">
        <w:t>is</w:t>
      </w:r>
      <w:r w:rsidRPr="00BD4E7A">
        <w:t xml:space="preserve"> study </w:t>
      </w:r>
      <w:r w:rsidR="004B3054">
        <w:t xml:space="preserve">has </w:t>
      </w:r>
      <w:r w:rsidRPr="00BD4E7A">
        <w:t xml:space="preserve">demonstrated that ammonia mitigation strategies </w:t>
      </w:r>
      <w:r>
        <w:t xml:space="preserve">for dairy farms </w:t>
      </w:r>
      <w:r w:rsidR="004B3054">
        <w:t>can</w:t>
      </w:r>
      <w:r w:rsidRPr="00BD4E7A">
        <w:t xml:space="preserve"> be implemented without significant trade-offs for GHG emissions</w:t>
      </w:r>
      <w:r>
        <w:t>. These finding suggest that dairy farms can adopt measures to reduce ammonia emissions while continuing to make progress towards broader climate goals.</w:t>
      </w:r>
    </w:p>
    <w:p w14:paraId="4E25D57A" w14:textId="77777777" w:rsidR="003C4C47" w:rsidRDefault="003C4C47" w:rsidP="003C4C47">
      <w:pPr>
        <w:rPr>
          <w:b/>
          <w:bCs/>
          <w:lang w:val="en-US"/>
        </w:rPr>
      </w:pPr>
    </w:p>
    <w:p w14:paraId="1C7B7DC4" w14:textId="77777777" w:rsidR="003C4C47" w:rsidRDefault="003C4C47" w:rsidP="003C4C47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489496E1" w14:textId="77777777" w:rsidR="003C4C47" w:rsidRDefault="003C4C47" w:rsidP="003C4C47">
      <w:r w:rsidRPr="005D5345">
        <w:rPr>
          <w:lang w:val="en-US"/>
        </w:rPr>
        <w:t xml:space="preserve">DEFRA, 2024. </w:t>
      </w:r>
      <w:r w:rsidRPr="005D5345">
        <w:t>Emissions of air pollutants in the UK – Ammonia (NH</w:t>
      </w:r>
      <w:r w:rsidRPr="005D5345">
        <w:rPr>
          <w:vertAlign w:val="subscript"/>
        </w:rPr>
        <w:t>3</w:t>
      </w:r>
      <w:r w:rsidRPr="005D5345">
        <w:t>)</w:t>
      </w:r>
      <w:r>
        <w:t>.</w:t>
      </w:r>
      <w:r w:rsidRPr="005D5345">
        <w:t xml:space="preserve"> Accredited official statistics. Department of Environmental and Rural Affairs</w:t>
      </w:r>
      <w:r>
        <w:t xml:space="preserve">, UK Government.  </w:t>
      </w:r>
      <w:hyperlink r:id="rId8" w:history="1">
        <w:r w:rsidRPr="0032580B">
          <w:rPr>
            <w:rStyle w:val="Hyperlink"/>
          </w:rPr>
          <w:t>https://www.gov.uk/government/statistics/emissions-of-air-pollutants/emissions-of-air-pollutants-in-the-uk-ammonia-nh3</w:t>
        </w:r>
      </w:hyperlink>
      <w:r>
        <w:t xml:space="preserve"> </w:t>
      </w:r>
    </w:p>
    <w:p w14:paraId="076D04F1" w14:textId="77777777" w:rsidR="003C4C47" w:rsidRDefault="003C4C47" w:rsidP="003C4C47">
      <w:r w:rsidRPr="00380A03">
        <w:t>IPCC, 2019. 2019 Refinement to the 2006 IPCC Guidelines for National Greenhouse Gas Inventories.</w:t>
      </w:r>
      <w:r>
        <w:t xml:space="preserve"> Intergovernmental Panel on Climate Change. </w:t>
      </w:r>
      <w:hyperlink r:id="rId9" w:history="1">
        <w:r w:rsidRPr="0032580B">
          <w:rPr>
            <w:rStyle w:val="Hyperlink"/>
          </w:rPr>
          <w:t>https://www.ipcc.ch/report/2019-refinement-to-the-2006-ipcc-guidelines-for-national-greenhouse-gas-inventories/</w:t>
        </w:r>
      </w:hyperlink>
      <w:r>
        <w:t xml:space="preserve"> </w:t>
      </w:r>
    </w:p>
    <w:p w14:paraId="7C6344CC" w14:textId="77777777" w:rsidR="003C4C47" w:rsidRPr="00380A03" w:rsidRDefault="003C4C47" w:rsidP="003C4C47">
      <w:proofErr w:type="spellStart"/>
      <w:r w:rsidRPr="00380A03">
        <w:t>Misselbrook</w:t>
      </w:r>
      <w:proofErr w:type="spellEnd"/>
      <w:r w:rsidRPr="00380A03">
        <w:t xml:space="preserve">, T.H., </w:t>
      </w:r>
      <w:proofErr w:type="spellStart"/>
      <w:r w:rsidRPr="00380A03">
        <w:t>Gilhespy</w:t>
      </w:r>
      <w:proofErr w:type="spellEnd"/>
      <w:r w:rsidRPr="00380A03">
        <w:t xml:space="preserve">, S.L., Carswell, A.M., Cardenas, L.M., </w:t>
      </w:r>
      <w:r>
        <w:t>2023</w:t>
      </w:r>
      <w:r w:rsidRPr="00380A03">
        <w:t>. Inventory of Ammonia Emissions from UK Agriculture 202</w:t>
      </w:r>
      <w:r>
        <w:t>1</w:t>
      </w:r>
      <w:r w:rsidRPr="00380A03">
        <w:t>.</w:t>
      </w:r>
      <w:r>
        <w:t xml:space="preserve"> </w:t>
      </w:r>
      <w:r w:rsidRPr="00380A03">
        <w:t>Inventory Submission Report</w:t>
      </w:r>
      <w:r>
        <w:t xml:space="preserve">. Rothamsted Research. </w:t>
      </w:r>
      <w:hyperlink r:id="rId10" w:history="1">
        <w:r w:rsidRPr="0032580B">
          <w:rPr>
            <w:rStyle w:val="Hyperlink"/>
          </w:rPr>
          <w:t>https://uk-air.defra.gov.uk/reports/cat09/2307061001_UK_Agriculture_Ammonia_Emission_Report_1990-2021_Final.pdf</w:t>
        </w:r>
      </w:hyperlink>
      <w:r>
        <w:t xml:space="preserve"> </w:t>
      </w:r>
    </w:p>
    <w:p w14:paraId="0ADB320F" w14:textId="12864D9E" w:rsidR="007B30E3" w:rsidRPr="007B30E3" w:rsidRDefault="007B30E3" w:rsidP="003C4C47">
      <w:pPr>
        <w:rPr>
          <w:b/>
          <w:bCs/>
          <w:lang w:val="en-US"/>
        </w:rPr>
      </w:pPr>
    </w:p>
    <w:sectPr w:rsidR="007B30E3" w:rsidRPr="007B30E3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1C425E"/>
    <w:rsid w:val="00383DCD"/>
    <w:rsid w:val="00397193"/>
    <w:rsid w:val="003C4C47"/>
    <w:rsid w:val="00416528"/>
    <w:rsid w:val="004B3054"/>
    <w:rsid w:val="00625B14"/>
    <w:rsid w:val="00744E24"/>
    <w:rsid w:val="007B30E3"/>
    <w:rsid w:val="00875280"/>
    <w:rsid w:val="00933E8C"/>
    <w:rsid w:val="009F6790"/>
    <w:rsid w:val="00B2445E"/>
    <w:rsid w:val="00B52E4E"/>
    <w:rsid w:val="00C53AE2"/>
    <w:rsid w:val="00C95030"/>
    <w:rsid w:val="00DD21B5"/>
    <w:rsid w:val="00E27EE6"/>
    <w:rsid w:val="00EF70D1"/>
    <w:rsid w:val="00F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4C47"/>
    <w:rPr>
      <w:color w:val="467886" w:themeColor="hyperlink"/>
      <w:u w:val="single"/>
    </w:rPr>
  </w:style>
  <w:style w:type="table" w:styleId="PlainTable2">
    <w:name w:val="Plain Table 2"/>
    <w:basedOn w:val="TableNormal"/>
    <w:uiPriority w:val="42"/>
    <w:rsid w:val="003C4C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statistics/emissions-of-air-pollutants/emissions-of-air-pollutants-in-the-uk-ammonia-nh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k-air.defra.gov.uk/reports/cat09/2307061001_UK_Agriculture_Ammonia_Emission_Report_1990-2021_Final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pcc.ch/report/2019-refinement-to-the-2006-ipcc-guidelines-for-national-greenhouse-gas-inven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customXml/itemProps3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Louise Mcnicol</cp:lastModifiedBy>
  <cp:revision>2</cp:revision>
  <dcterms:created xsi:type="dcterms:W3CDTF">2024-12-18T22:08:00Z</dcterms:created>
  <dcterms:modified xsi:type="dcterms:W3CDTF">2024-12-18T22:08:00Z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