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E1434" w14:textId="77777777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D8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6EFA01D4" w14:textId="327111E4" w:rsid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D8">
        <w:rPr>
          <w:rFonts w:ascii="Times New Roman" w:hAnsi="Times New Roman" w:cs="Times New Roman"/>
          <w:sz w:val="24"/>
          <w:szCs w:val="24"/>
        </w:rPr>
        <w:t xml:space="preserve">Reducing </w:t>
      </w:r>
      <w:r w:rsidR="00663D41">
        <w:rPr>
          <w:rFonts w:ascii="Times New Roman" w:hAnsi="Times New Roman" w:cs="Times New Roman"/>
          <w:sz w:val="24"/>
          <w:szCs w:val="24"/>
        </w:rPr>
        <w:t xml:space="preserve">the </w:t>
      </w:r>
      <w:r w:rsidR="00852BDC">
        <w:rPr>
          <w:rFonts w:ascii="Times New Roman" w:hAnsi="Times New Roman" w:cs="Times New Roman"/>
          <w:sz w:val="24"/>
          <w:szCs w:val="24"/>
        </w:rPr>
        <w:t xml:space="preserve">crude </w:t>
      </w:r>
      <w:r w:rsidRPr="002108D8">
        <w:rPr>
          <w:rFonts w:ascii="Times New Roman" w:hAnsi="Times New Roman" w:cs="Times New Roman"/>
          <w:sz w:val="24"/>
          <w:szCs w:val="24"/>
        </w:rPr>
        <w:t xml:space="preserve">protein </w:t>
      </w:r>
      <w:r w:rsidR="00852BDC">
        <w:rPr>
          <w:rFonts w:ascii="Times New Roman" w:hAnsi="Times New Roman" w:cs="Times New Roman"/>
          <w:sz w:val="24"/>
          <w:szCs w:val="24"/>
        </w:rPr>
        <w:t xml:space="preserve">concentration </w:t>
      </w:r>
      <w:r w:rsidR="00663D41">
        <w:rPr>
          <w:rFonts w:ascii="Times New Roman" w:hAnsi="Times New Roman" w:cs="Times New Roman"/>
          <w:sz w:val="24"/>
          <w:szCs w:val="24"/>
        </w:rPr>
        <w:t>of supplementary concentrate, offered to</w:t>
      </w:r>
      <w:r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663D41">
        <w:rPr>
          <w:rFonts w:ascii="Times New Roman" w:hAnsi="Times New Roman" w:cs="Times New Roman"/>
          <w:sz w:val="24"/>
          <w:szCs w:val="24"/>
        </w:rPr>
        <w:t xml:space="preserve">late-lactation </w:t>
      </w:r>
      <w:r w:rsidRPr="002108D8">
        <w:rPr>
          <w:rFonts w:ascii="Times New Roman" w:hAnsi="Times New Roman" w:cs="Times New Roman"/>
          <w:sz w:val="24"/>
          <w:szCs w:val="24"/>
        </w:rPr>
        <w:t>grazing dairy cow</w:t>
      </w:r>
      <w:r w:rsidR="00663D41">
        <w:rPr>
          <w:rFonts w:ascii="Times New Roman" w:hAnsi="Times New Roman" w:cs="Times New Roman"/>
          <w:sz w:val="24"/>
          <w:szCs w:val="24"/>
        </w:rPr>
        <w:t>s,</w:t>
      </w:r>
      <w:r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663D41">
        <w:rPr>
          <w:rFonts w:ascii="Times New Roman" w:hAnsi="Times New Roman" w:cs="Times New Roman"/>
          <w:sz w:val="24"/>
          <w:szCs w:val="24"/>
        </w:rPr>
        <w:t>did not reduce</w:t>
      </w:r>
      <w:r w:rsidRPr="002108D8">
        <w:rPr>
          <w:rFonts w:ascii="Times New Roman" w:hAnsi="Times New Roman" w:cs="Times New Roman"/>
          <w:sz w:val="24"/>
          <w:szCs w:val="24"/>
        </w:rPr>
        <w:t xml:space="preserve"> milk production</w:t>
      </w:r>
      <w:r w:rsidR="00663D41">
        <w:rPr>
          <w:rFonts w:ascii="Times New Roman" w:hAnsi="Times New Roman" w:cs="Times New Roman"/>
          <w:sz w:val="24"/>
          <w:szCs w:val="24"/>
        </w:rPr>
        <w:t xml:space="preserve"> performance</w:t>
      </w:r>
      <w:r w:rsidRPr="002108D8">
        <w:rPr>
          <w:rFonts w:ascii="Times New Roman" w:hAnsi="Times New Roman" w:cs="Times New Roman"/>
          <w:sz w:val="24"/>
          <w:szCs w:val="24"/>
        </w:rPr>
        <w:t>.</w:t>
      </w:r>
    </w:p>
    <w:p w14:paraId="36C82F6C" w14:textId="77777777" w:rsidR="00BF0C7C" w:rsidRPr="002108D8" w:rsidRDefault="00BF0C7C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DA7E4" w14:textId="77777777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D8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2832E60B" w14:textId="383B00D7" w:rsidR="00E57931" w:rsidRPr="00E57931" w:rsidRDefault="00E57931" w:rsidP="00E57931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1">
        <w:rPr>
          <w:rFonts w:ascii="Times New Roman" w:hAnsi="Times New Roman" w:cs="Times New Roman"/>
          <w:sz w:val="24"/>
          <w:szCs w:val="24"/>
        </w:rPr>
        <w:t xml:space="preserve">Irish pastures typically provide sufficient CP, especially in autumn when pasture CP is naturally high. </w:t>
      </w:r>
      <w:r w:rsidR="002D5256">
        <w:rPr>
          <w:rFonts w:ascii="Times New Roman" w:hAnsi="Times New Roman" w:cs="Times New Roman"/>
          <w:sz w:val="24"/>
          <w:szCs w:val="24"/>
        </w:rPr>
        <w:t xml:space="preserve">Consumption of high CP pasture, </w:t>
      </w:r>
      <w:r w:rsidRPr="00E57931">
        <w:rPr>
          <w:rFonts w:ascii="Times New Roman" w:hAnsi="Times New Roman" w:cs="Times New Roman"/>
          <w:sz w:val="24"/>
          <w:szCs w:val="24"/>
        </w:rPr>
        <w:t xml:space="preserve">coupled with </w:t>
      </w:r>
      <w:r w:rsidR="002D5256">
        <w:rPr>
          <w:rFonts w:ascii="Times New Roman" w:hAnsi="Times New Roman" w:cs="Times New Roman"/>
          <w:sz w:val="24"/>
          <w:szCs w:val="24"/>
        </w:rPr>
        <w:t xml:space="preserve">the </w:t>
      </w:r>
      <w:r w:rsidRPr="00E57931">
        <w:rPr>
          <w:rFonts w:ascii="Times New Roman" w:hAnsi="Times New Roman" w:cs="Times New Roman"/>
          <w:sz w:val="24"/>
          <w:szCs w:val="24"/>
        </w:rPr>
        <w:t>cow</w:t>
      </w:r>
      <w:r w:rsidR="002D5256">
        <w:rPr>
          <w:rFonts w:ascii="Times New Roman" w:hAnsi="Times New Roman" w:cs="Times New Roman"/>
          <w:sz w:val="24"/>
          <w:szCs w:val="24"/>
        </w:rPr>
        <w:t>’</w:t>
      </w:r>
      <w:r w:rsidRPr="00E57931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A87F2F">
        <w:rPr>
          <w:rFonts w:ascii="Times New Roman" w:hAnsi="Times New Roman" w:cs="Times New Roman"/>
          <w:sz w:val="24"/>
          <w:szCs w:val="24"/>
        </w:rPr>
        <w:t>metabolisable</w:t>
      </w:r>
      <w:proofErr w:type="spellEnd"/>
      <w:r w:rsidR="00A87F2F">
        <w:rPr>
          <w:rFonts w:ascii="Times New Roman" w:hAnsi="Times New Roman" w:cs="Times New Roman"/>
          <w:sz w:val="24"/>
          <w:szCs w:val="24"/>
        </w:rPr>
        <w:t xml:space="preserve"> </w:t>
      </w:r>
      <w:r w:rsidRPr="00E57931">
        <w:rPr>
          <w:rFonts w:ascii="Times New Roman" w:hAnsi="Times New Roman" w:cs="Times New Roman"/>
          <w:sz w:val="24"/>
          <w:szCs w:val="24"/>
        </w:rPr>
        <w:t>protein requirements</w:t>
      </w:r>
      <w:r w:rsidR="002D5256">
        <w:rPr>
          <w:rFonts w:ascii="Times New Roman" w:hAnsi="Times New Roman" w:cs="Times New Roman"/>
          <w:sz w:val="24"/>
          <w:szCs w:val="24"/>
        </w:rPr>
        <w:t xml:space="preserve"> reducing during</w:t>
      </w:r>
      <w:r w:rsidRPr="00E57931">
        <w:rPr>
          <w:rFonts w:ascii="Times New Roman" w:hAnsi="Times New Roman" w:cs="Times New Roman"/>
          <w:sz w:val="24"/>
          <w:szCs w:val="24"/>
        </w:rPr>
        <w:t xml:space="preserve"> late</w:t>
      </w:r>
      <w:r w:rsidR="002D5256">
        <w:rPr>
          <w:rFonts w:ascii="Times New Roman" w:hAnsi="Times New Roman" w:cs="Times New Roman"/>
          <w:sz w:val="24"/>
          <w:szCs w:val="24"/>
        </w:rPr>
        <w:t>-</w:t>
      </w:r>
      <w:r w:rsidRPr="00E57931">
        <w:rPr>
          <w:rFonts w:ascii="Times New Roman" w:hAnsi="Times New Roman" w:cs="Times New Roman"/>
          <w:sz w:val="24"/>
          <w:szCs w:val="24"/>
        </w:rPr>
        <w:t>lactation</w:t>
      </w:r>
      <w:r w:rsidR="00A06780">
        <w:rPr>
          <w:rFonts w:ascii="Times New Roman" w:hAnsi="Times New Roman" w:cs="Times New Roman"/>
          <w:sz w:val="24"/>
          <w:szCs w:val="24"/>
        </w:rPr>
        <w:t xml:space="preserve"> </w:t>
      </w:r>
      <w:r w:rsidR="00A06780" w:rsidRPr="00A067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6780" w:rsidRPr="00A06780">
        <w:rPr>
          <w:rFonts w:ascii="Times New Roman" w:hAnsi="Times New Roman" w:cs="Times New Roman"/>
          <w:sz w:val="24"/>
          <w:szCs w:val="24"/>
        </w:rPr>
        <w:t>Bargo</w:t>
      </w:r>
      <w:proofErr w:type="spellEnd"/>
      <w:r w:rsidR="00A06780" w:rsidRPr="00A06780">
        <w:rPr>
          <w:rFonts w:ascii="Times New Roman" w:hAnsi="Times New Roman" w:cs="Times New Roman"/>
          <w:sz w:val="24"/>
          <w:szCs w:val="24"/>
        </w:rPr>
        <w:t xml:space="preserve"> et al., 2003; </w:t>
      </w:r>
      <w:proofErr w:type="spellStart"/>
      <w:r w:rsidR="00A06780" w:rsidRPr="00A06780">
        <w:rPr>
          <w:rFonts w:ascii="Times New Roman" w:hAnsi="Times New Roman" w:cs="Times New Roman"/>
          <w:sz w:val="24"/>
          <w:szCs w:val="24"/>
        </w:rPr>
        <w:t>Ipharraguerre</w:t>
      </w:r>
      <w:proofErr w:type="spellEnd"/>
      <w:r w:rsidR="00A06780" w:rsidRPr="00A06780">
        <w:rPr>
          <w:rFonts w:ascii="Times New Roman" w:hAnsi="Times New Roman" w:cs="Times New Roman"/>
          <w:sz w:val="24"/>
          <w:szCs w:val="24"/>
        </w:rPr>
        <w:t xml:space="preserve"> &amp; Clark, 2005)</w:t>
      </w:r>
      <w:r w:rsidRPr="00E57931">
        <w:rPr>
          <w:rFonts w:ascii="Times New Roman" w:hAnsi="Times New Roman" w:cs="Times New Roman"/>
          <w:sz w:val="24"/>
          <w:szCs w:val="24"/>
        </w:rPr>
        <w:t xml:space="preserve">, </w:t>
      </w:r>
      <w:r w:rsidR="002D5256">
        <w:rPr>
          <w:rFonts w:ascii="Times New Roman" w:hAnsi="Times New Roman" w:cs="Times New Roman"/>
          <w:sz w:val="24"/>
          <w:szCs w:val="24"/>
        </w:rPr>
        <w:t xml:space="preserve">can </w:t>
      </w:r>
      <w:r w:rsidR="00663D41">
        <w:rPr>
          <w:rFonts w:ascii="Times New Roman" w:hAnsi="Times New Roman" w:cs="Times New Roman"/>
          <w:sz w:val="24"/>
          <w:szCs w:val="24"/>
        </w:rPr>
        <w:t xml:space="preserve">lead to </w:t>
      </w:r>
      <w:r w:rsidRPr="00E57931">
        <w:rPr>
          <w:rFonts w:ascii="Times New Roman" w:hAnsi="Times New Roman" w:cs="Times New Roman"/>
          <w:sz w:val="24"/>
          <w:szCs w:val="24"/>
        </w:rPr>
        <w:t>increase</w:t>
      </w:r>
      <w:r w:rsidR="00663D41">
        <w:rPr>
          <w:rFonts w:ascii="Times New Roman" w:hAnsi="Times New Roman" w:cs="Times New Roman"/>
          <w:sz w:val="24"/>
          <w:szCs w:val="24"/>
        </w:rPr>
        <w:t>d</w:t>
      </w:r>
      <w:r w:rsidRPr="00E57931">
        <w:rPr>
          <w:rFonts w:ascii="Times New Roman" w:hAnsi="Times New Roman" w:cs="Times New Roman"/>
          <w:sz w:val="24"/>
          <w:szCs w:val="24"/>
        </w:rPr>
        <w:t xml:space="preserve"> </w:t>
      </w:r>
      <w:r w:rsidR="002D5256" w:rsidRPr="00E57931">
        <w:rPr>
          <w:rFonts w:ascii="Times New Roman" w:hAnsi="Times New Roman" w:cs="Times New Roman"/>
          <w:sz w:val="24"/>
          <w:szCs w:val="24"/>
        </w:rPr>
        <w:t>urinary nitrogen excretion</w:t>
      </w:r>
      <w:r w:rsidR="002D5256">
        <w:rPr>
          <w:rFonts w:ascii="Times New Roman" w:hAnsi="Times New Roman" w:cs="Times New Roman"/>
          <w:sz w:val="24"/>
          <w:szCs w:val="24"/>
        </w:rPr>
        <w:t xml:space="preserve">. </w:t>
      </w:r>
      <w:r w:rsidR="00663D41">
        <w:rPr>
          <w:rFonts w:ascii="Times New Roman" w:hAnsi="Times New Roman" w:cs="Times New Roman"/>
          <w:sz w:val="24"/>
          <w:szCs w:val="24"/>
        </w:rPr>
        <w:t>High urinary nitrogen excretion</w:t>
      </w:r>
      <w:r w:rsidR="002D5256">
        <w:rPr>
          <w:rFonts w:ascii="Times New Roman" w:hAnsi="Times New Roman" w:cs="Times New Roman"/>
          <w:sz w:val="24"/>
          <w:szCs w:val="24"/>
        </w:rPr>
        <w:t xml:space="preserve"> can increase </w:t>
      </w:r>
      <w:r w:rsidRPr="00E57931">
        <w:rPr>
          <w:rFonts w:ascii="Times New Roman" w:hAnsi="Times New Roman" w:cs="Times New Roman"/>
          <w:sz w:val="24"/>
          <w:szCs w:val="24"/>
        </w:rPr>
        <w:t xml:space="preserve">the risk of </w:t>
      </w:r>
      <w:r w:rsidR="002D5256">
        <w:rPr>
          <w:rFonts w:ascii="Times New Roman" w:hAnsi="Times New Roman" w:cs="Times New Roman"/>
          <w:sz w:val="24"/>
          <w:szCs w:val="24"/>
        </w:rPr>
        <w:t>nitrate</w:t>
      </w:r>
      <w:r w:rsidR="002D5256" w:rsidRPr="00E57931">
        <w:rPr>
          <w:rFonts w:ascii="Times New Roman" w:hAnsi="Times New Roman" w:cs="Times New Roman"/>
          <w:sz w:val="24"/>
          <w:szCs w:val="24"/>
        </w:rPr>
        <w:t xml:space="preserve"> </w:t>
      </w:r>
      <w:r w:rsidRPr="00E57931">
        <w:rPr>
          <w:rFonts w:ascii="Times New Roman" w:hAnsi="Times New Roman" w:cs="Times New Roman"/>
          <w:sz w:val="24"/>
          <w:szCs w:val="24"/>
        </w:rPr>
        <w:t xml:space="preserve">leaching, especially under </w:t>
      </w:r>
      <w:r w:rsidR="002D5256">
        <w:rPr>
          <w:rFonts w:ascii="Times New Roman" w:hAnsi="Times New Roman" w:cs="Times New Roman"/>
          <w:sz w:val="24"/>
          <w:szCs w:val="24"/>
        </w:rPr>
        <w:t>higher rainfall</w:t>
      </w:r>
      <w:r w:rsidR="002D5256" w:rsidRPr="00E57931">
        <w:rPr>
          <w:rFonts w:ascii="Times New Roman" w:hAnsi="Times New Roman" w:cs="Times New Roman"/>
          <w:sz w:val="24"/>
          <w:szCs w:val="24"/>
        </w:rPr>
        <w:t xml:space="preserve"> </w:t>
      </w:r>
      <w:r w:rsidRPr="00E57931">
        <w:rPr>
          <w:rFonts w:ascii="Times New Roman" w:hAnsi="Times New Roman" w:cs="Times New Roman"/>
          <w:sz w:val="24"/>
          <w:szCs w:val="24"/>
        </w:rPr>
        <w:t>conditions</w:t>
      </w:r>
      <w:r w:rsidR="00A06780">
        <w:rPr>
          <w:rFonts w:ascii="Times New Roman" w:hAnsi="Times New Roman" w:cs="Times New Roman"/>
          <w:sz w:val="24"/>
          <w:szCs w:val="24"/>
        </w:rPr>
        <w:t xml:space="preserve"> </w:t>
      </w:r>
      <w:r w:rsidR="00A06780" w:rsidRPr="00A067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6780" w:rsidRPr="00A06780">
        <w:rPr>
          <w:rFonts w:ascii="Times New Roman" w:hAnsi="Times New Roman" w:cs="Times New Roman"/>
          <w:sz w:val="24"/>
          <w:szCs w:val="24"/>
        </w:rPr>
        <w:t>Selbie</w:t>
      </w:r>
      <w:proofErr w:type="spellEnd"/>
      <w:r w:rsidR="00A06780" w:rsidRPr="00A06780">
        <w:rPr>
          <w:rFonts w:ascii="Times New Roman" w:hAnsi="Times New Roman" w:cs="Times New Roman"/>
          <w:sz w:val="24"/>
          <w:szCs w:val="24"/>
        </w:rPr>
        <w:t xml:space="preserve"> et al., 2015)</w:t>
      </w:r>
      <w:r w:rsidRPr="00E57931">
        <w:rPr>
          <w:rFonts w:ascii="Times New Roman" w:hAnsi="Times New Roman" w:cs="Times New Roman"/>
          <w:sz w:val="24"/>
          <w:szCs w:val="24"/>
        </w:rPr>
        <w:t>. To address this, low-CP concentrates offer a practical strategy to reduce nitrogen losses.</w:t>
      </w:r>
    </w:p>
    <w:p w14:paraId="5E0AB277" w14:textId="77777777" w:rsidR="00BF0C7C" w:rsidRDefault="00E57931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1">
        <w:rPr>
          <w:rFonts w:ascii="Times New Roman" w:hAnsi="Times New Roman" w:cs="Times New Roman"/>
          <w:sz w:val="24"/>
          <w:szCs w:val="24"/>
        </w:rPr>
        <w:t>Previous research has examined the effects of lowering CP in concentrate feeds, though typically not at the reduced levels explored in this study.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931">
        <w:rPr>
          <w:rFonts w:ascii="Times New Roman" w:hAnsi="Times New Roman" w:cs="Times New Roman"/>
          <w:sz w:val="24"/>
          <w:szCs w:val="24"/>
        </w:rPr>
        <w:t>However, when dietary CP levels are low, specific amino acids may become limiting, potentially restricting milk production</w:t>
      </w:r>
      <w:r w:rsidR="00B35EFC">
        <w:rPr>
          <w:rFonts w:ascii="Times New Roman" w:hAnsi="Times New Roman" w:cs="Times New Roman"/>
          <w:sz w:val="24"/>
          <w:szCs w:val="24"/>
        </w:rPr>
        <w:t xml:space="preserve"> </w:t>
      </w:r>
      <w:r w:rsidR="00A06780" w:rsidRPr="00A06780">
        <w:rPr>
          <w:rFonts w:ascii="Times New Roman" w:hAnsi="Times New Roman" w:cs="Times New Roman"/>
          <w:sz w:val="24"/>
          <w:szCs w:val="24"/>
        </w:rPr>
        <w:t xml:space="preserve">(Zhang et al., 2023). </w:t>
      </w:r>
      <w:r w:rsidRPr="00D51106">
        <w:rPr>
          <w:rFonts w:ascii="Times New Roman" w:hAnsi="Times New Roman" w:cs="Times New Roman"/>
          <w:sz w:val="24"/>
          <w:szCs w:val="24"/>
        </w:rPr>
        <w:t xml:space="preserve">Furthermore, understanding how such reductions interact with the genetic merit of dairy cows is crucial for encouraging widespread adoption of low-CP strategies, as </w:t>
      </w:r>
      <w:r w:rsidR="00D51106" w:rsidRPr="00D51106">
        <w:rPr>
          <w:rFonts w:ascii="Times New Roman" w:hAnsi="Times New Roman" w:cs="Times New Roman"/>
          <w:sz w:val="24"/>
          <w:szCs w:val="24"/>
        </w:rPr>
        <w:t>robustness</w:t>
      </w:r>
      <w:r w:rsidRPr="00D51106">
        <w:rPr>
          <w:rFonts w:ascii="Times New Roman" w:hAnsi="Times New Roman" w:cs="Times New Roman"/>
          <w:sz w:val="24"/>
          <w:szCs w:val="24"/>
        </w:rPr>
        <w:t xml:space="preserve"> to dietary changes may vary across different genetic lines</w:t>
      </w:r>
      <w:r w:rsidR="00A87F2F">
        <w:rPr>
          <w:rFonts w:ascii="Times New Roman" w:hAnsi="Times New Roman" w:cs="Times New Roman"/>
          <w:sz w:val="24"/>
          <w:szCs w:val="24"/>
        </w:rPr>
        <w:t xml:space="preserve"> (O’Sullivan et al., 2019)</w:t>
      </w:r>
      <w:r w:rsidRPr="00D51106">
        <w:rPr>
          <w:rFonts w:ascii="Times New Roman" w:hAnsi="Times New Roman" w:cs="Times New Roman"/>
          <w:sz w:val="24"/>
          <w:szCs w:val="24"/>
        </w:rPr>
        <w:t xml:space="preserve">. In this study, genetic merit was </w:t>
      </w:r>
      <w:r w:rsidR="002D5256">
        <w:rPr>
          <w:rFonts w:ascii="Times New Roman" w:hAnsi="Times New Roman" w:cs="Times New Roman"/>
          <w:sz w:val="24"/>
          <w:szCs w:val="24"/>
        </w:rPr>
        <w:t>determined</w:t>
      </w:r>
      <w:r w:rsidR="002D5256" w:rsidRPr="00D51106">
        <w:rPr>
          <w:rFonts w:ascii="Times New Roman" w:hAnsi="Times New Roman" w:cs="Times New Roman"/>
          <w:sz w:val="24"/>
          <w:szCs w:val="24"/>
        </w:rPr>
        <w:t xml:space="preserve"> </w:t>
      </w:r>
      <w:r w:rsidRPr="00D51106">
        <w:rPr>
          <w:rFonts w:ascii="Times New Roman" w:hAnsi="Times New Roman" w:cs="Times New Roman"/>
          <w:sz w:val="24"/>
          <w:szCs w:val="24"/>
        </w:rPr>
        <w:t>using the Economic Breeding Index (EBI), an Irish index that ranks dairy cows based on their genetic potential for profitability.</w:t>
      </w:r>
    </w:p>
    <w:p w14:paraId="65376B46" w14:textId="179EA1A0" w:rsidR="002108D8" w:rsidRDefault="00852BDC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52BDC">
        <w:rPr>
          <w:rFonts w:ascii="Times New Roman" w:hAnsi="Times New Roman" w:cs="Times New Roman"/>
          <w:sz w:val="24"/>
          <w:szCs w:val="24"/>
        </w:rPr>
        <w:t>he objective of this experiment was to investigate the effect of concentrate crude protein and amino acid supplementation on the milk production of late-</w:t>
      </w:r>
      <w:r>
        <w:rPr>
          <w:rFonts w:ascii="Times New Roman" w:hAnsi="Times New Roman" w:cs="Times New Roman"/>
          <w:sz w:val="24"/>
          <w:szCs w:val="24"/>
        </w:rPr>
        <w:t xml:space="preserve">lactation, grazing dairy cows </w:t>
      </w:r>
      <w:r w:rsidRPr="00852BDC">
        <w:rPr>
          <w:rFonts w:ascii="Times New Roman" w:hAnsi="Times New Roman" w:cs="Times New Roman"/>
          <w:sz w:val="24"/>
          <w:szCs w:val="24"/>
        </w:rPr>
        <w:t xml:space="preserve">of divergent </w:t>
      </w:r>
      <w:r w:rsidR="00D51106">
        <w:rPr>
          <w:rFonts w:ascii="Times New Roman" w:hAnsi="Times New Roman" w:cs="Times New Roman"/>
          <w:sz w:val="24"/>
          <w:szCs w:val="24"/>
        </w:rPr>
        <w:t>genetic merit</w:t>
      </w:r>
      <w:r w:rsidRPr="00852BDC">
        <w:rPr>
          <w:rFonts w:ascii="Times New Roman" w:hAnsi="Times New Roman" w:cs="Times New Roman"/>
          <w:sz w:val="24"/>
          <w:szCs w:val="24"/>
        </w:rPr>
        <w:t>.</w:t>
      </w:r>
    </w:p>
    <w:p w14:paraId="3BAB3730" w14:textId="77777777" w:rsidR="00BF0C7C" w:rsidRDefault="00BF0C7C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B4ABB" w14:textId="77777777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D8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240E9A70" w14:textId="3DA55E75" w:rsidR="002108D8" w:rsidRDefault="00D27A28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</w:t>
      </w:r>
      <w:r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9A6104">
        <w:rPr>
          <w:rFonts w:ascii="Times New Roman" w:hAnsi="Times New Roman" w:cs="Times New Roman"/>
          <w:sz w:val="24"/>
          <w:szCs w:val="24"/>
        </w:rPr>
        <w:t xml:space="preserve">8-wk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experiment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conducted at </w:t>
      </w:r>
      <w:r w:rsidR="007103A0">
        <w:rPr>
          <w:rFonts w:ascii="Times New Roman" w:hAnsi="Times New Roman" w:cs="Times New Roman"/>
          <w:sz w:val="24"/>
          <w:szCs w:val="24"/>
        </w:rPr>
        <w:t xml:space="preserve">the </w:t>
      </w:r>
      <w:r w:rsidR="002108D8" w:rsidRPr="002108D8">
        <w:rPr>
          <w:rFonts w:ascii="Times New Roman" w:hAnsi="Times New Roman" w:cs="Times New Roman"/>
          <w:sz w:val="24"/>
          <w:szCs w:val="24"/>
        </w:rPr>
        <w:t>Dairygold Research Farm (</w:t>
      </w:r>
      <w:r w:rsidR="005C4544">
        <w:rPr>
          <w:rFonts w:ascii="Times New Roman" w:hAnsi="Times New Roman" w:cs="Times New Roman"/>
          <w:sz w:val="24"/>
          <w:szCs w:val="24"/>
        </w:rPr>
        <w:t>Kilworth</w:t>
      </w:r>
      <w:r w:rsidR="005C4544" w:rsidRPr="002108D8">
        <w:rPr>
          <w:rFonts w:ascii="Times New Roman" w:hAnsi="Times New Roman" w:cs="Times New Roman"/>
          <w:sz w:val="24"/>
          <w:szCs w:val="24"/>
        </w:rPr>
        <w:t xml:space="preserve">, </w:t>
      </w:r>
      <w:r w:rsidR="005C4544">
        <w:rPr>
          <w:rFonts w:ascii="Times New Roman" w:hAnsi="Times New Roman" w:cs="Times New Roman"/>
          <w:sz w:val="24"/>
          <w:szCs w:val="24"/>
        </w:rPr>
        <w:t>Co. Cork</w:t>
      </w:r>
      <w:r w:rsidR="005C4544" w:rsidRPr="002108D8">
        <w:rPr>
          <w:rFonts w:ascii="Times New Roman" w:hAnsi="Times New Roman" w:cs="Times New Roman"/>
          <w:sz w:val="24"/>
          <w:szCs w:val="24"/>
        </w:rPr>
        <w:t>,</w:t>
      </w:r>
      <w:r w:rsidR="005C4544">
        <w:rPr>
          <w:rFonts w:ascii="Times New Roman" w:hAnsi="Times New Roman" w:cs="Times New Roman"/>
          <w:sz w:val="24"/>
          <w:szCs w:val="24"/>
        </w:rPr>
        <w:t xml:space="preserve"> </w:t>
      </w:r>
      <w:r w:rsidR="002108D8" w:rsidRPr="002108D8">
        <w:rPr>
          <w:rFonts w:ascii="Times New Roman" w:hAnsi="Times New Roman" w:cs="Times New Roman"/>
          <w:sz w:val="24"/>
          <w:szCs w:val="24"/>
        </w:rPr>
        <w:t>Ireland) from September to November</w:t>
      </w:r>
      <w:r w:rsidR="00EB08CF">
        <w:rPr>
          <w:rFonts w:ascii="Times New Roman" w:hAnsi="Times New Roman" w:cs="Times New Roman"/>
          <w:sz w:val="24"/>
          <w:szCs w:val="24"/>
        </w:rPr>
        <w:t>,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Eighty-eight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Holstein Friesian cows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blocked </w:t>
      </w:r>
      <w:r>
        <w:rPr>
          <w:rFonts w:ascii="Times New Roman" w:hAnsi="Times New Roman" w:cs="Times New Roman"/>
          <w:sz w:val="24"/>
          <w:szCs w:val="24"/>
        </w:rPr>
        <w:t xml:space="preserve">based on </w:t>
      </w:r>
      <w:r w:rsidRPr="002108D8">
        <w:rPr>
          <w:rFonts w:ascii="Times New Roman" w:hAnsi="Times New Roman" w:cs="Times New Roman"/>
          <w:sz w:val="24"/>
          <w:szCs w:val="24"/>
        </w:rPr>
        <w:t xml:space="preserve">pre-experimental milk </w:t>
      </w:r>
      <w:r>
        <w:rPr>
          <w:rFonts w:ascii="Times New Roman" w:hAnsi="Times New Roman" w:cs="Times New Roman"/>
          <w:sz w:val="24"/>
          <w:szCs w:val="24"/>
        </w:rPr>
        <w:t>production,</w:t>
      </w:r>
      <w:r w:rsidRPr="002108D8">
        <w:rPr>
          <w:rFonts w:ascii="Times New Roman" w:hAnsi="Times New Roman" w:cs="Times New Roman"/>
          <w:sz w:val="24"/>
          <w:szCs w:val="24"/>
        </w:rPr>
        <w:t xml:space="preserve"> parity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EBI </w:t>
      </w:r>
      <w:r w:rsidR="007103A0">
        <w:rPr>
          <w:rFonts w:ascii="Times New Roman" w:hAnsi="Times New Roman" w:cs="Times New Roman"/>
          <w:sz w:val="24"/>
          <w:szCs w:val="24"/>
        </w:rPr>
        <w:t xml:space="preserve">and were then randomly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assigned to </w:t>
      </w:r>
      <w:r w:rsidR="007103A0">
        <w:rPr>
          <w:rFonts w:ascii="Times New Roman" w:hAnsi="Times New Roman" w:cs="Times New Roman"/>
          <w:sz w:val="24"/>
          <w:szCs w:val="24"/>
        </w:rPr>
        <w:t>1</w:t>
      </w:r>
      <w:r w:rsidR="007103A0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of </w:t>
      </w:r>
      <w:r w:rsidR="007103A0">
        <w:rPr>
          <w:rFonts w:ascii="Times New Roman" w:hAnsi="Times New Roman" w:cs="Times New Roman"/>
          <w:sz w:val="24"/>
          <w:szCs w:val="24"/>
        </w:rPr>
        <w:t>4</w:t>
      </w:r>
      <w:r w:rsidR="007103A0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2108D8" w:rsidRPr="002108D8">
        <w:rPr>
          <w:rFonts w:ascii="Times New Roman" w:hAnsi="Times New Roman" w:cs="Times New Roman"/>
          <w:sz w:val="24"/>
          <w:szCs w:val="24"/>
        </w:rPr>
        <w:t>dietary treatments (</w:t>
      </w:r>
      <w:r w:rsidR="007103A0">
        <w:rPr>
          <w:rFonts w:ascii="Times New Roman" w:hAnsi="Times New Roman" w:cs="Times New Roman"/>
          <w:sz w:val="24"/>
          <w:szCs w:val="24"/>
        </w:rPr>
        <w:t xml:space="preserve">n = 22). </w:t>
      </w:r>
      <w:r w:rsidR="00B54E58" w:rsidRPr="00B54E58">
        <w:rPr>
          <w:rFonts w:ascii="Times New Roman" w:hAnsi="Times New Roman" w:cs="Times New Roman"/>
          <w:sz w:val="24"/>
          <w:szCs w:val="24"/>
        </w:rPr>
        <w:t xml:space="preserve">The </w:t>
      </w:r>
      <w:r w:rsidR="00B54E58">
        <w:rPr>
          <w:rFonts w:ascii="Times New Roman" w:hAnsi="Times New Roman" w:cs="Times New Roman"/>
          <w:sz w:val="24"/>
          <w:szCs w:val="24"/>
        </w:rPr>
        <w:t>dietary treatments</w:t>
      </w:r>
      <w:r w:rsidR="00B54E58" w:rsidRPr="00B54E58">
        <w:rPr>
          <w:rFonts w:ascii="Times New Roman" w:hAnsi="Times New Roman" w:cs="Times New Roman"/>
          <w:sz w:val="24"/>
          <w:szCs w:val="24"/>
        </w:rPr>
        <w:t xml:space="preserve"> consisted of supplemental concentrates with </w:t>
      </w:r>
      <w:r w:rsidR="00EB08CF">
        <w:rPr>
          <w:rFonts w:ascii="Times New Roman" w:hAnsi="Times New Roman" w:cs="Times New Roman"/>
          <w:sz w:val="24"/>
          <w:szCs w:val="24"/>
        </w:rPr>
        <w:t>varying</w:t>
      </w:r>
      <w:r w:rsidR="00EB08CF" w:rsidRPr="00B54E58">
        <w:rPr>
          <w:rFonts w:ascii="Times New Roman" w:hAnsi="Times New Roman" w:cs="Times New Roman"/>
          <w:sz w:val="24"/>
          <w:szCs w:val="24"/>
        </w:rPr>
        <w:t xml:space="preserve"> </w:t>
      </w:r>
      <w:r w:rsidR="00B54E58">
        <w:rPr>
          <w:rFonts w:ascii="Times New Roman" w:hAnsi="Times New Roman" w:cs="Times New Roman"/>
          <w:sz w:val="24"/>
          <w:szCs w:val="24"/>
        </w:rPr>
        <w:t>CP</w:t>
      </w:r>
      <w:r w:rsidR="00B54E58" w:rsidRPr="00B54E58">
        <w:rPr>
          <w:rFonts w:ascii="Times New Roman" w:hAnsi="Times New Roman" w:cs="Times New Roman"/>
          <w:sz w:val="24"/>
          <w:szCs w:val="24"/>
        </w:rPr>
        <w:t xml:space="preserve"> </w:t>
      </w:r>
      <w:r w:rsidR="00EB08CF">
        <w:rPr>
          <w:rFonts w:ascii="Times New Roman" w:hAnsi="Times New Roman" w:cs="Times New Roman"/>
          <w:sz w:val="24"/>
          <w:szCs w:val="24"/>
        </w:rPr>
        <w:t>concentrations</w:t>
      </w:r>
      <w:r w:rsidR="00B54E58" w:rsidRPr="00B54E58">
        <w:rPr>
          <w:rFonts w:ascii="Times New Roman" w:hAnsi="Times New Roman" w:cs="Times New Roman"/>
          <w:sz w:val="24"/>
          <w:szCs w:val="24"/>
        </w:rPr>
        <w:t>:</w:t>
      </w:r>
      <w:r w:rsidR="007103A0" w:rsidRPr="007103A0">
        <w:rPr>
          <w:rFonts w:ascii="Times New Roman" w:hAnsi="Times New Roman" w:cs="Times New Roman"/>
          <w:sz w:val="24"/>
          <w:szCs w:val="24"/>
        </w:rPr>
        <w:t xml:space="preserve"> 1) 17</w:t>
      </w:r>
      <w:r w:rsidR="006615D6">
        <w:rPr>
          <w:rFonts w:ascii="Times New Roman" w:hAnsi="Times New Roman" w:cs="Times New Roman"/>
          <w:sz w:val="24"/>
          <w:szCs w:val="24"/>
        </w:rPr>
        <w:t xml:space="preserve">0 </w:t>
      </w:r>
      <w:r w:rsidR="006615D6" w:rsidRPr="006615D6">
        <w:rPr>
          <w:rFonts w:ascii="Times New Roman" w:hAnsi="Times New Roman" w:cs="Times New Roman"/>
          <w:sz w:val="24"/>
          <w:szCs w:val="24"/>
        </w:rPr>
        <w:t>g/kg of DM</w:t>
      </w:r>
      <w:r w:rsidR="007103A0" w:rsidRPr="007103A0">
        <w:rPr>
          <w:rFonts w:ascii="Times New Roman" w:hAnsi="Times New Roman" w:cs="Times New Roman"/>
          <w:sz w:val="24"/>
          <w:szCs w:val="24"/>
        </w:rPr>
        <w:t xml:space="preserve"> (H); 2) 13</w:t>
      </w:r>
      <w:r w:rsidR="006615D6">
        <w:rPr>
          <w:rFonts w:ascii="Times New Roman" w:hAnsi="Times New Roman" w:cs="Times New Roman"/>
          <w:sz w:val="24"/>
          <w:szCs w:val="24"/>
        </w:rPr>
        <w:t xml:space="preserve">0 </w:t>
      </w:r>
      <w:r w:rsidR="006615D6" w:rsidRPr="006615D6">
        <w:rPr>
          <w:rFonts w:ascii="Times New Roman" w:hAnsi="Times New Roman" w:cs="Times New Roman"/>
          <w:sz w:val="24"/>
          <w:szCs w:val="24"/>
        </w:rPr>
        <w:t>g/kg of DM</w:t>
      </w:r>
      <w:r w:rsidR="006615D6">
        <w:rPr>
          <w:rFonts w:ascii="Times New Roman" w:hAnsi="Times New Roman" w:cs="Times New Roman"/>
          <w:sz w:val="24"/>
          <w:szCs w:val="24"/>
        </w:rPr>
        <w:t xml:space="preserve"> (M); 3) 9</w:t>
      </w:r>
      <w:r w:rsidR="007103A0" w:rsidRPr="007103A0">
        <w:rPr>
          <w:rFonts w:ascii="Times New Roman" w:hAnsi="Times New Roman" w:cs="Times New Roman"/>
          <w:sz w:val="24"/>
          <w:szCs w:val="24"/>
        </w:rPr>
        <w:t>5</w:t>
      </w:r>
      <w:r w:rsidR="006615D6" w:rsidRPr="006615D6">
        <w:t xml:space="preserve"> </w:t>
      </w:r>
      <w:r w:rsidR="006615D6" w:rsidRPr="006615D6">
        <w:rPr>
          <w:rFonts w:ascii="Times New Roman" w:hAnsi="Times New Roman" w:cs="Times New Roman"/>
          <w:sz w:val="24"/>
          <w:szCs w:val="24"/>
        </w:rPr>
        <w:t>g/kg of DM</w:t>
      </w:r>
      <w:r w:rsidR="007103A0" w:rsidRPr="007103A0">
        <w:rPr>
          <w:rFonts w:ascii="Times New Roman" w:hAnsi="Times New Roman" w:cs="Times New Roman"/>
          <w:sz w:val="24"/>
          <w:szCs w:val="24"/>
        </w:rPr>
        <w:t xml:space="preserve"> (L); </w:t>
      </w:r>
      <w:r w:rsidR="00EB08CF">
        <w:rPr>
          <w:rFonts w:ascii="Times New Roman" w:hAnsi="Times New Roman" w:cs="Times New Roman"/>
          <w:sz w:val="24"/>
          <w:szCs w:val="24"/>
        </w:rPr>
        <w:t>and</w:t>
      </w:r>
      <w:r w:rsidR="007103A0" w:rsidRPr="007103A0">
        <w:rPr>
          <w:rFonts w:ascii="Times New Roman" w:hAnsi="Times New Roman" w:cs="Times New Roman"/>
          <w:sz w:val="24"/>
          <w:szCs w:val="24"/>
        </w:rPr>
        <w:t xml:space="preserve"> 4) 95</w:t>
      </w:r>
      <w:r w:rsidR="006615D6" w:rsidRPr="006615D6">
        <w:t xml:space="preserve"> </w:t>
      </w:r>
      <w:r w:rsidR="006615D6" w:rsidRPr="006615D6">
        <w:rPr>
          <w:rFonts w:ascii="Times New Roman" w:hAnsi="Times New Roman" w:cs="Times New Roman"/>
          <w:sz w:val="24"/>
          <w:szCs w:val="24"/>
        </w:rPr>
        <w:t>g/kg of DM</w:t>
      </w:r>
      <w:r w:rsidR="007103A0" w:rsidRPr="007103A0">
        <w:rPr>
          <w:rFonts w:ascii="Times New Roman" w:hAnsi="Times New Roman" w:cs="Times New Roman"/>
          <w:sz w:val="24"/>
          <w:szCs w:val="24"/>
        </w:rPr>
        <w:t xml:space="preserve"> with</w:t>
      </w:r>
      <w:r w:rsidR="00FF7BD5">
        <w:rPr>
          <w:rFonts w:ascii="Times New Roman" w:hAnsi="Times New Roman" w:cs="Times New Roman"/>
          <w:sz w:val="24"/>
          <w:szCs w:val="24"/>
        </w:rPr>
        <w:t xml:space="preserve"> rumen-protected amino acids (L</w:t>
      </w:r>
      <w:r w:rsidR="007103A0" w:rsidRPr="007103A0">
        <w:rPr>
          <w:rFonts w:ascii="Times New Roman" w:hAnsi="Times New Roman" w:cs="Times New Roman"/>
          <w:sz w:val="24"/>
          <w:szCs w:val="24"/>
        </w:rPr>
        <w:t xml:space="preserve">AA; 8.0 g/day absorbable Met and 7.2 g/day absorbable Lys). </w:t>
      </w:r>
      <w:r w:rsidR="007103A0" w:rsidRPr="002108D8">
        <w:rPr>
          <w:rFonts w:ascii="Times New Roman" w:hAnsi="Times New Roman" w:cs="Times New Roman"/>
          <w:sz w:val="24"/>
          <w:szCs w:val="24"/>
        </w:rPr>
        <w:t xml:space="preserve">Cows received 1.79 kg </w:t>
      </w:r>
      <w:r w:rsidR="007103A0">
        <w:rPr>
          <w:rFonts w:ascii="Times New Roman" w:hAnsi="Times New Roman" w:cs="Times New Roman"/>
          <w:sz w:val="24"/>
          <w:szCs w:val="24"/>
        </w:rPr>
        <w:t xml:space="preserve">of </w:t>
      </w:r>
      <w:r w:rsidR="007103A0" w:rsidRPr="002108D8">
        <w:rPr>
          <w:rFonts w:ascii="Times New Roman" w:hAnsi="Times New Roman" w:cs="Times New Roman"/>
          <w:sz w:val="24"/>
          <w:szCs w:val="24"/>
        </w:rPr>
        <w:t>DM of concentrate daily in the milking parlour and grazed</w:t>
      </w:r>
      <w:r w:rsidR="007103A0">
        <w:rPr>
          <w:rFonts w:ascii="Times New Roman" w:hAnsi="Times New Roman" w:cs="Times New Roman"/>
          <w:sz w:val="24"/>
          <w:szCs w:val="24"/>
        </w:rPr>
        <w:t xml:space="preserve"> separately</w:t>
      </w:r>
      <w:r w:rsidR="007103A0" w:rsidRPr="002108D8">
        <w:rPr>
          <w:rFonts w:ascii="Times New Roman" w:hAnsi="Times New Roman" w:cs="Times New Roman"/>
          <w:sz w:val="24"/>
          <w:szCs w:val="24"/>
        </w:rPr>
        <w:t xml:space="preserve"> on swards</w:t>
      </w:r>
      <w:r w:rsidR="003A1616">
        <w:rPr>
          <w:rFonts w:ascii="Times New Roman" w:hAnsi="Times New Roman" w:cs="Times New Roman"/>
          <w:sz w:val="24"/>
          <w:szCs w:val="24"/>
        </w:rPr>
        <w:t xml:space="preserve"> </w:t>
      </w:r>
      <w:r w:rsidR="007103A0">
        <w:rPr>
          <w:rFonts w:ascii="Times New Roman" w:hAnsi="Times New Roman" w:cs="Times New Roman"/>
          <w:sz w:val="24"/>
          <w:szCs w:val="24"/>
        </w:rPr>
        <w:t xml:space="preserve">consisting predominantly of </w:t>
      </w:r>
      <w:r w:rsidR="007103A0" w:rsidRPr="002108D8">
        <w:rPr>
          <w:rFonts w:ascii="Times New Roman" w:hAnsi="Times New Roman" w:cs="Times New Roman"/>
          <w:sz w:val="24"/>
          <w:szCs w:val="24"/>
        </w:rPr>
        <w:t>perennial ryegrass. Milk yield was recorded daily (Dairymaster), with weekly analysis for constituents (MilkoScan 7).</w:t>
      </w:r>
      <w:r w:rsidR="003A1616">
        <w:rPr>
          <w:rFonts w:ascii="Times New Roman" w:hAnsi="Times New Roman" w:cs="Times New Roman"/>
          <w:sz w:val="24"/>
          <w:szCs w:val="24"/>
        </w:rPr>
        <w:t xml:space="preserve"> </w:t>
      </w:r>
      <w:r w:rsidR="002108D8" w:rsidRPr="002108D8">
        <w:rPr>
          <w:rFonts w:ascii="Times New Roman" w:hAnsi="Times New Roman" w:cs="Times New Roman"/>
          <w:sz w:val="24"/>
          <w:szCs w:val="24"/>
        </w:rPr>
        <w:t>T</w:t>
      </w:r>
      <w:r w:rsidR="009A6104">
        <w:rPr>
          <w:rFonts w:ascii="Times New Roman" w:hAnsi="Times New Roman" w:cs="Times New Roman"/>
          <w:sz w:val="24"/>
          <w:szCs w:val="24"/>
        </w:rPr>
        <w:t>he t</w:t>
      </w:r>
      <w:r w:rsidR="002108D8" w:rsidRPr="002108D8">
        <w:rPr>
          <w:rFonts w:ascii="Times New Roman" w:hAnsi="Times New Roman" w:cs="Times New Roman"/>
          <w:sz w:val="24"/>
          <w:szCs w:val="24"/>
        </w:rPr>
        <w:t>wo genetic groups</w:t>
      </w:r>
      <w:r w:rsidR="00EB08CF">
        <w:rPr>
          <w:rFonts w:ascii="Times New Roman" w:hAnsi="Times New Roman" w:cs="Times New Roman"/>
          <w:sz w:val="24"/>
          <w:szCs w:val="24"/>
        </w:rPr>
        <w:t xml:space="preserve"> (mean </w:t>
      </w:r>
      <w:r w:rsidR="00EB08CF" w:rsidRPr="002108D8">
        <w:rPr>
          <w:rFonts w:ascii="Times New Roman" w:hAnsi="Times New Roman" w:cs="Times New Roman"/>
          <w:sz w:val="24"/>
          <w:szCs w:val="24"/>
        </w:rPr>
        <w:t>±</w:t>
      </w:r>
      <w:r w:rsidR="00EB08CF">
        <w:rPr>
          <w:rFonts w:ascii="Times New Roman" w:hAnsi="Times New Roman" w:cs="Times New Roman"/>
          <w:sz w:val="24"/>
          <w:szCs w:val="24"/>
        </w:rPr>
        <w:t xml:space="preserve"> SD)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, high EBI (HEBI; €262.66 ± 32.92) and low EBI (LEBI; €185.02 ± 33.94), were balanced across </w:t>
      </w:r>
      <w:r w:rsidR="00FF7BD5" w:rsidRPr="002108D8">
        <w:rPr>
          <w:rFonts w:ascii="Times New Roman" w:hAnsi="Times New Roman" w:cs="Times New Roman"/>
          <w:sz w:val="24"/>
          <w:szCs w:val="24"/>
        </w:rPr>
        <w:t>dietary treatments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. Data were analysed using the MIXED procedure in SAS (v9.4), with fixed effects of </w:t>
      </w:r>
      <w:r w:rsidR="003A1616">
        <w:rPr>
          <w:rFonts w:ascii="Times New Roman" w:hAnsi="Times New Roman" w:cs="Times New Roman"/>
          <w:sz w:val="24"/>
          <w:szCs w:val="24"/>
        </w:rPr>
        <w:t>dietary treatment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, week, </w:t>
      </w:r>
      <w:r w:rsidR="00D51106">
        <w:rPr>
          <w:rFonts w:ascii="Times New Roman" w:hAnsi="Times New Roman" w:cs="Times New Roman"/>
          <w:sz w:val="24"/>
          <w:szCs w:val="24"/>
        </w:rPr>
        <w:t>dietary treatment by week</w:t>
      </w:r>
      <w:r w:rsidR="003A1616">
        <w:rPr>
          <w:rFonts w:ascii="Times New Roman" w:hAnsi="Times New Roman" w:cs="Times New Roman"/>
          <w:sz w:val="24"/>
          <w:szCs w:val="24"/>
        </w:rPr>
        <w:t xml:space="preserve"> interaction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, </w:t>
      </w:r>
      <w:r w:rsidR="00FF7BD5">
        <w:rPr>
          <w:rFonts w:ascii="Times New Roman" w:hAnsi="Times New Roman" w:cs="Times New Roman"/>
          <w:sz w:val="24"/>
          <w:szCs w:val="24"/>
        </w:rPr>
        <w:t>genetic group</w:t>
      </w:r>
      <w:r w:rsidR="002108D8" w:rsidRPr="002108D8">
        <w:rPr>
          <w:rFonts w:ascii="Times New Roman" w:hAnsi="Times New Roman" w:cs="Times New Roman"/>
          <w:sz w:val="24"/>
          <w:szCs w:val="24"/>
        </w:rPr>
        <w:t>,</w:t>
      </w:r>
      <w:r w:rsidR="006615D6">
        <w:rPr>
          <w:rFonts w:ascii="Times New Roman" w:hAnsi="Times New Roman" w:cs="Times New Roman"/>
          <w:sz w:val="24"/>
          <w:szCs w:val="24"/>
        </w:rPr>
        <w:t xml:space="preserve"> </w:t>
      </w:r>
      <w:r w:rsidR="00FF7BD5">
        <w:rPr>
          <w:rFonts w:ascii="Times New Roman" w:hAnsi="Times New Roman" w:cs="Times New Roman"/>
          <w:sz w:val="24"/>
          <w:szCs w:val="24"/>
        </w:rPr>
        <w:t xml:space="preserve">genetic group </w:t>
      </w:r>
      <w:r w:rsidR="00D51106">
        <w:rPr>
          <w:rFonts w:ascii="Times New Roman" w:hAnsi="Times New Roman" w:cs="Times New Roman"/>
          <w:sz w:val="24"/>
          <w:szCs w:val="24"/>
        </w:rPr>
        <w:t>by</w:t>
      </w:r>
      <w:r w:rsidR="006615D6">
        <w:rPr>
          <w:rFonts w:ascii="Times New Roman" w:hAnsi="Times New Roman" w:cs="Times New Roman"/>
          <w:sz w:val="24"/>
          <w:szCs w:val="24"/>
        </w:rPr>
        <w:t xml:space="preserve"> dietary treatment interaction,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and parity.</w:t>
      </w:r>
      <w:r w:rsidR="009A6104">
        <w:rPr>
          <w:rFonts w:ascii="Times New Roman" w:hAnsi="Times New Roman" w:cs="Times New Roman"/>
          <w:sz w:val="24"/>
          <w:szCs w:val="24"/>
        </w:rPr>
        <w:t xml:space="preserve"> A</w:t>
      </w:r>
      <w:r w:rsidR="009A6104" w:rsidRPr="009A6104">
        <w:rPr>
          <w:rFonts w:ascii="Times New Roman" w:hAnsi="Times New Roman" w:cs="Times New Roman"/>
          <w:sz w:val="24"/>
          <w:szCs w:val="24"/>
        </w:rPr>
        <w:t xml:space="preserve">n appropriate covariate adjustment </w:t>
      </w:r>
      <w:r w:rsidR="009A6104">
        <w:rPr>
          <w:rFonts w:ascii="Times New Roman" w:hAnsi="Times New Roman" w:cs="Times New Roman"/>
          <w:sz w:val="24"/>
          <w:szCs w:val="24"/>
        </w:rPr>
        <w:t xml:space="preserve">was made </w:t>
      </w:r>
      <w:r w:rsidR="009A6104" w:rsidRPr="009A6104">
        <w:rPr>
          <w:rFonts w:ascii="Times New Roman" w:hAnsi="Times New Roman" w:cs="Times New Roman"/>
          <w:sz w:val="24"/>
          <w:szCs w:val="24"/>
        </w:rPr>
        <w:t>per cow. Repeated measures were based on week with cow as a random effect.</w:t>
      </w:r>
      <w:r w:rsidR="003A1616" w:rsidRPr="003A1616">
        <w:t xml:space="preserve"> </w:t>
      </w:r>
      <w:r w:rsidR="003A1616" w:rsidRPr="003A1616">
        <w:rPr>
          <w:rFonts w:ascii="Times New Roman" w:hAnsi="Times New Roman" w:cs="Times New Roman"/>
          <w:sz w:val="24"/>
          <w:szCs w:val="24"/>
        </w:rPr>
        <w:t>Significance was considered at P ≤ 0.05</w:t>
      </w:r>
      <w:r w:rsidR="003A16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258CFE" w14:textId="77777777" w:rsidR="00BF0C7C" w:rsidRPr="002108D8" w:rsidRDefault="00BF0C7C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CB6BC" w14:textId="77777777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D8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4C8B3A04" w14:textId="40439DEA" w:rsidR="002108D8" w:rsidRDefault="001B4004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55207">
        <w:rPr>
          <w:rFonts w:ascii="Times New Roman" w:hAnsi="Times New Roman" w:cs="Times New Roman"/>
          <w:sz w:val="24"/>
          <w:szCs w:val="24"/>
        </w:rPr>
        <w:t>educ</w:t>
      </w:r>
      <w:r w:rsidR="00EB08CF">
        <w:rPr>
          <w:rFonts w:ascii="Times New Roman" w:hAnsi="Times New Roman" w:cs="Times New Roman"/>
          <w:sz w:val="24"/>
          <w:szCs w:val="24"/>
        </w:rPr>
        <w:t xml:space="preserve">ing the concentrate CP concentration had no effect on milk production and milk composition (Table 1). </w:t>
      </w:r>
      <w:r>
        <w:rPr>
          <w:rFonts w:ascii="Times New Roman" w:hAnsi="Times New Roman" w:cs="Times New Roman"/>
          <w:sz w:val="24"/>
          <w:szCs w:val="24"/>
        </w:rPr>
        <w:t>Amino acid supplementation also had no effect, except for milk fat concentration, where c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ows </w:t>
      </w:r>
      <w:r w:rsidR="00FF7BD5">
        <w:rPr>
          <w:rFonts w:ascii="Times New Roman" w:hAnsi="Times New Roman" w:cs="Times New Roman"/>
          <w:sz w:val="24"/>
          <w:szCs w:val="24"/>
        </w:rPr>
        <w:t xml:space="preserve">fed LAA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>greater</w:t>
      </w:r>
      <w:r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EB08CF">
        <w:rPr>
          <w:rFonts w:ascii="Times New Roman" w:hAnsi="Times New Roman" w:cs="Times New Roman"/>
          <w:sz w:val="24"/>
          <w:szCs w:val="24"/>
        </w:rPr>
        <w:t xml:space="preserve">milk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fat concentrations </w:t>
      </w:r>
      <w:r w:rsidR="00FF7BD5">
        <w:rPr>
          <w:rFonts w:ascii="Times New Roman" w:hAnsi="Times New Roman" w:cs="Times New Roman"/>
          <w:sz w:val="24"/>
          <w:szCs w:val="24"/>
        </w:rPr>
        <w:t xml:space="preserve">when compared with </w:t>
      </w:r>
      <w:r>
        <w:rPr>
          <w:rFonts w:ascii="Times New Roman" w:hAnsi="Times New Roman" w:cs="Times New Roman"/>
          <w:sz w:val="24"/>
          <w:szCs w:val="24"/>
        </w:rPr>
        <w:t>H</w:t>
      </w:r>
      <w:r w:rsidR="00FF7BD5">
        <w:rPr>
          <w:rFonts w:ascii="Times New Roman" w:hAnsi="Times New Roman" w:cs="Times New Roman"/>
          <w:sz w:val="24"/>
          <w:szCs w:val="24"/>
        </w:rPr>
        <w:t xml:space="preserve">, but were </w:t>
      </w:r>
      <w:r>
        <w:rPr>
          <w:rFonts w:ascii="Times New Roman" w:hAnsi="Times New Roman" w:cs="Times New Roman"/>
          <w:sz w:val="24"/>
          <w:szCs w:val="24"/>
        </w:rPr>
        <w:t xml:space="preserve">similar to M and L </w:t>
      </w:r>
      <w:r w:rsidR="00FF7BD5">
        <w:rPr>
          <w:rFonts w:ascii="Times New Roman" w:hAnsi="Times New Roman" w:cs="Times New Roman"/>
          <w:sz w:val="24"/>
          <w:szCs w:val="24"/>
        </w:rPr>
        <w:t>(</w:t>
      </w:r>
      <w:r w:rsidR="00FF7BD5" w:rsidRPr="00A87F2F">
        <w:rPr>
          <w:rFonts w:ascii="Times New Roman" w:hAnsi="Times New Roman" w:cs="Times New Roman"/>
          <w:i/>
          <w:sz w:val="24"/>
          <w:szCs w:val="24"/>
        </w:rPr>
        <w:t>P</w:t>
      </w:r>
      <w:r w:rsidR="00FF7BD5">
        <w:rPr>
          <w:rFonts w:ascii="Times New Roman" w:hAnsi="Times New Roman" w:cs="Times New Roman"/>
          <w:sz w:val="24"/>
          <w:szCs w:val="24"/>
        </w:rPr>
        <w:t xml:space="preserve"> = 0.02)</w:t>
      </w:r>
      <w:r w:rsidR="002108D8" w:rsidRPr="002108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BD5" w:rsidRPr="002108D8">
        <w:rPr>
          <w:rFonts w:ascii="Times New Roman" w:hAnsi="Times New Roman" w:cs="Times New Roman"/>
          <w:sz w:val="24"/>
          <w:szCs w:val="24"/>
        </w:rPr>
        <w:t>Genetic group had a</w:t>
      </w:r>
      <w:r w:rsidR="00EB08CF">
        <w:rPr>
          <w:rFonts w:ascii="Times New Roman" w:hAnsi="Times New Roman" w:cs="Times New Roman"/>
          <w:sz w:val="24"/>
          <w:szCs w:val="24"/>
        </w:rPr>
        <w:t>n</w:t>
      </w:r>
      <w:r w:rsidR="00FF7BD5" w:rsidRPr="002108D8">
        <w:rPr>
          <w:rFonts w:ascii="Times New Roman" w:hAnsi="Times New Roman" w:cs="Times New Roman"/>
          <w:sz w:val="24"/>
          <w:szCs w:val="24"/>
        </w:rPr>
        <w:t xml:space="preserve"> effect on </w:t>
      </w:r>
      <w:r w:rsidR="00EB08CF">
        <w:rPr>
          <w:rFonts w:ascii="Times New Roman" w:hAnsi="Times New Roman" w:cs="Times New Roman"/>
          <w:sz w:val="24"/>
          <w:szCs w:val="24"/>
        </w:rPr>
        <w:t xml:space="preserve">all </w:t>
      </w:r>
      <w:r w:rsidR="00FF7BD5" w:rsidRPr="002108D8">
        <w:rPr>
          <w:rFonts w:ascii="Times New Roman" w:hAnsi="Times New Roman" w:cs="Times New Roman"/>
          <w:sz w:val="24"/>
          <w:szCs w:val="24"/>
        </w:rPr>
        <w:t xml:space="preserve">milk production </w:t>
      </w:r>
      <w:r w:rsidR="00EB08CF">
        <w:rPr>
          <w:rFonts w:ascii="Times New Roman" w:hAnsi="Times New Roman" w:cs="Times New Roman"/>
          <w:sz w:val="24"/>
          <w:szCs w:val="24"/>
        </w:rPr>
        <w:t xml:space="preserve">outcomes </w:t>
      </w:r>
      <w:r w:rsidR="00FF7BD5" w:rsidRPr="002108D8">
        <w:rPr>
          <w:rFonts w:ascii="Times New Roman" w:hAnsi="Times New Roman" w:cs="Times New Roman"/>
          <w:sz w:val="24"/>
          <w:szCs w:val="24"/>
        </w:rPr>
        <w:t xml:space="preserve">except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F7BD5" w:rsidRPr="002108D8">
        <w:rPr>
          <w:rFonts w:ascii="Times New Roman" w:hAnsi="Times New Roman" w:cs="Times New Roman"/>
          <w:sz w:val="24"/>
          <w:szCs w:val="24"/>
        </w:rPr>
        <w:t>lactose concentration (</w:t>
      </w:r>
      <w:r w:rsidR="00FF7BD5" w:rsidRPr="00A87F2F">
        <w:rPr>
          <w:rFonts w:ascii="Times New Roman" w:hAnsi="Times New Roman" w:cs="Times New Roman"/>
          <w:i/>
          <w:sz w:val="24"/>
          <w:szCs w:val="24"/>
        </w:rPr>
        <w:t>P</w:t>
      </w:r>
      <w:r w:rsidR="00FF7BD5" w:rsidRPr="002108D8">
        <w:rPr>
          <w:rFonts w:ascii="Times New Roman" w:hAnsi="Times New Roman" w:cs="Times New Roman"/>
          <w:sz w:val="24"/>
          <w:szCs w:val="24"/>
        </w:rPr>
        <w:t xml:space="preserve"> = 0.08</w:t>
      </w:r>
      <w:r w:rsidR="00EB08CF">
        <w:rPr>
          <w:rFonts w:ascii="Times New Roman" w:hAnsi="Times New Roman" w:cs="Times New Roman"/>
          <w:sz w:val="24"/>
          <w:szCs w:val="24"/>
        </w:rPr>
        <w:t>; Table 1</w:t>
      </w:r>
      <w:r w:rsidR="00FF7BD5" w:rsidRPr="002108D8">
        <w:rPr>
          <w:rFonts w:ascii="Times New Roman" w:hAnsi="Times New Roman" w:cs="Times New Roman"/>
          <w:sz w:val="24"/>
          <w:szCs w:val="24"/>
        </w:rPr>
        <w:t>).</w:t>
      </w:r>
      <w:r w:rsidR="00FF7BD5">
        <w:rPr>
          <w:rFonts w:ascii="Times New Roman" w:hAnsi="Times New Roman" w:cs="Times New Roman"/>
          <w:sz w:val="24"/>
          <w:szCs w:val="24"/>
        </w:rPr>
        <w:t xml:space="preserve"> </w:t>
      </w:r>
      <w:r w:rsidR="00326561">
        <w:rPr>
          <w:rFonts w:ascii="Times New Roman" w:hAnsi="Times New Roman" w:cs="Times New Roman"/>
          <w:sz w:val="24"/>
          <w:szCs w:val="24"/>
        </w:rPr>
        <w:t xml:space="preserve">Cows of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LEBI had </w:t>
      </w:r>
      <w:r w:rsidR="00326561">
        <w:rPr>
          <w:rFonts w:ascii="Times New Roman" w:hAnsi="Times New Roman" w:cs="Times New Roman"/>
          <w:sz w:val="24"/>
          <w:szCs w:val="24"/>
        </w:rPr>
        <w:t>greater</w:t>
      </w:r>
      <w:r w:rsidR="00326561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milk yield </w:t>
      </w:r>
      <w:r w:rsidR="00326561">
        <w:rPr>
          <w:rFonts w:ascii="Times New Roman" w:hAnsi="Times New Roman" w:cs="Times New Roman"/>
          <w:sz w:val="24"/>
          <w:szCs w:val="24"/>
        </w:rPr>
        <w:t>when compared with</w:t>
      </w:r>
      <w:r w:rsidR="00326561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326561">
        <w:rPr>
          <w:rFonts w:ascii="Times New Roman" w:hAnsi="Times New Roman" w:cs="Times New Roman"/>
          <w:sz w:val="24"/>
          <w:szCs w:val="24"/>
        </w:rPr>
        <w:t xml:space="preserve">cows of </w:t>
      </w:r>
      <w:r w:rsidR="002108D8" w:rsidRPr="002108D8">
        <w:rPr>
          <w:rFonts w:ascii="Times New Roman" w:hAnsi="Times New Roman" w:cs="Times New Roman"/>
          <w:sz w:val="24"/>
          <w:szCs w:val="24"/>
        </w:rPr>
        <w:t>HEBI (</w:t>
      </w:r>
      <w:r w:rsidR="00FB47AC" w:rsidRPr="00A87F2F">
        <w:rPr>
          <w:rFonts w:ascii="Times New Roman" w:hAnsi="Times New Roman" w:cs="Times New Roman"/>
          <w:i/>
          <w:sz w:val="24"/>
          <w:szCs w:val="24"/>
        </w:rPr>
        <w:t>P</w:t>
      </w:r>
      <w:r w:rsidR="00FB47AC">
        <w:rPr>
          <w:rFonts w:ascii="Times New Roman" w:hAnsi="Times New Roman" w:cs="Times New Roman"/>
          <w:sz w:val="24"/>
          <w:szCs w:val="24"/>
        </w:rPr>
        <w:t xml:space="preserve"> = 0.04</w:t>
      </w:r>
      <w:r w:rsidR="002108D8" w:rsidRPr="002108D8">
        <w:rPr>
          <w:rFonts w:ascii="Times New Roman" w:hAnsi="Times New Roman" w:cs="Times New Roman"/>
          <w:sz w:val="24"/>
          <w:szCs w:val="24"/>
        </w:rPr>
        <w:t>)</w:t>
      </w:r>
      <w:r w:rsidR="00326561">
        <w:rPr>
          <w:rFonts w:ascii="Times New Roman" w:hAnsi="Times New Roman" w:cs="Times New Roman"/>
          <w:sz w:val="24"/>
          <w:szCs w:val="24"/>
        </w:rPr>
        <w:t>.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326561">
        <w:rPr>
          <w:rFonts w:ascii="Times New Roman" w:hAnsi="Times New Roman" w:cs="Times New Roman"/>
          <w:sz w:val="24"/>
          <w:szCs w:val="24"/>
        </w:rPr>
        <w:t xml:space="preserve">Cows of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HEBI </w:t>
      </w:r>
      <w:r w:rsidR="00326561">
        <w:rPr>
          <w:rFonts w:ascii="Times New Roman" w:hAnsi="Times New Roman" w:cs="Times New Roman"/>
          <w:sz w:val="24"/>
          <w:szCs w:val="24"/>
        </w:rPr>
        <w:t>had greater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milk</w:t>
      </w:r>
      <w:r w:rsidR="006615D6">
        <w:rPr>
          <w:rFonts w:ascii="Times New Roman" w:hAnsi="Times New Roman" w:cs="Times New Roman"/>
          <w:sz w:val="24"/>
          <w:szCs w:val="24"/>
        </w:rPr>
        <w:t xml:space="preserve"> </w:t>
      </w:r>
      <w:r w:rsidR="00326561">
        <w:rPr>
          <w:rFonts w:ascii="Times New Roman" w:hAnsi="Times New Roman" w:cs="Times New Roman"/>
          <w:sz w:val="24"/>
          <w:szCs w:val="24"/>
        </w:rPr>
        <w:t>fat and protein concentration, as well as</w:t>
      </w:r>
      <w:r w:rsidR="00663D41">
        <w:rPr>
          <w:rFonts w:ascii="Times New Roman" w:hAnsi="Times New Roman" w:cs="Times New Roman"/>
          <w:sz w:val="24"/>
          <w:szCs w:val="24"/>
        </w:rPr>
        <w:t>,</w:t>
      </w:r>
      <w:r w:rsidR="00326561">
        <w:rPr>
          <w:rFonts w:ascii="Times New Roman" w:hAnsi="Times New Roman" w:cs="Times New Roman"/>
          <w:sz w:val="24"/>
          <w:szCs w:val="24"/>
        </w:rPr>
        <w:t xml:space="preserve"> greater milk solids yield</w:t>
      </w:r>
      <w:r w:rsidR="00FF7BD5">
        <w:rPr>
          <w:rFonts w:ascii="Times New Roman" w:hAnsi="Times New Roman" w:cs="Times New Roman"/>
          <w:sz w:val="24"/>
          <w:szCs w:val="24"/>
        </w:rPr>
        <w:t xml:space="preserve"> (</w:t>
      </w:r>
      <w:r w:rsidR="00FF7BD5" w:rsidRPr="00A87F2F">
        <w:rPr>
          <w:rFonts w:ascii="Times New Roman" w:hAnsi="Times New Roman" w:cs="Times New Roman"/>
          <w:i/>
          <w:sz w:val="24"/>
          <w:szCs w:val="24"/>
        </w:rPr>
        <w:t>P</w:t>
      </w:r>
      <w:r w:rsidR="00FF7BD5">
        <w:rPr>
          <w:rFonts w:ascii="Times New Roman" w:hAnsi="Times New Roman" w:cs="Times New Roman"/>
          <w:sz w:val="24"/>
          <w:szCs w:val="24"/>
        </w:rPr>
        <w:t xml:space="preserve"> &lt; 0.0</w:t>
      </w:r>
      <w:r w:rsidR="00326561">
        <w:rPr>
          <w:rFonts w:ascii="Times New Roman" w:hAnsi="Times New Roman" w:cs="Times New Roman"/>
          <w:sz w:val="24"/>
          <w:szCs w:val="24"/>
        </w:rPr>
        <w:t>1</w:t>
      </w:r>
      <w:r w:rsidR="00FF7BD5">
        <w:rPr>
          <w:rFonts w:ascii="Times New Roman" w:hAnsi="Times New Roman" w:cs="Times New Roman"/>
          <w:sz w:val="24"/>
          <w:szCs w:val="24"/>
        </w:rPr>
        <w:t>)</w:t>
      </w:r>
      <w:r w:rsidR="006615D6">
        <w:rPr>
          <w:rFonts w:ascii="Times New Roman" w:hAnsi="Times New Roman" w:cs="Times New Roman"/>
          <w:sz w:val="24"/>
          <w:szCs w:val="24"/>
        </w:rPr>
        <w:t>.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FF7BD5">
        <w:rPr>
          <w:rFonts w:ascii="Times New Roman" w:hAnsi="Times New Roman" w:cs="Times New Roman"/>
          <w:sz w:val="24"/>
          <w:szCs w:val="24"/>
        </w:rPr>
        <w:t>T</w:t>
      </w:r>
      <w:r w:rsidR="00FF7BD5" w:rsidRPr="00FF7BD5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re was a</w:t>
      </w:r>
      <w:r w:rsidR="00FF7BD5" w:rsidRPr="00FF7BD5">
        <w:rPr>
          <w:rFonts w:ascii="Times New Roman" w:hAnsi="Times New Roman" w:cs="Times New Roman"/>
          <w:sz w:val="24"/>
          <w:szCs w:val="24"/>
        </w:rPr>
        <w:t xml:space="preserve"> genetic group </w:t>
      </w:r>
      <w:r w:rsidR="00FF7BD5" w:rsidRPr="00FF7BD5">
        <w:rPr>
          <w:rFonts w:ascii="Times New Roman" w:hAnsi="Times New Roman" w:cs="Times New Roman"/>
          <w:sz w:val="24"/>
          <w:szCs w:val="24"/>
        </w:rPr>
        <w:lastRenderedPageBreak/>
        <w:t xml:space="preserve">by dietary treatment interaction 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for </w:t>
      </w:r>
      <w:r w:rsidR="00326561">
        <w:rPr>
          <w:rFonts w:ascii="Times New Roman" w:hAnsi="Times New Roman" w:cs="Times New Roman"/>
          <w:sz w:val="24"/>
          <w:szCs w:val="24"/>
        </w:rPr>
        <w:t xml:space="preserve">milk </w:t>
      </w:r>
      <w:r w:rsidR="002108D8" w:rsidRPr="002108D8">
        <w:rPr>
          <w:rFonts w:ascii="Times New Roman" w:hAnsi="Times New Roman" w:cs="Times New Roman"/>
          <w:sz w:val="24"/>
          <w:szCs w:val="24"/>
        </w:rPr>
        <w:t>fat and protein concentrations (</w:t>
      </w:r>
      <w:r w:rsidR="002108D8" w:rsidRPr="00A87F2F">
        <w:rPr>
          <w:rFonts w:ascii="Times New Roman" w:hAnsi="Times New Roman" w:cs="Times New Roman"/>
          <w:i/>
          <w:sz w:val="24"/>
          <w:szCs w:val="24"/>
        </w:rPr>
        <w:t>P</w:t>
      </w:r>
      <w:r w:rsidR="002108D8" w:rsidRPr="002108D8">
        <w:rPr>
          <w:rFonts w:ascii="Times New Roman" w:hAnsi="Times New Roman" w:cs="Times New Roman"/>
          <w:sz w:val="24"/>
          <w:szCs w:val="24"/>
        </w:rPr>
        <w:t xml:space="preserve"> = 0.01 and 0.04</w:t>
      </w:r>
      <w:r w:rsidR="00FB47AC">
        <w:rPr>
          <w:rFonts w:ascii="Times New Roman" w:hAnsi="Times New Roman" w:cs="Times New Roman"/>
          <w:sz w:val="24"/>
          <w:szCs w:val="24"/>
        </w:rPr>
        <w:t>, respectively</w:t>
      </w:r>
      <w:r w:rsidR="002108D8" w:rsidRPr="002108D8">
        <w:rPr>
          <w:rFonts w:ascii="Times New Roman" w:hAnsi="Times New Roman" w:cs="Times New Roman"/>
          <w:sz w:val="24"/>
          <w:szCs w:val="24"/>
        </w:rPr>
        <w:t>)</w:t>
      </w:r>
      <w:r w:rsidR="006615D6">
        <w:rPr>
          <w:rFonts w:ascii="Times New Roman" w:hAnsi="Times New Roman" w:cs="Times New Roman"/>
          <w:sz w:val="24"/>
          <w:szCs w:val="24"/>
        </w:rPr>
        <w:t>.</w:t>
      </w:r>
    </w:p>
    <w:p w14:paraId="143D7EA0" w14:textId="72D2A2EE" w:rsidR="002108D8" w:rsidRPr="00AF7C26" w:rsidRDefault="00AF7C26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26">
        <w:rPr>
          <w:rFonts w:ascii="Times New Roman" w:hAnsi="Times New Roman" w:cs="Times New Roman"/>
          <w:b/>
          <w:sz w:val="24"/>
          <w:szCs w:val="24"/>
        </w:rPr>
        <w:t>Table 1: Effect of concentrate crude protein on the milk production</w:t>
      </w:r>
      <w:r w:rsidR="00EB08CF">
        <w:rPr>
          <w:rFonts w:ascii="Times New Roman" w:hAnsi="Times New Roman" w:cs="Times New Roman"/>
          <w:b/>
          <w:sz w:val="24"/>
          <w:szCs w:val="24"/>
        </w:rPr>
        <w:t xml:space="preserve"> and composition</w:t>
      </w:r>
      <w:r w:rsidRPr="00AF7C26">
        <w:rPr>
          <w:rFonts w:ascii="Times New Roman" w:hAnsi="Times New Roman" w:cs="Times New Roman"/>
          <w:b/>
          <w:sz w:val="24"/>
          <w:szCs w:val="24"/>
        </w:rPr>
        <w:t xml:space="preserve"> of late-lactation, grazing dairy cows of divergent genetic merit</w:t>
      </w:r>
    </w:p>
    <w:tbl>
      <w:tblPr>
        <w:tblStyle w:val="TableGrid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95"/>
        <w:gridCol w:w="643"/>
        <w:gridCol w:w="643"/>
        <w:gridCol w:w="596"/>
        <w:gridCol w:w="593"/>
        <w:gridCol w:w="639"/>
        <w:gridCol w:w="623"/>
        <w:gridCol w:w="593"/>
        <w:gridCol w:w="543"/>
        <w:gridCol w:w="718"/>
        <w:gridCol w:w="796"/>
      </w:tblGrid>
      <w:tr w:rsidR="00405468" w:rsidRPr="0034719B" w14:paraId="20507288" w14:textId="77777777" w:rsidTr="000A2DBF">
        <w:trPr>
          <w:trHeight w:val="285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34F5CFFD" w14:textId="77777777" w:rsidR="00405468" w:rsidRPr="00B55207" w:rsidRDefault="00405468" w:rsidP="000A2DB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0F5D6" w14:textId="2DA18920" w:rsidR="00405468" w:rsidRPr="00B55207" w:rsidRDefault="00405468" w:rsidP="000A2D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207">
              <w:rPr>
                <w:rFonts w:ascii="Times New Roman" w:hAnsi="Times New Roman" w:cs="Times New Roman"/>
                <w:sz w:val="16"/>
                <w:szCs w:val="16"/>
              </w:rPr>
              <w:t>Dietary treatment</w:t>
            </w:r>
            <w:r w:rsidRPr="00B5520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14:paraId="5538DB1A" w14:textId="44C08D4D" w:rsidR="00405468" w:rsidRPr="00B55207" w:rsidRDefault="00405468" w:rsidP="000A2D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52A5A" w14:textId="1E1F0210" w:rsidR="00405468" w:rsidRPr="00B55207" w:rsidRDefault="00405468" w:rsidP="000A2D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207">
              <w:rPr>
                <w:rFonts w:ascii="Times New Roman" w:hAnsi="Times New Roman" w:cs="Times New Roman"/>
                <w:sz w:val="16"/>
                <w:szCs w:val="16"/>
              </w:rPr>
              <w:t>Genetic group</w:t>
            </w:r>
            <w:r w:rsidRPr="00B5520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14:paraId="013A4526" w14:textId="045CBE29" w:rsidR="00405468" w:rsidRPr="00B55207" w:rsidRDefault="00405468" w:rsidP="000A2D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B67F8" w14:textId="77777777" w:rsidR="00405468" w:rsidRPr="00B55207" w:rsidRDefault="00405468" w:rsidP="000A2D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207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55207">
              <w:rPr>
                <w:rFonts w:ascii="Times New Roman" w:hAnsi="Times New Roman" w:cs="Times New Roman"/>
                <w:sz w:val="16"/>
                <w:szCs w:val="16"/>
              </w:rPr>
              <w:t>-values</w:t>
            </w:r>
          </w:p>
        </w:tc>
      </w:tr>
      <w:tr w:rsidR="0034719B" w:rsidRPr="0034719B" w14:paraId="1709BD66" w14:textId="77777777" w:rsidTr="000A2DBF">
        <w:trPr>
          <w:trHeight w:val="329"/>
        </w:trPr>
        <w:tc>
          <w:tcPr>
            <w:tcW w:w="20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469DCA" w14:textId="08A0DE6F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Item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20306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H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EEA642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M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6CF198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7D0FD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LAA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D65B3E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SEM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7717B6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HEBI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D5982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LEBI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3BFF3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SEM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BBC1E5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DT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0A360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GG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C84B9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DT*GG</w:t>
            </w:r>
          </w:p>
        </w:tc>
      </w:tr>
      <w:tr w:rsidR="0034719B" w:rsidRPr="0034719B" w14:paraId="457D7FAD" w14:textId="77777777" w:rsidTr="000A2DBF">
        <w:trPr>
          <w:trHeight w:val="313"/>
        </w:trPr>
        <w:tc>
          <w:tcPr>
            <w:tcW w:w="20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B3B317" w14:textId="47CDF64A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Milk yield, kg/d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EA6CAB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14.1</w:t>
            </w:r>
          </w:p>
        </w:tc>
        <w:tc>
          <w:tcPr>
            <w:tcW w:w="6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57CAF1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13.9</w:t>
            </w:r>
          </w:p>
        </w:tc>
        <w:tc>
          <w:tcPr>
            <w:tcW w:w="6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114BD3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14.3</w:t>
            </w:r>
          </w:p>
        </w:tc>
        <w:tc>
          <w:tcPr>
            <w:tcW w:w="5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96DA69" w14:textId="732213EC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14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45B241" w14:textId="67EE9DE5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0.2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D445BA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13.9</w:t>
            </w:r>
          </w:p>
        </w:tc>
        <w:tc>
          <w:tcPr>
            <w:tcW w:w="6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83A970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14.3</w:t>
            </w:r>
          </w:p>
        </w:tc>
        <w:tc>
          <w:tcPr>
            <w:tcW w:w="5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0828B7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0.14</w:t>
            </w:r>
          </w:p>
        </w:tc>
        <w:tc>
          <w:tcPr>
            <w:tcW w:w="5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0EFE93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0.33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491E40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0.04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  <w:hideMark/>
          </w:tcPr>
          <w:p w14:paraId="181A56B8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0.72</w:t>
            </w:r>
          </w:p>
        </w:tc>
      </w:tr>
      <w:tr w:rsidR="0034719B" w:rsidRPr="0034719B" w14:paraId="43C78239" w14:textId="77777777" w:rsidTr="000A2DBF">
        <w:trPr>
          <w:trHeight w:val="313"/>
        </w:trPr>
        <w:tc>
          <w:tcPr>
            <w:tcW w:w="2084" w:type="dxa"/>
            <w:noWrap/>
            <w:vAlign w:val="center"/>
            <w:hideMark/>
          </w:tcPr>
          <w:p w14:paraId="7A97D77A" w14:textId="22DD6D5C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 xml:space="preserve">Fat </w:t>
            </w:r>
            <w:r w:rsidRPr="00BF0C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concentration</w:t>
            </w:r>
            <w:r w:rsidR="001652E7" w:rsidRPr="00BF0C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, g/kg</w:t>
            </w:r>
          </w:p>
        </w:tc>
        <w:tc>
          <w:tcPr>
            <w:tcW w:w="595" w:type="dxa"/>
            <w:noWrap/>
            <w:vAlign w:val="center"/>
            <w:hideMark/>
          </w:tcPr>
          <w:p w14:paraId="2E325609" w14:textId="73400708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  <w:t>b</w:t>
            </w:r>
          </w:p>
        </w:tc>
        <w:tc>
          <w:tcPr>
            <w:tcW w:w="643" w:type="dxa"/>
            <w:noWrap/>
            <w:vAlign w:val="center"/>
            <w:hideMark/>
          </w:tcPr>
          <w:p w14:paraId="5C1B74B4" w14:textId="50AB9BB3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3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  <w:t>ab</w:t>
            </w:r>
          </w:p>
        </w:tc>
        <w:tc>
          <w:tcPr>
            <w:tcW w:w="643" w:type="dxa"/>
            <w:noWrap/>
            <w:vAlign w:val="center"/>
            <w:hideMark/>
          </w:tcPr>
          <w:p w14:paraId="24590AA3" w14:textId="11AB6184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  <w:t>ab</w:t>
            </w:r>
          </w:p>
        </w:tc>
        <w:tc>
          <w:tcPr>
            <w:tcW w:w="594" w:type="dxa"/>
            <w:noWrap/>
            <w:vAlign w:val="center"/>
            <w:hideMark/>
          </w:tcPr>
          <w:p w14:paraId="06F9E29D" w14:textId="4A1F8ED8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6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E"/>
              </w:rPr>
              <w:t>a</w:t>
            </w:r>
          </w:p>
        </w:tc>
        <w:tc>
          <w:tcPr>
            <w:tcW w:w="593" w:type="dxa"/>
            <w:noWrap/>
            <w:vAlign w:val="center"/>
            <w:hideMark/>
          </w:tcPr>
          <w:p w14:paraId="3B775AE1" w14:textId="2E0CC988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69</w:t>
            </w:r>
          </w:p>
        </w:tc>
        <w:tc>
          <w:tcPr>
            <w:tcW w:w="639" w:type="dxa"/>
            <w:noWrap/>
            <w:vAlign w:val="center"/>
            <w:hideMark/>
          </w:tcPr>
          <w:p w14:paraId="6CE64C44" w14:textId="7CF515EC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58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7</w:t>
            </w:r>
          </w:p>
        </w:tc>
        <w:tc>
          <w:tcPr>
            <w:tcW w:w="622" w:type="dxa"/>
            <w:noWrap/>
            <w:vAlign w:val="center"/>
            <w:hideMark/>
          </w:tcPr>
          <w:p w14:paraId="5A08C76F" w14:textId="63031D8C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54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</w:t>
            </w:r>
          </w:p>
        </w:tc>
        <w:tc>
          <w:tcPr>
            <w:tcW w:w="593" w:type="dxa"/>
            <w:noWrap/>
            <w:vAlign w:val="center"/>
            <w:hideMark/>
          </w:tcPr>
          <w:p w14:paraId="1DD7DB8C" w14:textId="2DA6D572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0.5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543" w:type="dxa"/>
            <w:noWrap/>
            <w:vAlign w:val="center"/>
            <w:hideMark/>
          </w:tcPr>
          <w:p w14:paraId="7D0E44C0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0.02</w:t>
            </w:r>
          </w:p>
        </w:tc>
        <w:tc>
          <w:tcPr>
            <w:tcW w:w="718" w:type="dxa"/>
            <w:noWrap/>
            <w:vAlign w:val="center"/>
            <w:hideMark/>
          </w:tcPr>
          <w:p w14:paraId="2770711D" w14:textId="7EBC2550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&lt;0.01</w:t>
            </w:r>
          </w:p>
        </w:tc>
        <w:tc>
          <w:tcPr>
            <w:tcW w:w="795" w:type="dxa"/>
            <w:vAlign w:val="center"/>
            <w:hideMark/>
          </w:tcPr>
          <w:p w14:paraId="1FB026A6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</w:tr>
      <w:tr w:rsidR="0034719B" w:rsidRPr="0034719B" w14:paraId="48C65099" w14:textId="77777777" w:rsidTr="000A2DBF">
        <w:trPr>
          <w:trHeight w:val="313"/>
        </w:trPr>
        <w:tc>
          <w:tcPr>
            <w:tcW w:w="2084" w:type="dxa"/>
            <w:noWrap/>
            <w:vAlign w:val="center"/>
            <w:hideMark/>
          </w:tcPr>
          <w:p w14:paraId="57DBAF54" w14:textId="1675BF8F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Protein concentration</w:t>
            </w:r>
            <w:r w:rsidR="001652E7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, g/kg</w:t>
            </w:r>
          </w:p>
        </w:tc>
        <w:tc>
          <w:tcPr>
            <w:tcW w:w="595" w:type="dxa"/>
            <w:noWrap/>
            <w:vAlign w:val="center"/>
            <w:hideMark/>
          </w:tcPr>
          <w:p w14:paraId="21E21590" w14:textId="07E2C86D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</w:p>
        </w:tc>
        <w:tc>
          <w:tcPr>
            <w:tcW w:w="643" w:type="dxa"/>
            <w:noWrap/>
            <w:vAlign w:val="center"/>
            <w:hideMark/>
          </w:tcPr>
          <w:p w14:paraId="79620C4D" w14:textId="12363FD8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2</w:t>
            </w:r>
          </w:p>
        </w:tc>
        <w:tc>
          <w:tcPr>
            <w:tcW w:w="643" w:type="dxa"/>
            <w:noWrap/>
            <w:vAlign w:val="center"/>
            <w:hideMark/>
          </w:tcPr>
          <w:p w14:paraId="417EE1C1" w14:textId="73D0A014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6</w:t>
            </w:r>
          </w:p>
        </w:tc>
        <w:tc>
          <w:tcPr>
            <w:tcW w:w="594" w:type="dxa"/>
            <w:noWrap/>
            <w:vAlign w:val="center"/>
            <w:hideMark/>
          </w:tcPr>
          <w:p w14:paraId="3BA785A6" w14:textId="3111D8FA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2</w:t>
            </w:r>
          </w:p>
        </w:tc>
        <w:tc>
          <w:tcPr>
            <w:tcW w:w="593" w:type="dxa"/>
            <w:noWrap/>
            <w:vAlign w:val="center"/>
            <w:hideMark/>
          </w:tcPr>
          <w:p w14:paraId="24BF17A9" w14:textId="77041EA0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28</w:t>
            </w:r>
          </w:p>
        </w:tc>
        <w:tc>
          <w:tcPr>
            <w:tcW w:w="639" w:type="dxa"/>
            <w:noWrap/>
            <w:vAlign w:val="center"/>
            <w:hideMark/>
          </w:tcPr>
          <w:p w14:paraId="51FB6684" w14:textId="364E3D77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45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9</w:t>
            </w:r>
          </w:p>
        </w:tc>
        <w:tc>
          <w:tcPr>
            <w:tcW w:w="622" w:type="dxa"/>
            <w:noWrap/>
            <w:vAlign w:val="center"/>
            <w:hideMark/>
          </w:tcPr>
          <w:p w14:paraId="3498B1AB" w14:textId="69EE5B81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43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</w:p>
        </w:tc>
        <w:tc>
          <w:tcPr>
            <w:tcW w:w="593" w:type="dxa"/>
            <w:noWrap/>
            <w:vAlign w:val="center"/>
            <w:hideMark/>
          </w:tcPr>
          <w:p w14:paraId="60E4AD2F" w14:textId="4CA9B2E2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0.2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543" w:type="dxa"/>
            <w:noWrap/>
            <w:vAlign w:val="center"/>
            <w:hideMark/>
          </w:tcPr>
          <w:p w14:paraId="3FD4C987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0.09</w:t>
            </w:r>
          </w:p>
        </w:tc>
        <w:tc>
          <w:tcPr>
            <w:tcW w:w="718" w:type="dxa"/>
            <w:noWrap/>
            <w:vAlign w:val="center"/>
            <w:hideMark/>
          </w:tcPr>
          <w:p w14:paraId="614417A2" w14:textId="7A0F2AD2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&lt;0.01</w:t>
            </w:r>
          </w:p>
        </w:tc>
        <w:tc>
          <w:tcPr>
            <w:tcW w:w="795" w:type="dxa"/>
            <w:vAlign w:val="center"/>
            <w:hideMark/>
          </w:tcPr>
          <w:p w14:paraId="0C4B88A8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0.04</w:t>
            </w:r>
          </w:p>
        </w:tc>
      </w:tr>
      <w:tr w:rsidR="0034719B" w:rsidRPr="0034719B" w14:paraId="1CFD83A2" w14:textId="77777777" w:rsidTr="000A2DBF">
        <w:trPr>
          <w:trHeight w:val="313"/>
        </w:trPr>
        <w:tc>
          <w:tcPr>
            <w:tcW w:w="2084" w:type="dxa"/>
            <w:noWrap/>
            <w:vAlign w:val="center"/>
            <w:hideMark/>
          </w:tcPr>
          <w:p w14:paraId="7B0EE6EE" w14:textId="3331EB95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Lactose concentration</w:t>
            </w:r>
            <w:r w:rsidR="001652E7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, g/kg</w:t>
            </w:r>
          </w:p>
        </w:tc>
        <w:tc>
          <w:tcPr>
            <w:tcW w:w="595" w:type="dxa"/>
            <w:noWrap/>
            <w:vAlign w:val="center"/>
            <w:hideMark/>
          </w:tcPr>
          <w:p w14:paraId="05BE2124" w14:textId="02BC5D0C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643" w:type="dxa"/>
            <w:noWrap/>
            <w:vAlign w:val="center"/>
            <w:hideMark/>
          </w:tcPr>
          <w:p w14:paraId="6A0A0C1C" w14:textId="0F4F4585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44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7</w:t>
            </w:r>
          </w:p>
        </w:tc>
        <w:tc>
          <w:tcPr>
            <w:tcW w:w="643" w:type="dxa"/>
            <w:noWrap/>
            <w:vAlign w:val="center"/>
            <w:hideMark/>
          </w:tcPr>
          <w:p w14:paraId="1E7F8A8E" w14:textId="5BB3F75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44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9</w:t>
            </w:r>
          </w:p>
        </w:tc>
        <w:tc>
          <w:tcPr>
            <w:tcW w:w="594" w:type="dxa"/>
            <w:noWrap/>
            <w:vAlign w:val="center"/>
            <w:hideMark/>
          </w:tcPr>
          <w:p w14:paraId="1DF33125" w14:textId="594052B0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6</w:t>
            </w:r>
          </w:p>
        </w:tc>
        <w:tc>
          <w:tcPr>
            <w:tcW w:w="593" w:type="dxa"/>
            <w:noWrap/>
            <w:vAlign w:val="center"/>
            <w:hideMark/>
          </w:tcPr>
          <w:p w14:paraId="15B11DD4" w14:textId="24F52F5C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0.15</w:t>
            </w:r>
          </w:p>
        </w:tc>
        <w:tc>
          <w:tcPr>
            <w:tcW w:w="639" w:type="dxa"/>
            <w:noWrap/>
            <w:vAlign w:val="center"/>
            <w:hideMark/>
          </w:tcPr>
          <w:p w14:paraId="46D20922" w14:textId="0DAB8C9D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6</w:t>
            </w:r>
          </w:p>
        </w:tc>
        <w:tc>
          <w:tcPr>
            <w:tcW w:w="622" w:type="dxa"/>
            <w:noWrap/>
            <w:vAlign w:val="center"/>
            <w:hideMark/>
          </w:tcPr>
          <w:p w14:paraId="02B54342" w14:textId="33497563" w:rsidR="00AF7C26" w:rsidRPr="00B55207" w:rsidRDefault="002C779F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.</w:t>
            </w:r>
            <w:r w:rsidR="00AF7C26"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9</w:t>
            </w:r>
          </w:p>
        </w:tc>
        <w:tc>
          <w:tcPr>
            <w:tcW w:w="593" w:type="dxa"/>
            <w:noWrap/>
            <w:vAlign w:val="center"/>
            <w:hideMark/>
          </w:tcPr>
          <w:p w14:paraId="7EE1EFA6" w14:textId="1C695411" w:rsidR="00AF7C26" w:rsidRPr="00B55207" w:rsidRDefault="00AF7C26" w:rsidP="002C7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0.1</w:t>
            </w:r>
            <w:r w:rsidR="002C77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</w:t>
            </w:r>
          </w:p>
        </w:tc>
        <w:tc>
          <w:tcPr>
            <w:tcW w:w="543" w:type="dxa"/>
            <w:noWrap/>
            <w:vAlign w:val="center"/>
            <w:hideMark/>
          </w:tcPr>
          <w:p w14:paraId="3CB3A7B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0.15</w:t>
            </w:r>
          </w:p>
        </w:tc>
        <w:tc>
          <w:tcPr>
            <w:tcW w:w="718" w:type="dxa"/>
            <w:noWrap/>
            <w:vAlign w:val="center"/>
            <w:hideMark/>
          </w:tcPr>
          <w:p w14:paraId="53371F48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0.08</w:t>
            </w:r>
          </w:p>
        </w:tc>
        <w:tc>
          <w:tcPr>
            <w:tcW w:w="795" w:type="dxa"/>
            <w:vAlign w:val="center"/>
            <w:hideMark/>
          </w:tcPr>
          <w:p w14:paraId="04B7DF48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0.06</w:t>
            </w:r>
          </w:p>
        </w:tc>
      </w:tr>
      <w:tr w:rsidR="0034719B" w:rsidRPr="0034719B" w14:paraId="22F5FA65" w14:textId="77777777" w:rsidTr="000A2DBF">
        <w:trPr>
          <w:trHeight w:val="313"/>
        </w:trPr>
        <w:tc>
          <w:tcPr>
            <w:tcW w:w="2084" w:type="dxa"/>
            <w:noWrap/>
            <w:vAlign w:val="center"/>
            <w:hideMark/>
          </w:tcPr>
          <w:p w14:paraId="44AF935A" w14:textId="40E80892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Fat yield, kg/d</w:t>
            </w:r>
          </w:p>
        </w:tc>
        <w:tc>
          <w:tcPr>
            <w:tcW w:w="595" w:type="dxa"/>
            <w:noWrap/>
            <w:vAlign w:val="center"/>
            <w:hideMark/>
          </w:tcPr>
          <w:p w14:paraId="1EB4B1B3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0.77</w:t>
            </w:r>
          </w:p>
        </w:tc>
        <w:tc>
          <w:tcPr>
            <w:tcW w:w="643" w:type="dxa"/>
            <w:noWrap/>
            <w:vAlign w:val="center"/>
            <w:hideMark/>
          </w:tcPr>
          <w:p w14:paraId="1511D6E1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0.78</w:t>
            </w:r>
          </w:p>
        </w:tc>
        <w:tc>
          <w:tcPr>
            <w:tcW w:w="643" w:type="dxa"/>
            <w:noWrap/>
            <w:vAlign w:val="center"/>
            <w:hideMark/>
          </w:tcPr>
          <w:p w14:paraId="686D27B7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0.79</w:t>
            </w:r>
          </w:p>
        </w:tc>
        <w:tc>
          <w:tcPr>
            <w:tcW w:w="594" w:type="dxa"/>
            <w:noWrap/>
            <w:vAlign w:val="center"/>
            <w:hideMark/>
          </w:tcPr>
          <w:p w14:paraId="3E99773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0.79</w:t>
            </w:r>
          </w:p>
        </w:tc>
        <w:tc>
          <w:tcPr>
            <w:tcW w:w="593" w:type="dxa"/>
            <w:noWrap/>
            <w:vAlign w:val="center"/>
            <w:hideMark/>
          </w:tcPr>
          <w:p w14:paraId="20803E3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639" w:type="dxa"/>
            <w:noWrap/>
            <w:vAlign w:val="center"/>
            <w:hideMark/>
          </w:tcPr>
          <w:p w14:paraId="72E0BD9E" w14:textId="41A3D44F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0.8</w:t>
            </w:r>
            <w:r w:rsidR="001B4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622" w:type="dxa"/>
            <w:noWrap/>
            <w:vAlign w:val="center"/>
            <w:hideMark/>
          </w:tcPr>
          <w:p w14:paraId="32D74239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0.77</w:t>
            </w:r>
          </w:p>
        </w:tc>
        <w:tc>
          <w:tcPr>
            <w:tcW w:w="593" w:type="dxa"/>
            <w:noWrap/>
            <w:vAlign w:val="center"/>
            <w:hideMark/>
          </w:tcPr>
          <w:p w14:paraId="071446D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543" w:type="dxa"/>
            <w:noWrap/>
            <w:vAlign w:val="center"/>
            <w:hideMark/>
          </w:tcPr>
          <w:p w14:paraId="2FEF9B66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0.63</w:t>
            </w:r>
          </w:p>
        </w:tc>
        <w:tc>
          <w:tcPr>
            <w:tcW w:w="718" w:type="dxa"/>
            <w:noWrap/>
            <w:vAlign w:val="center"/>
            <w:hideMark/>
          </w:tcPr>
          <w:p w14:paraId="16296F59" w14:textId="32EAAF41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&lt;0.01</w:t>
            </w:r>
          </w:p>
        </w:tc>
        <w:tc>
          <w:tcPr>
            <w:tcW w:w="795" w:type="dxa"/>
            <w:vAlign w:val="center"/>
            <w:hideMark/>
          </w:tcPr>
          <w:p w14:paraId="4EA17442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0.48</w:t>
            </w:r>
          </w:p>
        </w:tc>
      </w:tr>
      <w:tr w:rsidR="0034719B" w:rsidRPr="0034719B" w14:paraId="42ECD4C1" w14:textId="77777777" w:rsidTr="000A2DBF">
        <w:trPr>
          <w:trHeight w:val="313"/>
        </w:trPr>
        <w:tc>
          <w:tcPr>
            <w:tcW w:w="2084" w:type="dxa"/>
            <w:noWrap/>
            <w:vAlign w:val="center"/>
            <w:hideMark/>
          </w:tcPr>
          <w:p w14:paraId="5193B62E" w14:textId="3AD050F2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Protein yield, kg/d</w:t>
            </w:r>
          </w:p>
        </w:tc>
        <w:tc>
          <w:tcPr>
            <w:tcW w:w="595" w:type="dxa"/>
            <w:noWrap/>
            <w:vAlign w:val="center"/>
            <w:hideMark/>
          </w:tcPr>
          <w:p w14:paraId="2AC0D31C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  <w:tc>
          <w:tcPr>
            <w:tcW w:w="643" w:type="dxa"/>
            <w:noWrap/>
            <w:vAlign w:val="center"/>
            <w:hideMark/>
          </w:tcPr>
          <w:p w14:paraId="426FAF31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0.61</w:t>
            </w:r>
          </w:p>
        </w:tc>
        <w:tc>
          <w:tcPr>
            <w:tcW w:w="643" w:type="dxa"/>
            <w:noWrap/>
            <w:vAlign w:val="center"/>
            <w:hideMark/>
          </w:tcPr>
          <w:p w14:paraId="51A0B25B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0.63</w:t>
            </w:r>
          </w:p>
        </w:tc>
        <w:tc>
          <w:tcPr>
            <w:tcW w:w="594" w:type="dxa"/>
            <w:noWrap/>
            <w:vAlign w:val="center"/>
            <w:hideMark/>
          </w:tcPr>
          <w:p w14:paraId="1CE738C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  <w:tc>
          <w:tcPr>
            <w:tcW w:w="593" w:type="dxa"/>
            <w:noWrap/>
            <w:vAlign w:val="center"/>
            <w:hideMark/>
          </w:tcPr>
          <w:p w14:paraId="6D7B1851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639" w:type="dxa"/>
            <w:noWrap/>
            <w:vAlign w:val="center"/>
            <w:hideMark/>
          </w:tcPr>
          <w:p w14:paraId="2660C155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0.63</w:t>
            </w:r>
          </w:p>
        </w:tc>
        <w:tc>
          <w:tcPr>
            <w:tcW w:w="622" w:type="dxa"/>
            <w:noWrap/>
            <w:vAlign w:val="center"/>
            <w:hideMark/>
          </w:tcPr>
          <w:p w14:paraId="68E58E8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  <w:tc>
          <w:tcPr>
            <w:tcW w:w="593" w:type="dxa"/>
            <w:noWrap/>
            <w:vAlign w:val="center"/>
            <w:hideMark/>
          </w:tcPr>
          <w:p w14:paraId="499AABA9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543" w:type="dxa"/>
            <w:noWrap/>
            <w:vAlign w:val="center"/>
            <w:hideMark/>
          </w:tcPr>
          <w:p w14:paraId="4DB85693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0.13</w:t>
            </w:r>
          </w:p>
        </w:tc>
        <w:tc>
          <w:tcPr>
            <w:tcW w:w="718" w:type="dxa"/>
            <w:noWrap/>
            <w:vAlign w:val="center"/>
            <w:hideMark/>
          </w:tcPr>
          <w:p w14:paraId="33DE199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0.05</w:t>
            </w:r>
          </w:p>
        </w:tc>
        <w:tc>
          <w:tcPr>
            <w:tcW w:w="795" w:type="dxa"/>
            <w:vAlign w:val="center"/>
            <w:hideMark/>
          </w:tcPr>
          <w:p w14:paraId="6A89C8E4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0.71</w:t>
            </w:r>
          </w:p>
        </w:tc>
      </w:tr>
      <w:tr w:rsidR="0034719B" w:rsidRPr="0034719B" w14:paraId="51C6F037" w14:textId="77777777" w:rsidTr="000A2DBF">
        <w:trPr>
          <w:trHeight w:val="313"/>
        </w:trPr>
        <w:tc>
          <w:tcPr>
            <w:tcW w:w="2084" w:type="dxa"/>
            <w:noWrap/>
            <w:vAlign w:val="center"/>
            <w:hideMark/>
          </w:tcPr>
          <w:p w14:paraId="12AAC89B" w14:textId="0584A04B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Lactose yield, kg/d</w:t>
            </w:r>
          </w:p>
        </w:tc>
        <w:tc>
          <w:tcPr>
            <w:tcW w:w="595" w:type="dxa"/>
            <w:noWrap/>
            <w:vAlign w:val="center"/>
            <w:hideMark/>
          </w:tcPr>
          <w:p w14:paraId="3CDEA9A4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0.64</w:t>
            </w:r>
          </w:p>
        </w:tc>
        <w:tc>
          <w:tcPr>
            <w:tcW w:w="643" w:type="dxa"/>
            <w:noWrap/>
            <w:vAlign w:val="center"/>
            <w:hideMark/>
          </w:tcPr>
          <w:p w14:paraId="451ECF6C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  <w:tc>
          <w:tcPr>
            <w:tcW w:w="643" w:type="dxa"/>
            <w:noWrap/>
            <w:vAlign w:val="center"/>
            <w:hideMark/>
          </w:tcPr>
          <w:p w14:paraId="4A0829B7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0.64</w:t>
            </w:r>
          </w:p>
        </w:tc>
        <w:tc>
          <w:tcPr>
            <w:tcW w:w="594" w:type="dxa"/>
            <w:noWrap/>
            <w:vAlign w:val="center"/>
            <w:hideMark/>
          </w:tcPr>
          <w:p w14:paraId="36353643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  <w:tc>
          <w:tcPr>
            <w:tcW w:w="593" w:type="dxa"/>
            <w:noWrap/>
            <w:vAlign w:val="center"/>
            <w:hideMark/>
          </w:tcPr>
          <w:p w14:paraId="326F6795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639" w:type="dxa"/>
            <w:noWrap/>
            <w:vAlign w:val="center"/>
            <w:hideMark/>
          </w:tcPr>
          <w:p w14:paraId="76E57E4A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  <w:tc>
          <w:tcPr>
            <w:tcW w:w="622" w:type="dxa"/>
            <w:noWrap/>
            <w:vAlign w:val="center"/>
            <w:hideMark/>
          </w:tcPr>
          <w:p w14:paraId="5D2AE1CE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0.64</w:t>
            </w:r>
          </w:p>
        </w:tc>
        <w:tc>
          <w:tcPr>
            <w:tcW w:w="593" w:type="dxa"/>
            <w:noWrap/>
            <w:vAlign w:val="center"/>
            <w:hideMark/>
          </w:tcPr>
          <w:p w14:paraId="51257EAA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543" w:type="dxa"/>
            <w:noWrap/>
            <w:vAlign w:val="center"/>
            <w:hideMark/>
          </w:tcPr>
          <w:p w14:paraId="26793001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0.23</w:t>
            </w:r>
          </w:p>
        </w:tc>
        <w:tc>
          <w:tcPr>
            <w:tcW w:w="718" w:type="dxa"/>
            <w:noWrap/>
            <w:vAlign w:val="center"/>
            <w:hideMark/>
          </w:tcPr>
          <w:p w14:paraId="12334D97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795" w:type="dxa"/>
            <w:vAlign w:val="center"/>
            <w:hideMark/>
          </w:tcPr>
          <w:p w14:paraId="5534484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0.65</w:t>
            </w:r>
          </w:p>
        </w:tc>
      </w:tr>
      <w:tr w:rsidR="0034719B" w:rsidRPr="0034719B" w14:paraId="395DE0B6" w14:textId="77777777" w:rsidTr="000A2DBF">
        <w:trPr>
          <w:trHeight w:val="313"/>
        </w:trPr>
        <w:tc>
          <w:tcPr>
            <w:tcW w:w="20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FA4EF0" w14:textId="53A02120" w:rsidR="00AF7C26" w:rsidRPr="00B55207" w:rsidRDefault="00AF7C26" w:rsidP="000A2D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Milk solids yield, kg/d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B328AD" w14:textId="1EE439B6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1.4</w:t>
            </w:r>
            <w:r w:rsid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2C465F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1.39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9475F7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1.42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7E5B33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1.42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7D7E88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0.02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6BFA6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1.44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730B54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1.38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86665D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0.01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11D740" w14:textId="4E6CAA8C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</w:t>
            </w:r>
            <w:r w:rsid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7B8772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&lt;0.01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  <w:hideMark/>
          </w:tcPr>
          <w:p w14:paraId="3B07E80C" w14:textId="77777777" w:rsidR="00AF7C26" w:rsidRPr="00B55207" w:rsidRDefault="00AF7C26" w:rsidP="000A2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</w:pPr>
            <w:r w:rsidRPr="00B552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E"/>
              </w:rPr>
              <w:t>0.62</w:t>
            </w:r>
          </w:p>
        </w:tc>
      </w:tr>
    </w:tbl>
    <w:p w14:paraId="610A0C4E" w14:textId="240E077F" w:rsidR="00470C30" w:rsidRPr="000A2DBF" w:rsidRDefault="00AF7C26" w:rsidP="000A2DBF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0A2DB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0A2DBF">
        <w:rPr>
          <w:rFonts w:ascii="Times New Roman" w:hAnsi="Times New Roman" w:cs="Times New Roman"/>
          <w:sz w:val="16"/>
          <w:szCs w:val="16"/>
        </w:rPr>
        <w:t xml:space="preserve">Dietary treatments </w:t>
      </w:r>
      <w:r w:rsidR="00470C30" w:rsidRPr="000A2DBF">
        <w:rPr>
          <w:rFonts w:ascii="Times New Roman" w:hAnsi="Times New Roman" w:cs="Times New Roman"/>
          <w:sz w:val="16"/>
          <w:szCs w:val="16"/>
        </w:rPr>
        <w:t xml:space="preserve">(DT) </w:t>
      </w:r>
      <w:r w:rsidRPr="000A2DBF">
        <w:rPr>
          <w:rFonts w:ascii="Times New Roman" w:hAnsi="Times New Roman" w:cs="Times New Roman"/>
          <w:sz w:val="16"/>
          <w:szCs w:val="16"/>
        </w:rPr>
        <w:t xml:space="preserve">consisted of supplemental concentrates with decreasing crude protein </w:t>
      </w:r>
      <w:r w:rsidR="00EB448A">
        <w:rPr>
          <w:rFonts w:ascii="Times New Roman" w:hAnsi="Times New Roman" w:cs="Times New Roman"/>
          <w:sz w:val="16"/>
          <w:szCs w:val="16"/>
        </w:rPr>
        <w:t>concentrations</w:t>
      </w:r>
      <w:r w:rsidRPr="000A2DBF">
        <w:rPr>
          <w:rFonts w:ascii="Times New Roman" w:hAnsi="Times New Roman" w:cs="Times New Roman"/>
          <w:sz w:val="16"/>
          <w:szCs w:val="16"/>
        </w:rPr>
        <w:t>: H) 170 g/kg of DM; M) 130 g/kg of DM; L) 95 g/kg of DM; or LAA) 95 g/kg of DM w</w:t>
      </w:r>
      <w:r w:rsidR="00470C30" w:rsidRPr="000A2DBF">
        <w:rPr>
          <w:rFonts w:ascii="Times New Roman" w:hAnsi="Times New Roman" w:cs="Times New Roman"/>
          <w:sz w:val="16"/>
          <w:szCs w:val="16"/>
        </w:rPr>
        <w:t>ith rumen-protected amino acids.</w:t>
      </w:r>
      <w:r w:rsidR="00470C30" w:rsidRPr="000A2DBF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470C30" w:rsidRPr="000A2DBF">
        <w:rPr>
          <w:rFonts w:ascii="Times New Roman" w:hAnsi="Times New Roman" w:cs="Times New Roman"/>
          <w:sz w:val="16"/>
          <w:szCs w:val="16"/>
        </w:rPr>
        <w:t xml:space="preserve">Genetic groups (GG) were divergent in Economic Breeding Index (EBI) with high (HEBI) and low (LEBI) </w:t>
      </w:r>
      <w:r w:rsidR="00EB448A">
        <w:rPr>
          <w:rFonts w:ascii="Times New Roman" w:hAnsi="Times New Roman" w:cs="Times New Roman"/>
          <w:sz w:val="16"/>
          <w:szCs w:val="16"/>
        </w:rPr>
        <w:t>sub-</w:t>
      </w:r>
      <w:r w:rsidR="00470C30" w:rsidRPr="000A2DBF">
        <w:rPr>
          <w:rFonts w:ascii="Times New Roman" w:hAnsi="Times New Roman" w:cs="Times New Roman"/>
          <w:sz w:val="16"/>
          <w:szCs w:val="16"/>
        </w:rPr>
        <w:t>groups</w:t>
      </w:r>
    </w:p>
    <w:p w14:paraId="0C5540D8" w14:textId="77777777" w:rsidR="00BF0C7C" w:rsidRDefault="00BF0C7C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F8B6E" w14:textId="5B6D54A6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D8">
        <w:rPr>
          <w:rFonts w:ascii="Times New Roman" w:hAnsi="Times New Roman" w:cs="Times New Roman"/>
          <w:b/>
          <w:sz w:val="24"/>
          <w:szCs w:val="24"/>
        </w:rPr>
        <w:t>Conclusions</w:t>
      </w:r>
    </w:p>
    <w:p w14:paraId="3904C37E" w14:textId="6F72D97A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D8">
        <w:rPr>
          <w:rFonts w:ascii="Times New Roman" w:hAnsi="Times New Roman" w:cs="Times New Roman"/>
          <w:sz w:val="24"/>
          <w:szCs w:val="24"/>
        </w:rPr>
        <w:t xml:space="preserve">Reducing </w:t>
      </w:r>
      <w:r w:rsidR="00326561">
        <w:rPr>
          <w:rFonts w:ascii="Times New Roman" w:hAnsi="Times New Roman" w:cs="Times New Roman"/>
          <w:sz w:val="24"/>
          <w:szCs w:val="24"/>
        </w:rPr>
        <w:t xml:space="preserve">the </w:t>
      </w:r>
      <w:r w:rsidRPr="002108D8">
        <w:rPr>
          <w:rFonts w:ascii="Times New Roman" w:hAnsi="Times New Roman" w:cs="Times New Roman"/>
          <w:sz w:val="24"/>
          <w:szCs w:val="24"/>
        </w:rPr>
        <w:t xml:space="preserve">CP </w:t>
      </w:r>
      <w:r w:rsidR="00326561">
        <w:rPr>
          <w:rFonts w:ascii="Times New Roman" w:hAnsi="Times New Roman" w:cs="Times New Roman"/>
          <w:sz w:val="24"/>
          <w:szCs w:val="24"/>
        </w:rPr>
        <w:t xml:space="preserve">concentration of </w:t>
      </w:r>
      <w:r w:rsidRPr="002108D8">
        <w:rPr>
          <w:rFonts w:ascii="Times New Roman" w:hAnsi="Times New Roman" w:cs="Times New Roman"/>
          <w:sz w:val="24"/>
          <w:szCs w:val="24"/>
        </w:rPr>
        <w:t>supplementary concentrates below 17</w:t>
      </w:r>
      <w:r w:rsidR="006615D6">
        <w:rPr>
          <w:rFonts w:ascii="Times New Roman" w:hAnsi="Times New Roman" w:cs="Times New Roman"/>
          <w:sz w:val="24"/>
          <w:szCs w:val="24"/>
        </w:rPr>
        <w:t>0 g/kg of DM</w:t>
      </w:r>
      <w:r w:rsidRPr="002108D8">
        <w:rPr>
          <w:rFonts w:ascii="Times New Roman" w:hAnsi="Times New Roman" w:cs="Times New Roman"/>
          <w:sz w:val="24"/>
          <w:szCs w:val="24"/>
        </w:rPr>
        <w:t xml:space="preserve"> did not </w:t>
      </w:r>
      <w:r w:rsidR="00326561">
        <w:rPr>
          <w:rFonts w:ascii="Times New Roman" w:hAnsi="Times New Roman" w:cs="Times New Roman"/>
          <w:sz w:val="24"/>
          <w:szCs w:val="24"/>
        </w:rPr>
        <w:t>reduce</w:t>
      </w:r>
      <w:r w:rsidR="00326561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Pr="002108D8">
        <w:rPr>
          <w:rFonts w:ascii="Times New Roman" w:hAnsi="Times New Roman" w:cs="Times New Roman"/>
          <w:sz w:val="24"/>
          <w:szCs w:val="24"/>
        </w:rPr>
        <w:t>milk production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="002243F3" w:rsidRPr="00055984">
        <w:rPr>
          <w:rFonts w:ascii="Times New Roman" w:hAnsi="Times New Roman" w:cs="Times New Roman"/>
          <w:sz w:val="24"/>
          <w:szCs w:val="24"/>
        </w:rPr>
        <w:t>in late-lactation grazing dairy cows</w:t>
      </w:r>
      <w:r w:rsidR="00326561">
        <w:rPr>
          <w:rFonts w:ascii="Times New Roman" w:hAnsi="Times New Roman" w:cs="Times New Roman"/>
          <w:sz w:val="24"/>
          <w:szCs w:val="24"/>
        </w:rPr>
        <w:t>.</w:t>
      </w:r>
      <w:r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="00663D41">
        <w:rPr>
          <w:rFonts w:ascii="Times New Roman" w:hAnsi="Times New Roman" w:cs="Times New Roman"/>
          <w:sz w:val="24"/>
          <w:szCs w:val="24"/>
        </w:rPr>
        <w:t>Low CP concentrates</w:t>
      </w:r>
      <w:r w:rsidR="00326561">
        <w:rPr>
          <w:rFonts w:ascii="Times New Roman" w:hAnsi="Times New Roman" w:cs="Times New Roman"/>
          <w:sz w:val="24"/>
          <w:szCs w:val="24"/>
        </w:rPr>
        <w:t xml:space="preserve"> can potentially reduce nitrogen intake, urinary nitrogen excretion and nitrate leaching</w:t>
      </w:r>
      <w:r w:rsidR="00663D41">
        <w:rPr>
          <w:rFonts w:ascii="Times New Roman" w:hAnsi="Times New Roman" w:cs="Times New Roman"/>
          <w:sz w:val="24"/>
          <w:szCs w:val="24"/>
        </w:rPr>
        <w:t xml:space="preserve"> during autumn without reducing animal performance</w:t>
      </w:r>
      <w:r w:rsidRPr="002108D8">
        <w:rPr>
          <w:rFonts w:ascii="Times New Roman" w:hAnsi="Times New Roman" w:cs="Times New Roman"/>
          <w:sz w:val="24"/>
          <w:szCs w:val="24"/>
        </w:rPr>
        <w:t xml:space="preserve">. </w:t>
      </w:r>
      <w:r w:rsidR="00326561">
        <w:rPr>
          <w:rFonts w:ascii="Times New Roman" w:hAnsi="Times New Roman" w:cs="Times New Roman"/>
          <w:sz w:val="24"/>
          <w:szCs w:val="24"/>
        </w:rPr>
        <w:t>S</w:t>
      </w:r>
      <w:r w:rsidR="002243F3" w:rsidRPr="00055984">
        <w:rPr>
          <w:rFonts w:ascii="Times New Roman" w:hAnsi="Times New Roman" w:cs="Times New Roman"/>
          <w:sz w:val="24"/>
          <w:szCs w:val="24"/>
        </w:rPr>
        <w:t xml:space="preserve">upplementation with </w:t>
      </w:r>
      <w:r w:rsidR="00EB448A">
        <w:rPr>
          <w:rFonts w:ascii="Times New Roman" w:hAnsi="Times New Roman" w:cs="Times New Roman"/>
          <w:sz w:val="24"/>
          <w:szCs w:val="24"/>
        </w:rPr>
        <w:t>rumen-protected amino acids</w:t>
      </w:r>
      <w:r w:rsidR="00EB448A" w:rsidRPr="00055984">
        <w:rPr>
          <w:rFonts w:ascii="Times New Roman" w:hAnsi="Times New Roman" w:cs="Times New Roman"/>
          <w:sz w:val="24"/>
          <w:szCs w:val="24"/>
        </w:rPr>
        <w:t xml:space="preserve"> </w:t>
      </w:r>
      <w:r w:rsidR="00326561">
        <w:rPr>
          <w:rFonts w:ascii="Times New Roman" w:hAnsi="Times New Roman" w:cs="Times New Roman"/>
          <w:sz w:val="24"/>
          <w:szCs w:val="24"/>
        </w:rPr>
        <w:t>had no major effect on</w:t>
      </w:r>
      <w:r w:rsidR="002243F3" w:rsidRPr="00055984">
        <w:rPr>
          <w:rFonts w:ascii="Times New Roman" w:hAnsi="Times New Roman" w:cs="Times New Roman"/>
          <w:sz w:val="24"/>
          <w:szCs w:val="24"/>
        </w:rPr>
        <w:t xml:space="preserve"> milk production</w:t>
      </w:r>
      <w:r w:rsidR="00326561">
        <w:rPr>
          <w:rFonts w:ascii="Times New Roman" w:hAnsi="Times New Roman" w:cs="Times New Roman"/>
          <w:sz w:val="24"/>
          <w:szCs w:val="24"/>
        </w:rPr>
        <w:t>, likely reflecting the reduced amino acid requirements of late-lactation cows</w:t>
      </w:r>
      <w:r w:rsidR="002243F3" w:rsidRPr="00055984">
        <w:rPr>
          <w:rFonts w:ascii="Times New Roman" w:hAnsi="Times New Roman" w:cs="Times New Roman"/>
          <w:sz w:val="24"/>
          <w:szCs w:val="24"/>
        </w:rPr>
        <w:t>.</w:t>
      </w:r>
      <w:r w:rsidR="002243F3">
        <w:rPr>
          <w:rFonts w:ascii="Times New Roman" w:hAnsi="Times New Roman" w:cs="Times New Roman"/>
          <w:sz w:val="24"/>
          <w:szCs w:val="24"/>
        </w:rPr>
        <w:t xml:space="preserve"> </w:t>
      </w:r>
      <w:r w:rsidRPr="002108D8">
        <w:rPr>
          <w:rFonts w:ascii="Times New Roman" w:hAnsi="Times New Roman" w:cs="Times New Roman"/>
          <w:sz w:val="24"/>
          <w:szCs w:val="24"/>
        </w:rPr>
        <w:t>The</w:t>
      </w:r>
      <w:r w:rsidR="00326561">
        <w:rPr>
          <w:rFonts w:ascii="Times New Roman" w:hAnsi="Times New Roman" w:cs="Times New Roman"/>
          <w:sz w:val="24"/>
          <w:szCs w:val="24"/>
        </w:rPr>
        <w:t xml:space="preserve"> overall outcomes of this experiment were consistent across cows of divergent genetic merit</w:t>
      </w:r>
      <w:r w:rsidR="00663D41">
        <w:rPr>
          <w:rFonts w:ascii="Times New Roman" w:hAnsi="Times New Roman" w:cs="Times New Roman"/>
          <w:sz w:val="24"/>
          <w:szCs w:val="24"/>
        </w:rPr>
        <w:t>,</w:t>
      </w:r>
      <w:r w:rsidR="00326561">
        <w:rPr>
          <w:rFonts w:ascii="Times New Roman" w:hAnsi="Times New Roman" w:cs="Times New Roman"/>
          <w:sz w:val="24"/>
          <w:szCs w:val="24"/>
        </w:rPr>
        <w:t xml:space="preserve"> with cows</w:t>
      </w:r>
      <w:r w:rsidR="00326561" w:rsidRPr="002108D8">
        <w:rPr>
          <w:rFonts w:ascii="Times New Roman" w:hAnsi="Times New Roman" w:cs="Times New Roman"/>
          <w:sz w:val="24"/>
          <w:szCs w:val="24"/>
        </w:rPr>
        <w:t xml:space="preserve"> </w:t>
      </w:r>
      <w:r w:rsidRPr="002108D8">
        <w:rPr>
          <w:rFonts w:ascii="Times New Roman" w:hAnsi="Times New Roman" w:cs="Times New Roman"/>
          <w:sz w:val="24"/>
          <w:szCs w:val="24"/>
        </w:rPr>
        <w:t xml:space="preserve">of HEBI </w:t>
      </w:r>
      <w:r w:rsidR="00326561">
        <w:rPr>
          <w:rFonts w:ascii="Times New Roman" w:hAnsi="Times New Roman" w:cs="Times New Roman"/>
          <w:sz w:val="24"/>
          <w:szCs w:val="24"/>
        </w:rPr>
        <w:t>outperforming cows of low EBI</w:t>
      </w:r>
      <w:r w:rsidRPr="002108D8">
        <w:rPr>
          <w:rFonts w:ascii="Times New Roman" w:hAnsi="Times New Roman" w:cs="Times New Roman"/>
          <w:sz w:val="24"/>
          <w:szCs w:val="24"/>
        </w:rPr>
        <w:t>.</w:t>
      </w:r>
    </w:p>
    <w:p w14:paraId="06CC8C06" w14:textId="77777777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46E16" w14:textId="77777777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D8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14:paraId="40A02CC4" w14:textId="1F825503" w:rsidR="002108D8" w:rsidRPr="002108D8" w:rsidRDefault="002108D8" w:rsidP="002108D8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D8">
        <w:rPr>
          <w:rFonts w:ascii="Times New Roman" w:hAnsi="Times New Roman" w:cs="Times New Roman"/>
          <w:sz w:val="24"/>
          <w:szCs w:val="24"/>
        </w:rPr>
        <w:t>Funded by the Department of Agriculture, Food and the Marine’s Competitive Research Funding Programme (2021R482</w:t>
      </w:r>
      <w:r w:rsidR="00663D41">
        <w:rPr>
          <w:rFonts w:ascii="Times New Roman" w:hAnsi="Times New Roman" w:cs="Times New Roman"/>
          <w:sz w:val="24"/>
          <w:szCs w:val="24"/>
        </w:rPr>
        <w:t xml:space="preserve">; </w:t>
      </w:r>
      <w:r w:rsidR="00852BDC">
        <w:rPr>
          <w:rFonts w:ascii="Times New Roman" w:hAnsi="Times New Roman" w:cs="Times New Roman"/>
          <w:sz w:val="24"/>
          <w:szCs w:val="24"/>
        </w:rPr>
        <w:t>PASTURE-NUE</w:t>
      </w:r>
      <w:r w:rsidRPr="002108D8">
        <w:rPr>
          <w:rFonts w:ascii="Times New Roman" w:hAnsi="Times New Roman" w:cs="Times New Roman"/>
          <w:sz w:val="24"/>
          <w:szCs w:val="24"/>
        </w:rPr>
        <w:t>).</w:t>
      </w:r>
    </w:p>
    <w:p w14:paraId="6AC7F8FC" w14:textId="77777777" w:rsidR="002108D8" w:rsidRPr="00B47E63" w:rsidRDefault="002108D8" w:rsidP="00BC1A1E">
      <w:pPr>
        <w:suppressAutoHyphens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CC7B4" w14:textId="77777777" w:rsidR="00A90ECF" w:rsidRPr="00E17EC5" w:rsidRDefault="00BC1A1E" w:rsidP="00A90ECF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C5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6DDE1CB" w14:textId="7E16C42F" w:rsidR="00B35EFC" w:rsidRPr="00E17EC5" w:rsidRDefault="00B35EFC" w:rsidP="00B35EF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EC5">
        <w:rPr>
          <w:rFonts w:ascii="Times New Roman" w:hAnsi="Times New Roman" w:cs="Times New Roman"/>
          <w:sz w:val="24"/>
          <w:szCs w:val="24"/>
        </w:rPr>
        <w:lastRenderedPageBreak/>
        <w:t>Bargo</w:t>
      </w:r>
      <w:proofErr w:type="spellEnd"/>
      <w:r w:rsidRPr="00E17EC5">
        <w:rPr>
          <w:rFonts w:ascii="Times New Roman" w:hAnsi="Times New Roman" w:cs="Times New Roman"/>
          <w:sz w:val="24"/>
          <w:szCs w:val="24"/>
        </w:rPr>
        <w:t xml:space="preserve">, F., Muller, L., </w:t>
      </w:r>
      <w:proofErr w:type="spellStart"/>
      <w:r w:rsidRPr="00E17EC5">
        <w:rPr>
          <w:rFonts w:ascii="Times New Roman" w:hAnsi="Times New Roman" w:cs="Times New Roman"/>
          <w:sz w:val="24"/>
          <w:szCs w:val="24"/>
        </w:rPr>
        <w:t>Kolver</w:t>
      </w:r>
      <w:proofErr w:type="spellEnd"/>
      <w:r w:rsidRPr="00E17EC5">
        <w:rPr>
          <w:rFonts w:ascii="Times New Roman" w:hAnsi="Times New Roman" w:cs="Times New Roman"/>
          <w:sz w:val="24"/>
          <w:szCs w:val="24"/>
        </w:rPr>
        <w:t xml:space="preserve">, E., </w:t>
      </w:r>
      <w:r w:rsidR="008604D1" w:rsidRPr="00E17EC5">
        <w:rPr>
          <w:rFonts w:ascii="Times New Roman" w:hAnsi="Times New Roman" w:cs="Times New Roman"/>
          <w:sz w:val="24"/>
          <w:szCs w:val="24"/>
        </w:rPr>
        <w:t>&amp;</w:t>
      </w:r>
      <w:r w:rsidRPr="00E1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EC5">
        <w:rPr>
          <w:rFonts w:ascii="Times New Roman" w:hAnsi="Times New Roman" w:cs="Times New Roman"/>
          <w:sz w:val="24"/>
          <w:szCs w:val="24"/>
        </w:rPr>
        <w:t>Delahoy</w:t>
      </w:r>
      <w:proofErr w:type="spellEnd"/>
      <w:r w:rsidRPr="00E17EC5">
        <w:rPr>
          <w:rFonts w:ascii="Times New Roman" w:hAnsi="Times New Roman" w:cs="Times New Roman"/>
          <w:sz w:val="24"/>
          <w:szCs w:val="24"/>
        </w:rPr>
        <w:t xml:space="preserve">, J. </w:t>
      </w:r>
      <w:r w:rsidR="008604D1" w:rsidRPr="00E17EC5">
        <w:rPr>
          <w:rFonts w:ascii="Times New Roman" w:hAnsi="Times New Roman" w:cs="Times New Roman"/>
          <w:sz w:val="24"/>
          <w:szCs w:val="24"/>
        </w:rPr>
        <w:t>(</w:t>
      </w:r>
      <w:r w:rsidRPr="00E17EC5">
        <w:rPr>
          <w:rFonts w:ascii="Times New Roman" w:hAnsi="Times New Roman" w:cs="Times New Roman"/>
          <w:sz w:val="24"/>
          <w:szCs w:val="24"/>
        </w:rPr>
        <w:t>2003</w:t>
      </w:r>
      <w:r w:rsidR="008604D1" w:rsidRPr="00E17EC5">
        <w:rPr>
          <w:rFonts w:ascii="Times New Roman" w:hAnsi="Times New Roman" w:cs="Times New Roman"/>
          <w:sz w:val="24"/>
          <w:szCs w:val="24"/>
        </w:rPr>
        <w:t>)</w:t>
      </w:r>
      <w:r w:rsidRPr="00E17EC5">
        <w:rPr>
          <w:rFonts w:ascii="Times New Roman" w:hAnsi="Times New Roman" w:cs="Times New Roman"/>
          <w:sz w:val="24"/>
          <w:szCs w:val="24"/>
        </w:rPr>
        <w:t xml:space="preserve">. Invited review: Production and digestion of supplemented dairy cows on pasture. Journal of dairy science, 86(1), 1-42. </w:t>
      </w:r>
    </w:p>
    <w:p w14:paraId="692C0D4C" w14:textId="02227A35" w:rsidR="00B35EFC" w:rsidRPr="00E17EC5" w:rsidRDefault="00B35EFC" w:rsidP="00B35EF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EC5">
        <w:rPr>
          <w:rFonts w:ascii="Times New Roman" w:hAnsi="Times New Roman" w:cs="Times New Roman"/>
          <w:sz w:val="24"/>
          <w:szCs w:val="24"/>
        </w:rPr>
        <w:t>Ipharraguerre</w:t>
      </w:r>
      <w:proofErr w:type="spellEnd"/>
      <w:r w:rsidRPr="00E17EC5">
        <w:rPr>
          <w:rFonts w:ascii="Times New Roman" w:hAnsi="Times New Roman" w:cs="Times New Roman"/>
          <w:sz w:val="24"/>
          <w:szCs w:val="24"/>
        </w:rPr>
        <w:t xml:space="preserve">, I. R., </w:t>
      </w:r>
      <w:r w:rsidR="008604D1" w:rsidRPr="00E17EC5">
        <w:rPr>
          <w:rFonts w:ascii="Times New Roman" w:hAnsi="Times New Roman" w:cs="Times New Roman"/>
          <w:sz w:val="24"/>
          <w:szCs w:val="24"/>
        </w:rPr>
        <w:t>&amp;</w:t>
      </w:r>
      <w:r w:rsidRPr="00E17EC5">
        <w:rPr>
          <w:rFonts w:ascii="Times New Roman" w:hAnsi="Times New Roman" w:cs="Times New Roman"/>
          <w:sz w:val="24"/>
          <w:szCs w:val="24"/>
        </w:rPr>
        <w:t xml:space="preserve"> Clark, J. H. </w:t>
      </w:r>
      <w:r w:rsidR="008604D1" w:rsidRPr="00E17EC5">
        <w:rPr>
          <w:rFonts w:ascii="Times New Roman" w:hAnsi="Times New Roman" w:cs="Times New Roman"/>
          <w:sz w:val="24"/>
          <w:szCs w:val="24"/>
        </w:rPr>
        <w:t>(</w:t>
      </w:r>
      <w:r w:rsidRPr="00E17EC5">
        <w:rPr>
          <w:rFonts w:ascii="Times New Roman" w:hAnsi="Times New Roman" w:cs="Times New Roman"/>
          <w:sz w:val="24"/>
          <w:szCs w:val="24"/>
        </w:rPr>
        <w:t>2005</w:t>
      </w:r>
      <w:r w:rsidR="008604D1" w:rsidRPr="00E17EC5">
        <w:rPr>
          <w:rFonts w:ascii="Times New Roman" w:hAnsi="Times New Roman" w:cs="Times New Roman"/>
          <w:sz w:val="24"/>
          <w:szCs w:val="24"/>
        </w:rPr>
        <w:t>)</w:t>
      </w:r>
      <w:r w:rsidRPr="00E17EC5">
        <w:rPr>
          <w:rFonts w:ascii="Times New Roman" w:hAnsi="Times New Roman" w:cs="Times New Roman"/>
          <w:sz w:val="24"/>
          <w:szCs w:val="24"/>
        </w:rPr>
        <w:t xml:space="preserve">. Impacts of the source and amount of crude protein on the intestinal supply of nitrogen fractions and performance of dairy cows. Journal of dairy science, 88, E22-E37. </w:t>
      </w:r>
    </w:p>
    <w:p w14:paraId="5A0713AB" w14:textId="2A1E4A5C" w:rsidR="00B35EFC" w:rsidRPr="00E17EC5" w:rsidRDefault="00B35EFC" w:rsidP="00B35EF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17EC5">
        <w:rPr>
          <w:rFonts w:ascii="Times New Roman" w:hAnsi="Times New Roman" w:cs="Times New Roman"/>
          <w:sz w:val="24"/>
          <w:szCs w:val="24"/>
        </w:rPr>
        <w:t xml:space="preserve">O'Sullivan, M., Horan, B., Pierce, K. M., McParland, S., O'Sullivan, K., </w:t>
      </w:r>
      <w:r w:rsidR="008604D1" w:rsidRPr="00E17EC5">
        <w:rPr>
          <w:rFonts w:ascii="Times New Roman" w:hAnsi="Times New Roman" w:cs="Times New Roman"/>
          <w:sz w:val="24"/>
          <w:szCs w:val="24"/>
        </w:rPr>
        <w:t>&amp;</w:t>
      </w:r>
      <w:r w:rsidRPr="00E17EC5">
        <w:rPr>
          <w:rFonts w:ascii="Times New Roman" w:hAnsi="Times New Roman" w:cs="Times New Roman"/>
          <w:sz w:val="24"/>
          <w:szCs w:val="24"/>
        </w:rPr>
        <w:t xml:space="preserve"> Buckley, F. </w:t>
      </w:r>
      <w:r w:rsidR="008604D1" w:rsidRPr="00E17EC5">
        <w:rPr>
          <w:rFonts w:ascii="Times New Roman" w:hAnsi="Times New Roman" w:cs="Times New Roman"/>
          <w:sz w:val="24"/>
          <w:szCs w:val="24"/>
        </w:rPr>
        <w:t>(</w:t>
      </w:r>
      <w:r w:rsidRPr="00E17EC5">
        <w:rPr>
          <w:rFonts w:ascii="Times New Roman" w:hAnsi="Times New Roman" w:cs="Times New Roman"/>
          <w:sz w:val="24"/>
          <w:szCs w:val="24"/>
        </w:rPr>
        <w:t>2019</w:t>
      </w:r>
      <w:r w:rsidR="008604D1" w:rsidRPr="00E17EC5">
        <w:rPr>
          <w:rFonts w:ascii="Times New Roman" w:hAnsi="Times New Roman" w:cs="Times New Roman"/>
          <w:sz w:val="24"/>
          <w:szCs w:val="24"/>
        </w:rPr>
        <w:t>)</w:t>
      </w:r>
      <w:r w:rsidRPr="00E17EC5">
        <w:rPr>
          <w:rFonts w:ascii="Times New Roman" w:hAnsi="Times New Roman" w:cs="Times New Roman"/>
          <w:sz w:val="24"/>
          <w:szCs w:val="24"/>
        </w:rPr>
        <w:t xml:space="preserve">. Milk production of Holstein-Friesian cows of divergent Economic Breeding Index evaluated under seasonal pasture-based management. Journal of dairy science, 102(3), 2560-2577. </w:t>
      </w:r>
    </w:p>
    <w:p w14:paraId="5C8A7903" w14:textId="0804DF32" w:rsidR="00B35EFC" w:rsidRPr="00E17EC5" w:rsidRDefault="00B35EFC" w:rsidP="00B35EF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EC5">
        <w:rPr>
          <w:rFonts w:ascii="Times New Roman" w:hAnsi="Times New Roman" w:cs="Times New Roman"/>
          <w:sz w:val="24"/>
          <w:szCs w:val="24"/>
        </w:rPr>
        <w:t>Selbie</w:t>
      </w:r>
      <w:proofErr w:type="spellEnd"/>
      <w:r w:rsidRPr="00E17EC5">
        <w:rPr>
          <w:rFonts w:ascii="Times New Roman" w:hAnsi="Times New Roman" w:cs="Times New Roman"/>
          <w:sz w:val="24"/>
          <w:szCs w:val="24"/>
        </w:rPr>
        <w:t xml:space="preserve">, D. R., </w:t>
      </w:r>
      <w:proofErr w:type="spellStart"/>
      <w:r w:rsidRPr="00E17EC5">
        <w:rPr>
          <w:rFonts w:ascii="Times New Roman" w:hAnsi="Times New Roman" w:cs="Times New Roman"/>
          <w:sz w:val="24"/>
          <w:szCs w:val="24"/>
        </w:rPr>
        <w:t>Buckthought</w:t>
      </w:r>
      <w:proofErr w:type="spellEnd"/>
      <w:r w:rsidRPr="00E17EC5">
        <w:rPr>
          <w:rFonts w:ascii="Times New Roman" w:hAnsi="Times New Roman" w:cs="Times New Roman"/>
          <w:sz w:val="24"/>
          <w:szCs w:val="24"/>
        </w:rPr>
        <w:t xml:space="preserve">, L. E., </w:t>
      </w:r>
      <w:r w:rsidR="008604D1" w:rsidRPr="00E17EC5">
        <w:rPr>
          <w:rFonts w:ascii="Times New Roman" w:hAnsi="Times New Roman" w:cs="Times New Roman"/>
          <w:sz w:val="24"/>
          <w:szCs w:val="24"/>
        </w:rPr>
        <w:t>&amp;</w:t>
      </w:r>
      <w:r w:rsidRPr="00E17EC5">
        <w:rPr>
          <w:rFonts w:ascii="Times New Roman" w:hAnsi="Times New Roman" w:cs="Times New Roman"/>
          <w:sz w:val="24"/>
          <w:szCs w:val="24"/>
        </w:rPr>
        <w:t xml:space="preserve"> Shepherd, M. A. </w:t>
      </w:r>
      <w:r w:rsidR="008604D1" w:rsidRPr="00E17EC5">
        <w:rPr>
          <w:rFonts w:ascii="Times New Roman" w:hAnsi="Times New Roman" w:cs="Times New Roman"/>
          <w:sz w:val="24"/>
          <w:szCs w:val="24"/>
        </w:rPr>
        <w:t>(</w:t>
      </w:r>
      <w:r w:rsidRPr="00E17EC5">
        <w:rPr>
          <w:rFonts w:ascii="Times New Roman" w:hAnsi="Times New Roman" w:cs="Times New Roman"/>
          <w:sz w:val="24"/>
          <w:szCs w:val="24"/>
        </w:rPr>
        <w:t>2015</w:t>
      </w:r>
      <w:r w:rsidR="008604D1" w:rsidRPr="00E17EC5">
        <w:rPr>
          <w:rFonts w:ascii="Times New Roman" w:hAnsi="Times New Roman" w:cs="Times New Roman"/>
          <w:sz w:val="24"/>
          <w:szCs w:val="24"/>
        </w:rPr>
        <w:t>)</w:t>
      </w:r>
      <w:r w:rsidRPr="00E17EC5">
        <w:rPr>
          <w:rFonts w:ascii="Times New Roman" w:hAnsi="Times New Roman" w:cs="Times New Roman"/>
          <w:sz w:val="24"/>
          <w:szCs w:val="24"/>
        </w:rPr>
        <w:t xml:space="preserve">. The challenge of the urine patch for managing nitrogen in grazed pasture systems. Advances in agronomy, 129, 229-292. </w:t>
      </w:r>
    </w:p>
    <w:p w14:paraId="1C459E4F" w14:textId="4136CE4F" w:rsidR="00A06780" w:rsidRDefault="00B35EFC" w:rsidP="00A0678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17EC5">
        <w:rPr>
          <w:rFonts w:ascii="Times New Roman" w:hAnsi="Times New Roman" w:cs="Times New Roman"/>
          <w:sz w:val="24"/>
          <w:szCs w:val="24"/>
        </w:rPr>
        <w:t xml:space="preserve">Zhang, J., Deng, L., Zhang, X., Cao, Y., Li, M., </w:t>
      </w:r>
      <w:r w:rsidR="008604D1" w:rsidRPr="00E17EC5">
        <w:rPr>
          <w:rFonts w:ascii="Times New Roman" w:hAnsi="Times New Roman" w:cs="Times New Roman"/>
          <w:sz w:val="24"/>
          <w:szCs w:val="24"/>
        </w:rPr>
        <w:t>&amp;</w:t>
      </w:r>
      <w:r w:rsidRPr="00E17EC5">
        <w:rPr>
          <w:rFonts w:ascii="Times New Roman" w:hAnsi="Times New Roman" w:cs="Times New Roman"/>
          <w:sz w:val="24"/>
          <w:szCs w:val="24"/>
        </w:rPr>
        <w:t xml:space="preserve"> Yao, J. </w:t>
      </w:r>
      <w:r w:rsidR="008604D1" w:rsidRPr="00E17EC5">
        <w:rPr>
          <w:rFonts w:ascii="Times New Roman" w:hAnsi="Times New Roman" w:cs="Times New Roman"/>
          <w:sz w:val="24"/>
          <w:szCs w:val="24"/>
        </w:rPr>
        <w:t>(</w:t>
      </w:r>
      <w:r w:rsidRPr="00E17EC5">
        <w:rPr>
          <w:rFonts w:ascii="Times New Roman" w:hAnsi="Times New Roman" w:cs="Times New Roman"/>
          <w:sz w:val="24"/>
          <w:szCs w:val="24"/>
        </w:rPr>
        <w:t>2023</w:t>
      </w:r>
      <w:r w:rsidR="008604D1" w:rsidRPr="00E17EC5">
        <w:rPr>
          <w:rFonts w:ascii="Times New Roman" w:hAnsi="Times New Roman" w:cs="Times New Roman"/>
          <w:sz w:val="24"/>
          <w:szCs w:val="24"/>
        </w:rPr>
        <w:t>)</w:t>
      </w:r>
      <w:r w:rsidRPr="00E17EC5">
        <w:rPr>
          <w:rFonts w:ascii="Times New Roman" w:hAnsi="Times New Roman" w:cs="Times New Roman"/>
          <w:sz w:val="24"/>
          <w:szCs w:val="24"/>
        </w:rPr>
        <w:t xml:space="preserve">. Multiple essential amino acids regulate mammary metabolism and milk protein synthesis in lactating dairy cows. Animal Feed Science and Technology, 296, 115557. </w:t>
      </w:r>
      <w:bookmarkStart w:id="0" w:name="_GoBack"/>
      <w:bookmarkEnd w:id="0"/>
    </w:p>
    <w:sectPr w:rsidR="00A06780" w:rsidSect="00347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CBE"/>
    <w:multiLevelType w:val="hybridMultilevel"/>
    <w:tmpl w:val="610A194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zr5fdrrre9pce5zpg5prdys0rf92px5vtd&quot;&gt;My EndNote Library&lt;record-ids&gt;&lt;item&gt;138&lt;/item&gt;&lt;/record-ids&gt;&lt;/item&gt;&lt;/Libraries&gt;"/>
  </w:docVars>
  <w:rsids>
    <w:rsidRoot w:val="002270B3"/>
    <w:rsid w:val="00054477"/>
    <w:rsid w:val="00055984"/>
    <w:rsid w:val="000837F3"/>
    <w:rsid w:val="000A2DBF"/>
    <w:rsid w:val="000B434B"/>
    <w:rsid w:val="000C491F"/>
    <w:rsid w:val="000E2E11"/>
    <w:rsid w:val="000F6D69"/>
    <w:rsid w:val="00121156"/>
    <w:rsid w:val="001641D7"/>
    <w:rsid w:val="001652E7"/>
    <w:rsid w:val="001B4004"/>
    <w:rsid w:val="00201947"/>
    <w:rsid w:val="002108D8"/>
    <w:rsid w:val="002243F3"/>
    <w:rsid w:val="00224CE7"/>
    <w:rsid w:val="002251D5"/>
    <w:rsid w:val="002270B3"/>
    <w:rsid w:val="00250D88"/>
    <w:rsid w:val="002513D0"/>
    <w:rsid w:val="00256B2A"/>
    <w:rsid w:val="00265C43"/>
    <w:rsid w:val="00297273"/>
    <w:rsid w:val="002B293C"/>
    <w:rsid w:val="002C171D"/>
    <w:rsid w:val="002C779F"/>
    <w:rsid w:val="002D5256"/>
    <w:rsid w:val="002E4392"/>
    <w:rsid w:val="003124CA"/>
    <w:rsid w:val="00326561"/>
    <w:rsid w:val="0034719B"/>
    <w:rsid w:val="003A1616"/>
    <w:rsid w:val="003D55BE"/>
    <w:rsid w:val="00405468"/>
    <w:rsid w:val="004179A0"/>
    <w:rsid w:val="00470C30"/>
    <w:rsid w:val="004851C9"/>
    <w:rsid w:val="004E120F"/>
    <w:rsid w:val="00570DA8"/>
    <w:rsid w:val="005712EA"/>
    <w:rsid w:val="005813FF"/>
    <w:rsid w:val="005C1C21"/>
    <w:rsid w:val="005C4544"/>
    <w:rsid w:val="005F3B5B"/>
    <w:rsid w:val="005F4CCE"/>
    <w:rsid w:val="00603A2B"/>
    <w:rsid w:val="00622269"/>
    <w:rsid w:val="006615D6"/>
    <w:rsid w:val="00663D41"/>
    <w:rsid w:val="006B6561"/>
    <w:rsid w:val="006B74A5"/>
    <w:rsid w:val="006C2368"/>
    <w:rsid w:val="007103A0"/>
    <w:rsid w:val="00760386"/>
    <w:rsid w:val="00775C8D"/>
    <w:rsid w:val="007A00BD"/>
    <w:rsid w:val="007B5B81"/>
    <w:rsid w:val="00810C00"/>
    <w:rsid w:val="00852BDC"/>
    <w:rsid w:val="0086009C"/>
    <w:rsid w:val="008604D1"/>
    <w:rsid w:val="008C7BA6"/>
    <w:rsid w:val="00915055"/>
    <w:rsid w:val="00981A93"/>
    <w:rsid w:val="009A6104"/>
    <w:rsid w:val="00A04620"/>
    <w:rsid w:val="00A06780"/>
    <w:rsid w:val="00A61DDD"/>
    <w:rsid w:val="00A87F2F"/>
    <w:rsid w:val="00A90ECF"/>
    <w:rsid w:val="00AF7C26"/>
    <w:rsid w:val="00B20597"/>
    <w:rsid w:val="00B35EFC"/>
    <w:rsid w:val="00B47E63"/>
    <w:rsid w:val="00B54E58"/>
    <w:rsid w:val="00B55207"/>
    <w:rsid w:val="00B648B7"/>
    <w:rsid w:val="00B8522E"/>
    <w:rsid w:val="00B91840"/>
    <w:rsid w:val="00B93FE5"/>
    <w:rsid w:val="00BC1A1E"/>
    <w:rsid w:val="00BD21FE"/>
    <w:rsid w:val="00BF0C7C"/>
    <w:rsid w:val="00C72E6F"/>
    <w:rsid w:val="00D27A28"/>
    <w:rsid w:val="00D30FCA"/>
    <w:rsid w:val="00D51106"/>
    <w:rsid w:val="00D6661F"/>
    <w:rsid w:val="00D83031"/>
    <w:rsid w:val="00DD77F1"/>
    <w:rsid w:val="00E17EC5"/>
    <w:rsid w:val="00E37031"/>
    <w:rsid w:val="00E57931"/>
    <w:rsid w:val="00E72C37"/>
    <w:rsid w:val="00EB08CF"/>
    <w:rsid w:val="00EB448A"/>
    <w:rsid w:val="00ED2F97"/>
    <w:rsid w:val="00F1205D"/>
    <w:rsid w:val="00F165CB"/>
    <w:rsid w:val="00F271B0"/>
    <w:rsid w:val="00F33B58"/>
    <w:rsid w:val="00FB47AC"/>
    <w:rsid w:val="00FD21B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9B90"/>
  <w15:chartTrackingRefBased/>
  <w15:docId w15:val="{D9B41425-ED31-4C0B-8B79-14C05B7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0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1E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60386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038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60386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6038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603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1616"/>
    <w:pPr>
      <w:spacing w:after="0" w:line="240" w:lineRule="auto"/>
    </w:pPr>
  </w:style>
  <w:style w:type="paragraph" w:styleId="NoSpacing">
    <w:name w:val="No Spacing"/>
    <w:uiPriority w:val="1"/>
    <w:qFormat/>
    <w:rsid w:val="000A2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1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6CD9-CEB5-486D-8BF9-2275799B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R. Van Emmenis (Walsh Scholar)</dc:creator>
  <cp:keywords/>
  <dc:description/>
  <cp:lastModifiedBy>Rochelle R. Van Emmenis (Walsh Scholar)</cp:lastModifiedBy>
  <cp:revision>4</cp:revision>
  <dcterms:created xsi:type="dcterms:W3CDTF">2025-01-05T09:50:00Z</dcterms:created>
  <dcterms:modified xsi:type="dcterms:W3CDTF">2025-01-06T09:54:00Z</dcterms:modified>
</cp:coreProperties>
</file>